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565285"/>
        <w:docPartObj>
          <w:docPartGallery w:val="Cover Pages"/>
          <w:docPartUnique/>
        </w:docPartObj>
      </w:sdtPr>
      <w:sdtEndPr>
        <w:rPr>
          <w:rFonts w:ascii="Arial Black" w:hAnsi="Arial Black" w:cs="Arial"/>
          <w:b/>
          <w:bCs/>
        </w:rPr>
      </w:sdtEndPr>
      <w:sdtContent>
        <w:p w14:paraId="500F92B4" w14:textId="6CCBE5B3" w:rsidR="000A0371" w:rsidRDefault="00D82CA7">
          <w:r>
            <w:rPr>
              <w:noProof/>
            </w:rPr>
            <mc:AlternateContent>
              <mc:Choice Requires="wps">
                <w:drawing>
                  <wp:anchor distT="0" distB="0" distL="114300" distR="114300" simplePos="0" relativeHeight="251659264" behindDoc="0" locked="0" layoutInCell="1" allowOverlap="1" wp14:anchorId="1BD5DEAD" wp14:editId="63B4B556">
                    <wp:simplePos x="0" y="0"/>
                    <wp:positionH relativeFrom="margin">
                      <wp:posOffset>5677535</wp:posOffset>
                    </wp:positionH>
                    <wp:positionV relativeFrom="page">
                      <wp:posOffset>194945</wp:posOffset>
                    </wp:positionV>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7T00:00:00Z">
                                    <w:dateFormat w:val="yyyy"/>
                                    <w:lid w:val="en-US"/>
                                    <w:storeMappedDataAs w:val="dateTime"/>
                                    <w:calendar w:val="gregorian"/>
                                  </w:date>
                                </w:sdtPr>
                                <w:sdtContent>
                                  <w:p w14:paraId="2E2F9F40" w14:textId="5FBC2F29" w:rsidR="000A0371" w:rsidRDefault="00D82CA7">
                                    <w:pPr>
                                      <w:pStyle w:val="NoSpacing"/>
                                      <w:jc w:val="right"/>
                                      <w:rPr>
                                        <w:color w:val="FFFFFF" w:themeColor="background1"/>
                                        <w:sz w:val="24"/>
                                        <w:szCs w:val="24"/>
                                      </w:rPr>
                                    </w:pPr>
                                    <w:r w:rsidRPr="00D82CA7">
                                      <w:rPr>
                                        <w:rFonts w:ascii="Arial Black" w:hAnsi="Arial Black"/>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BD5DEAD" id="Rectangle 132" o:spid="_x0000_s1026" style="position:absolute;margin-left:447.05pt;margin-top:15.35pt;width:46.8pt;height:77.75pt;z-index:251659264;visibility:visible;mso-wrap-style:square;mso-width-percent:76;mso-height-percent:98;mso-wrap-distance-left:9pt;mso-wrap-distance-top:0;mso-wrap-distance-right:9pt;mso-wrap-distance-bottom:0;mso-position-horizontal:absolute;mso-position-horizontal-relative:margin;mso-position-vertical:absolute;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" fillcolor="#156082 [3204]" stroked="f" strokeweight="1pt">
                    <o:lock v:ext="edit" aspectratio="t"/>
                    <v:textbox inset="3.6pt,,3.6pt">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7T00:00:00Z">
                              <w:dateFormat w:val="yyyy"/>
                              <w:lid w:val="en-US"/>
                              <w:storeMappedDataAs w:val="dateTime"/>
                              <w:calendar w:val="gregorian"/>
                            </w:date>
                          </w:sdtPr>
                          <w:sdtContent>
                            <w:p w14:paraId="2E2F9F40" w14:textId="5FBC2F29" w:rsidR="000A0371" w:rsidRDefault="00D82CA7">
                              <w:pPr>
                                <w:pStyle w:val="NoSpacing"/>
                                <w:jc w:val="right"/>
                                <w:rPr>
                                  <w:color w:val="FFFFFF" w:themeColor="background1"/>
                                  <w:sz w:val="24"/>
                                  <w:szCs w:val="24"/>
                                </w:rPr>
                              </w:pPr>
                              <w:r w:rsidRPr="00D82CA7">
                                <w:rPr>
                                  <w:rFonts w:ascii="Arial Black" w:hAnsi="Arial Black"/>
                                  <w:color w:val="FFFFFF" w:themeColor="background1"/>
                                  <w:sz w:val="24"/>
                                  <w:szCs w:val="24"/>
                                </w:rPr>
                                <w:t>2025</w:t>
                              </w:r>
                            </w:p>
                          </w:sdtContent>
                        </w:sdt>
                      </w:txbxContent>
                    </v:textbox>
                    <w10:wrap anchorx="margin" anchory="page"/>
                  </v:rect>
                </w:pict>
              </mc:Fallback>
            </mc:AlternateContent>
          </w:r>
        </w:p>
        <w:p w14:paraId="394B5E42" w14:textId="552E5050" w:rsidR="000A0371" w:rsidRDefault="000A0371">
          <w:pPr>
            <w:rPr>
              <w:rFonts w:ascii="Arial Black" w:hAnsi="Arial Black" w:cs="Arial"/>
              <w:b/>
              <w:bCs/>
            </w:rPr>
          </w:pPr>
          <w:r>
            <w:rPr>
              <w:noProof/>
            </w:rPr>
            <mc:AlternateContent>
              <mc:Choice Requires="wps">
                <w:drawing>
                  <wp:anchor distT="0" distB="0" distL="182880" distR="182880" simplePos="0" relativeHeight="251660288" behindDoc="0" locked="0" layoutInCell="1" allowOverlap="1" wp14:anchorId="2D66D523" wp14:editId="56159143">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44A658" w14:textId="04156458" w:rsidR="000A0371" w:rsidRDefault="00D82CA7" w:rsidP="00D82CA7">
                                <w:pPr>
                                  <w:pStyle w:val="NoSpacing"/>
                                  <w:spacing w:before="40" w:after="560" w:line="216" w:lineRule="auto"/>
                                  <w:rPr>
                                    <w:color w:val="156082" w:themeColor="accent1"/>
                                    <w:sz w:val="72"/>
                                    <w:szCs w:val="72"/>
                                  </w:rPr>
                                </w:pPr>
                                <w:sdt>
                                  <w:sdtPr>
                                    <w:rPr>
                                      <w:rFonts w:ascii="Arial Black" w:hAnsi="Arial Black"/>
                                      <w:color w:val="156082" w:themeColor="accent1"/>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D82CA7">
                                      <w:rPr>
                                        <w:rFonts w:ascii="Arial Black" w:hAnsi="Arial Black"/>
                                        <w:color w:val="156082" w:themeColor="accent1"/>
                                        <w:sz w:val="48"/>
                                        <w:szCs w:val="48"/>
                                      </w:rPr>
                                      <w:t>Quantitative Report Results</w:t>
                                    </w:r>
                                    <w:r w:rsidRPr="00D82CA7">
                                      <w:rPr>
                                        <w:rFonts w:ascii="Arial Black" w:hAnsi="Arial Black"/>
                                        <w:color w:val="156082" w:themeColor="accent1"/>
                                        <w:sz w:val="48"/>
                                        <w:szCs w:val="48"/>
                                      </w:rPr>
                                      <w:t xml:space="preserve"> </w:t>
                                    </w:r>
                                    <w:r w:rsidRPr="00D82CA7">
                                      <w:rPr>
                                        <w:rFonts w:ascii="Arial Black" w:hAnsi="Arial Black"/>
                                        <w:color w:val="156082" w:themeColor="accent1"/>
                                        <w:sz w:val="48"/>
                                        <w:szCs w:val="48"/>
                                      </w:rPr>
                                      <w:t>Write-up</w:t>
                                    </w:r>
                                  </w:sdtContent>
                                </w:sdt>
                              </w:p>
                              <w:p w14:paraId="68EAB5A8" w14:textId="77777777" w:rsidR="00D82CA7" w:rsidRDefault="00D82CA7" w:rsidP="00D82CA7">
                                <w:pPr>
                                  <w:pStyle w:val="NoSpacing"/>
                                  <w:spacing w:before="40" w:after="560" w:line="216" w:lineRule="auto"/>
                                  <w:rPr>
                                    <w:color w:val="156082" w:themeColor="accent1"/>
                                    <w:sz w:val="72"/>
                                    <w:szCs w:val="72"/>
                                  </w:rPr>
                                </w:pPr>
                              </w:p>
                              <w:p w14:paraId="518353E5" w14:textId="77777777" w:rsidR="00D82CA7" w:rsidRPr="00D82CA7" w:rsidRDefault="00D82CA7" w:rsidP="00D82CA7">
                                <w:pPr>
                                  <w:pStyle w:val="NoSpacing"/>
                                  <w:spacing w:before="40" w:after="560" w:line="216" w:lineRule="auto"/>
                                  <w:rPr>
                                    <w:color w:val="156082" w:themeColor="accent1"/>
                                    <w:sz w:val="72"/>
                                    <w:szCs w:val="72"/>
                                  </w:rPr>
                                </w:pPr>
                              </w:p>
                              <w:sdt>
                                <w:sdtPr>
                                  <w:rPr>
                                    <w:rFonts w:ascii="Arial Black" w:hAnsi="Arial Black"/>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9AE7B8D" w14:textId="2ACB2406" w:rsidR="000A0371" w:rsidRPr="00D82CA7" w:rsidRDefault="000A0371">
                                    <w:pPr>
                                      <w:pStyle w:val="NoSpacing"/>
                                      <w:spacing w:before="80" w:after="40"/>
                                      <w:rPr>
                                        <w:rFonts w:ascii="Arial Black" w:hAnsi="Arial Black"/>
                                        <w:caps/>
                                        <w:color w:val="A02B93" w:themeColor="accent5"/>
                                        <w:sz w:val="24"/>
                                        <w:szCs w:val="24"/>
                                      </w:rPr>
                                    </w:pPr>
                                    <w:r w:rsidRPr="00D82CA7">
                                      <w:rPr>
                                        <w:rFonts w:ascii="Arial Black" w:hAnsi="Arial Black"/>
                                        <w:caps/>
                                        <w:color w:val="A02B93" w:themeColor="accent5"/>
                                        <w:sz w:val="24"/>
                                        <w:szCs w:val="24"/>
                                      </w:rPr>
                                      <w:t>Mirabela Voican (1907947)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D66D523" id="_x0000_t202" coordsize="21600,21600" o:spt="202" path="m,l,21600r21600,l21600,xe">
                    <v:stroke joinstyle="miter"/>
                    <v:path gradientshapeok="t" o:connecttype="rect"/>
                  </v:shapetype>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filled="f" stroked="f" strokeweight=".5pt">
                    <v:textbox style="mso-fit-shape-to-text:t" inset="0,0,0,0">
                      <w:txbxContent>
                        <w:p w14:paraId="6944A658" w14:textId="04156458" w:rsidR="000A0371" w:rsidRDefault="00D82CA7" w:rsidP="00D82CA7">
                          <w:pPr>
                            <w:pStyle w:val="NoSpacing"/>
                            <w:spacing w:before="40" w:after="560" w:line="216" w:lineRule="auto"/>
                            <w:rPr>
                              <w:color w:val="156082" w:themeColor="accent1"/>
                              <w:sz w:val="72"/>
                              <w:szCs w:val="72"/>
                            </w:rPr>
                          </w:pPr>
                          <w:sdt>
                            <w:sdtPr>
                              <w:rPr>
                                <w:rFonts w:ascii="Arial Black" w:hAnsi="Arial Black"/>
                                <w:color w:val="156082" w:themeColor="accent1"/>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D82CA7">
                                <w:rPr>
                                  <w:rFonts w:ascii="Arial Black" w:hAnsi="Arial Black"/>
                                  <w:color w:val="156082" w:themeColor="accent1"/>
                                  <w:sz w:val="48"/>
                                  <w:szCs w:val="48"/>
                                </w:rPr>
                                <w:t>Quantitative Report Results</w:t>
                              </w:r>
                              <w:r w:rsidRPr="00D82CA7">
                                <w:rPr>
                                  <w:rFonts w:ascii="Arial Black" w:hAnsi="Arial Black"/>
                                  <w:color w:val="156082" w:themeColor="accent1"/>
                                  <w:sz w:val="48"/>
                                  <w:szCs w:val="48"/>
                                </w:rPr>
                                <w:t xml:space="preserve"> </w:t>
                              </w:r>
                              <w:r w:rsidRPr="00D82CA7">
                                <w:rPr>
                                  <w:rFonts w:ascii="Arial Black" w:hAnsi="Arial Black"/>
                                  <w:color w:val="156082" w:themeColor="accent1"/>
                                  <w:sz w:val="48"/>
                                  <w:szCs w:val="48"/>
                                </w:rPr>
                                <w:t>Write-up</w:t>
                              </w:r>
                            </w:sdtContent>
                          </w:sdt>
                        </w:p>
                        <w:p w14:paraId="68EAB5A8" w14:textId="77777777" w:rsidR="00D82CA7" w:rsidRDefault="00D82CA7" w:rsidP="00D82CA7">
                          <w:pPr>
                            <w:pStyle w:val="NoSpacing"/>
                            <w:spacing w:before="40" w:after="560" w:line="216" w:lineRule="auto"/>
                            <w:rPr>
                              <w:color w:val="156082" w:themeColor="accent1"/>
                              <w:sz w:val="72"/>
                              <w:szCs w:val="72"/>
                            </w:rPr>
                          </w:pPr>
                        </w:p>
                        <w:p w14:paraId="518353E5" w14:textId="77777777" w:rsidR="00D82CA7" w:rsidRPr="00D82CA7" w:rsidRDefault="00D82CA7" w:rsidP="00D82CA7">
                          <w:pPr>
                            <w:pStyle w:val="NoSpacing"/>
                            <w:spacing w:before="40" w:after="560" w:line="216" w:lineRule="auto"/>
                            <w:rPr>
                              <w:color w:val="156082" w:themeColor="accent1"/>
                              <w:sz w:val="72"/>
                              <w:szCs w:val="72"/>
                            </w:rPr>
                          </w:pPr>
                        </w:p>
                        <w:sdt>
                          <w:sdtPr>
                            <w:rPr>
                              <w:rFonts w:ascii="Arial Black" w:hAnsi="Arial Black"/>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9AE7B8D" w14:textId="2ACB2406" w:rsidR="000A0371" w:rsidRPr="00D82CA7" w:rsidRDefault="000A0371">
                              <w:pPr>
                                <w:pStyle w:val="NoSpacing"/>
                                <w:spacing w:before="80" w:after="40"/>
                                <w:rPr>
                                  <w:rFonts w:ascii="Arial Black" w:hAnsi="Arial Black"/>
                                  <w:caps/>
                                  <w:color w:val="A02B93" w:themeColor="accent5"/>
                                  <w:sz w:val="24"/>
                                  <w:szCs w:val="24"/>
                                </w:rPr>
                              </w:pPr>
                              <w:r w:rsidRPr="00D82CA7">
                                <w:rPr>
                                  <w:rFonts w:ascii="Arial Black" w:hAnsi="Arial Black"/>
                                  <w:caps/>
                                  <w:color w:val="A02B93" w:themeColor="accent5"/>
                                  <w:sz w:val="24"/>
                                  <w:szCs w:val="24"/>
                                </w:rPr>
                                <w:t>Mirabela Voican (1907947)</w:t>
                              </w:r>
                            </w:p>
                          </w:sdtContent>
                        </w:sdt>
                      </w:txbxContent>
                    </v:textbox>
                    <w10:wrap type="square" anchorx="margin" anchory="page"/>
                  </v:shape>
                </w:pict>
              </mc:Fallback>
            </mc:AlternateContent>
          </w:r>
          <w:r>
            <w:rPr>
              <w:rFonts w:ascii="Arial Black" w:hAnsi="Arial Black" w:cs="Arial"/>
              <w:b/>
              <w:bCs/>
            </w:rPr>
            <w:br w:type="page"/>
          </w:r>
        </w:p>
      </w:sdtContent>
    </w:sdt>
    <w:p w14:paraId="1A2D8329" w14:textId="41FA458F" w:rsidR="00C425BD" w:rsidRPr="000A0371" w:rsidRDefault="00C425BD" w:rsidP="00C425BD">
      <w:pPr>
        <w:spacing w:line="480" w:lineRule="auto"/>
        <w:jc w:val="both"/>
        <w:rPr>
          <w:rFonts w:ascii="Arial Black" w:hAnsi="Arial Black" w:cs="Arial"/>
          <w:b/>
          <w:bCs/>
        </w:rPr>
      </w:pPr>
      <w:r w:rsidRPr="000A0371">
        <w:rPr>
          <w:rFonts w:ascii="Arial Black" w:hAnsi="Arial Black" w:cs="Arial"/>
          <w:b/>
          <w:bCs/>
        </w:rPr>
        <w:lastRenderedPageBreak/>
        <w:t>Study Overview</w:t>
      </w:r>
    </w:p>
    <w:p w14:paraId="5C38B406" w14:textId="539F4B6C" w:rsidR="00C425BD" w:rsidRDefault="00C425BD" w:rsidP="00C425BD">
      <w:pPr>
        <w:spacing w:line="480" w:lineRule="auto"/>
        <w:jc w:val="both"/>
        <w:rPr>
          <w:rFonts w:ascii="Arial" w:hAnsi="Arial" w:cs="Arial"/>
        </w:rPr>
      </w:pPr>
      <w:r w:rsidRPr="00C425BD">
        <w:rPr>
          <w:rFonts w:ascii="Arial" w:hAnsi="Arial" w:cs="Arial"/>
        </w:rPr>
        <w:t xml:space="preserve">The purpose of this study was to </w:t>
      </w:r>
      <w:r w:rsidRPr="00C425BD">
        <w:rPr>
          <w:rFonts w:ascii="Arial" w:hAnsi="Arial" w:cs="Arial"/>
        </w:rPr>
        <w:t>investigate</w:t>
      </w:r>
      <w:r w:rsidRPr="00C425BD">
        <w:rPr>
          <w:rFonts w:ascii="Arial" w:hAnsi="Arial" w:cs="Arial"/>
        </w:rPr>
        <w:t xml:space="preserve"> the psychological impact of two intervention leaflets designed to reduce dis</w:t>
      </w:r>
      <w:r>
        <w:rPr>
          <w:rFonts w:ascii="Arial" w:hAnsi="Arial" w:cs="Arial"/>
        </w:rPr>
        <w:t>tress</w:t>
      </w:r>
      <w:r w:rsidRPr="00C425BD">
        <w:rPr>
          <w:rFonts w:ascii="Arial" w:hAnsi="Arial" w:cs="Arial"/>
        </w:rPr>
        <w:t xml:space="preserve"> among people who were waiting for the results of cancer genetic risk assessments. Participants were selected from the Cancer Genetics Service for Wales (CGSW) and divided into two groups. Intervention Leaflet 1 reflected the existing standard coping strategy leaflet used by CGSW, whereas Intervention Leaflet 2 offered new phrases and activities to see if differences in wording and tactics could improve effectiveness.</w:t>
      </w:r>
    </w:p>
    <w:p w14:paraId="501F50E7" w14:textId="19E75F1E" w:rsidR="00C425BD" w:rsidRDefault="00C425BD" w:rsidP="00C425BD">
      <w:pPr>
        <w:spacing w:line="480" w:lineRule="auto"/>
        <w:jc w:val="both"/>
        <w:rPr>
          <w:rFonts w:ascii="Arial" w:hAnsi="Arial" w:cs="Arial"/>
        </w:rPr>
      </w:pPr>
      <w:r w:rsidRPr="00C425BD">
        <w:rPr>
          <w:rFonts w:ascii="Arial" w:hAnsi="Arial" w:cs="Arial"/>
        </w:rPr>
        <w:t>The Impact of event Scale (IES), a validated tool for measuring subjective stress reactions after a traumatic incident, was used to measure distress. The scale has 15 items separated into two subscales: intrusion and avoidance. Intrusion relates to involuntary thoughts and images, whereas avoidance refers to behaviours or cognitions that try to withdraw from emotion. Items are graded on a four-point scale, with raw scores recoded as 0, 1, 3, and 5, producing a total IES score ranging from 0 to 75, with higher scores indicating greater distress. According to the study codebook, IES scores were divided into three categories of distress: low (less than 8.5), medium (8.5-18), and high (19 or higher). This categorisation allows for a more refined assessment of distress patterns throughout time.</w:t>
      </w:r>
    </w:p>
    <w:p w14:paraId="6233B1BE" w14:textId="77777777" w:rsidR="00C425BD" w:rsidRPr="000A0371" w:rsidRDefault="00C425BD" w:rsidP="00C425BD">
      <w:pPr>
        <w:spacing w:line="480" w:lineRule="auto"/>
        <w:jc w:val="both"/>
        <w:rPr>
          <w:rFonts w:ascii="Arial Black" w:hAnsi="Arial Black" w:cs="Arial"/>
          <w:b/>
          <w:bCs/>
        </w:rPr>
      </w:pPr>
      <w:r w:rsidRPr="00C425BD">
        <w:rPr>
          <w:rFonts w:ascii="Arial Black" w:hAnsi="Arial Black" w:cs="Arial"/>
          <w:b/>
          <w:bCs/>
        </w:rPr>
        <w:t xml:space="preserve">Data Preparation and Descriptive Statistics </w:t>
      </w:r>
    </w:p>
    <w:p w14:paraId="67B683BD" w14:textId="2BC21D7C" w:rsidR="00C425BD" w:rsidRPr="000A0371" w:rsidRDefault="00C425BD" w:rsidP="00C425BD">
      <w:pPr>
        <w:spacing w:line="480" w:lineRule="auto"/>
        <w:jc w:val="both"/>
        <w:rPr>
          <w:rFonts w:ascii="Arial Black" w:hAnsi="Arial Black" w:cs="Arial"/>
          <w:b/>
          <w:bCs/>
        </w:rPr>
      </w:pPr>
      <w:r w:rsidRPr="00C425BD">
        <w:rPr>
          <w:rFonts w:ascii="Arial Black" w:hAnsi="Arial Black" w:cs="Arial"/>
          <w:b/>
          <w:bCs/>
        </w:rPr>
        <w:t xml:space="preserve">Data </w:t>
      </w:r>
      <w:r w:rsidRPr="000A0371">
        <w:rPr>
          <w:rFonts w:ascii="Arial Black" w:hAnsi="Arial Black" w:cs="Arial"/>
          <w:b/>
          <w:bCs/>
        </w:rPr>
        <w:t>Treatment</w:t>
      </w:r>
    </w:p>
    <w:p w14:paraId="7990BED5" w14:textId="70577F2B" w:rsidR="00C425BD" w:rsidRDefault="00C425BD" w:rsidP="00C425BD">
      <w:pPr>
        <w:spacing w:line="480" w:lineRule="auto"/>
        <w:jc w:val="both"/>
        <w:rPr>
          <w:rFonts w:ascii="Arial" w:hAnsi="Arial" w:cs="Arial"/>
        </w:rPr>
      </w:pPr>
      <w:r w:rsidRPr="00C425BD">
        <w:rPr>
          <w:rFonts w:ascii="Arial" w:hAnsi="Arial" w:cs="Arial"/>
        </w:rPr>
        <w:t xml:space="preserve">The data preparation process included the identification of missing values and outliers, in accordance with the study protocol and SPSS codebook guidelines. Minimal missing data were observed, comprising 2 missing values for gender, 3 for marital </w:t>
      </w:r>
      <w:r w:rsidRPr="00C425BD">
        <w:rPr>
          <w:rFonts w:ascii="Arial" w:hAnsi="Arial" w:cs="Arial"/>
        </w:rPr>
        <w:lastRenderedPageBreak/>
        <w:t>status, and 7 for education. The absent data were not imputed but rather removed pairwise to preserve the integrity of the study. Continuous variables, such as age and IES scores, were examined for outliers; none were found to substantially affect the overall distribution, as indicated by trimmed means closely matching observed means.</w:t>
      </w:r>
    </w:p>
    <w:p w14:paraId="1BDFED89" w14:textId="5FA04349" w:rsidR="009461A8" w:rsidRPr="000A0371" w:rsidRDefault="009461A8" w:rsidP="00C425BD">
      <w:pPr>
        <w:spacing w:line="480" w:lineRule="auto"/>
        <w:jc w:val="both"/>
        <w:rPr>
          <w:rFonts w:ascii="Arial Black" w:hAnsi="Arial Black" w:cs="Arial"/>
          <w:b/>
          <w:bCs/>
        </w:rPr>
      </w:pPr>
      <w:r w:rsidRPr="000A0371">
        <w:rPr>
          <w:rFonts w:ascii="Arial Black" w:hAnsi="Arial Black" w:cs="Arial"/>
          <w:b/>
          <w:bCs/>
        </w:rPr>
        <w:t>Descriptive Statistics</w:t>
      </w:r>
    </w:p>
    <w:p w14:paraId="0572CF1D" w14:textId="77777777" w:rsidR="009461A8" w:rsidRDefault="009461A8" w:rsidP="009461A8">
      <w:pPr>
        <w:spacing w:line="480" w:lineRule="auto"/>
        <w:jc w:val="both"/>
        <w:rPr>
          <w:rFonts w:ascii="Arial" w:hAnsi="Arial" w:cs="Arial"/>
        </w:rPr>
      </w:pPr>
      <w:r w:rsidRPr="009461A8">
        <w:rPr>
          <w:rFonts w:ascii="Arial" w:hAnsi="Arial" w:cs="Arial"/>
        </w:rPr>
        <w:t xml:space="preserve">The study sample included 175 participants, distributed almost evenly between the two intervention groups: Leaflet Group 1 (n = 87) and Leaflet Group 2 (n = 88). Among the total participants, 136 (77.6%) identified as female, 24 (13.7%) as male, and 13 (7.5%) selected "other" or decided not to disclose their gender. This gender distribution indicates </w:t>
      </w:r>
      <w:r w:rsidRPr="009461A8">
        <w:rPr>
          <w:rFonts w:ascii="Arial" w:hAnsi="Arial" w:cs="Arial"/>
        </w:rPr>
        <w:t>most</w:t>
      </w:r>
      <w:r w:rsidRPr="009461A8">
        <w:rPr>
          <w:rFonts w:ascii="Arial" w:hAnsi="Arial" w:cs="Arial"/>
        </w:rPr>
        <w:t xml:space="preserve"> female participants, which is consistent with similar psychosocial studies focussing on genetic risk assessments, in which females are frequently over-represented.</w:t>
      </w:r>
    </w:p>
    <w:p w14:paraId="28577DB4" w14:textId="77777777" w:rsidR="009461A8" w:rsidRDefault="009461A8" w:rsidP="009461A8">
      <w:pPr>
        <w:spacing w:line="480" w:lineRule="auto"/>
        <w:jc w:val="both"/>
        <w:rPr>
          <w:rFonts w:ascii="Arial" w:hAnsi="Arial" w:cs="Arial"/>
        </w:rPr>
      </w:pPr>
      <w:r w:rsidRPr="009461A8">
        <w:rPr>
          <w:rFonts w:ascii="Arial" w:hAnsi="Arial" w:cs="Arial"/>
        </w:rPr>
        <w:t>Marital status data revealed that the largest subgroup consisted of 133 participants (76%) who were married or living with a partner. Meanwhile, 18 individuals (10.3%) were single, 15 (8.6%) were divorced or separated, and 6 (3.5%) were widowed. These numbers provide insight into the individuals' social and relationship contexts, which may influence coping mechanisms during times of distress.</w:t>
      </w:r>
    </w:p>
    <w:p w14:paraId="7D2FAFAE" w14:textId="53E3CC57" w:rsidR="009461A8" w:rsidRDefault="009461A8" w:rsidP="009461A8">
      <w:pPr>
        <w:spacing w:line="480" w:lineRule="auto"/>
        <w:jc w:val="both"/>
        <w:rPr>
          <w:rFonts w:ascii="Arial" w:hAnsi="Arial" w:cs="Arial"/>
        </w:rPr>
      </w:pPr>
      <w:r w:rsidRPr="009461A8">
        <w:rPr>
          <w:rFonts w:ascii="Arial" w:hAnsi="Arial" w:cs="Arial"/>
        </w:rPr>
        <w:t>In terms of education, 40 participants (23.8%) were holders of a college diploma, while 33 participants (19.6%) had a university degree or higher. A smaller proportion had dropped out of school earlier, with 26 (15.5%) leaving before the age of 16, 26 (15.5%) at the age of 16, and 33 (19.6%) at the age of 18. An additional 10 participants (6%) reported completing other forms of education.</w:t>
      </w:r>
    </w:p>
    <w:p w14:paraId="10B492C8" w14:textId="3ADE4CA9" w:rsidR="009461A8" w:rsidRDefault="009461A8" w:rsidP="009461A8">
      <w:pPr>
        <w:spacing w:line="480" w:lineRule="auto"/>
        <w:jc w:val="both"/>
        <w:rPr>
          <w:rFonts w:ascii="Arial" w:hAnsi="Arial" w:cs="Arial"/>
        </w:rPr>
      </w:pPr>
      <w:r w:rsidRPr="009461A8">
        <w:rPr>
          <w:rFonts w:ascii="Arial" w:hAnsi="Arial" w:cs="Arial"/>
        </w:rPr>
        <w:t xml:space="preserve">The ages of the participants ranged from 22 to 77, with a mean of 47.34 years (SD = 13.67). This wide age range reflects the sample's diversity and assures coverage </w:t>
      </w:r>
      <w:r w:rsidRPr="009461A8">
        <w:rPr>
          <w:rFonts w:ascii="Arial" w:hAnsi="Arial" w:cs="Arial"/>
        </w:rPr>
        <w:lastRenderedPageBreak/>
        <w:t>throughout all life phases. These demographic data provide a complete picture of the participants' characteristics, providing a well-rounded examination of the study's findings.</w:t>
      </w:r>
    </w:p>
    <w:p w14:paraId="1976DF44" w14:textId="4D88F07B" w:rsidR="00134AA0" w:rsidRPr="000A0371" w:rsidRDefault="00134AA0" w:rsidP="009461A8">
      <w:pPr>
        <w:spacing w:line="480" w:lineRule="auto"/>
        <w:jc w:val="both"/>
        <w:rPr>
          <w:rFonts w:ascii="Arial Black" w:hAnsi="Arial Black" w:cs="Arial"/>
          <w:b/>
          <w:bCs/>
        </w:rPr>
      </w:pPr>
      <w:r w:rsidRPr="000A0371">
        <w:rPr>
          <w:rFonts w:ascii="Arial Black" w:hAnsi="Arial Black" w:cs="Arial"/>
          <w:b/>
          <w:bCs/>
        </w:rPr>
        <w:t>Test of Normality</w:t>
      </w:r>
    </w:p>
    <w:p w14:paraId="1488E2A0" w14:textId="77777777" w:rsidR="00134AA0" w:rsidRDefault="00134AA0" w:rsidP="00134AA0">
      <w:pPr>
        <w:spacing w:line="480" w:lineRule="auto"/>
        <w:jc w:val="both"/>
        <w:rPr>
          <w:rFonts w:ascii="Arial" w:hAnsi="Arial" w:cs="Arial"/>
        </w:rPr>
      </w:pPr>
      <w:r w:rsidRPr="00134AA0">
        <w:rPr>
          <w:rFonts w:ascii="Arial" w:hAnsi="Arial" w:cs="Arial"/>
        </w:rPr>
        <w:t>Normality tests were performed on the Impact of Event Scale (IES) total scores at Time 1 (baseline), Time 2 (while waiting), and Time 3 (post-risk results) to determine the distribution of psychological distress scores. These tests followed the instructions provided in the study protocol and SPSS codebook to ensure that the data met the assumptions required for parametric analyses.</w:t>
      </w:r>
    </w:p>
    <w:p w14:paraId="2BD97F62" w14:textId="77777777" w:rsidR="00134AA0" w:rsidRDefault="00134AA0" w:rsidP="00134AA0">
      <w:pPr>
        <w:spacing w:line="480" w:lineRule="auto"/>
        <w:jc w:val="both"/>
        <w:rPr>
          <w:rFonts w:ascii="Arial" w:hAnsi="Arial" w:cs="Arial"/>
        </w:rPr>
      </w:pPr>
      <w:r w:rsidRPr="00134AA0">
        <w:rPr>
          <w:rFonts w:ascii="Arial" w:hAnsi="Arial" w:cs="Arial"/>
        </w:rPr>
        <w:t>The Kolmogorov-Smirnov and Shapiro-Wilk tests indicated significant v</w:t>
      </w:r>
      <w:r>
        <w:rPr>
          <w:rFonts w:ascii="Arial" w:hAnsi="Arial" w:cs="Arial"/>
        </w:rPr>
        <w:t>iolations</w:t>
      </w:r>
      <w:r w:rsidRPr="00134AA0">
        <w:rPr>
          <w:rFonts w:ascii="Arial" w:hAnsi="Arial" w:cs="Arial"/>
        </w:rPr>
        <w:t xml:space="preserve"> of normality across all three time points (p &lt;.001). Significant results from these tests indicate that the data distributions depart from the normal curve. This conclusion is consistent with other psychological distress studies, which frequently show skewed distributions due to a fraction of subjects reporting extremely high or extremely low distress levels.</w:t>
      </w:r>
    </w:p>
    <w:p w14:paraId="5EBD4445" w14:textId="77777777" w:rsidR="00FB66A2" w:rsidRDefault="00134AA0" w:rsidP="00134AA0">
      <w:pPr>
        <w:spacing w:line="480" w:lineRule="auto"/>
        <w:jc w:val="both"/>
        <w:rPr>
          <w:rFonts w:ascii="Arial" w:hAnsi="Arial" w:cs="Arial"/>
        </w:rPr>
      </w:pPr>
      <w:r w:rsidRPr="00134AA0">
        <w:rPr>
          <w:rFonts w:ascii="Arial" w:hAnsi="Arial" w:cs="Arial"/>
        </w:rPr>
        <w:t xml:space="preserve">Skewness and Kurtosis values provide more details about the nature of these deviations. At Time 1, the skewness was 1.03, indicating a moderate right-skewed distribution in which </w:t>
      </w:r>
      <w:r w:rsidRPr="00134AA0">
        <w:rPr>
          <w:rFonts w:ascii="Arial" w:hAnsi="Arial" w:cs="Arial"/>
        </w:rPr>
        <w:t>most</w:t>
      </w:r>
      <w:r w:rsidRPr="00134AA0">
        <w:rPr>
          <w:rFonts w:ascii="Arial" w:hAnsi="Arial" w:cs="Arial"/>
        </w:rPr>
        <w:t xml:space="preserve"> individuals reported low-to-medium distress, while a few people reported extremely high distress. Kurtosis at Time 1 was 0.29, indicating a significantly peaked distribution relative to the normal curve. At Time 2, the skewness dropped to 0.012 and the kurtosis was -1.24, indicating a flatter (platykurtic) distribution. By Time 3, skewness was at 1.07, indicating a more significant clustering of low scores as participants experienced less discomfort. The kurtosis at Time 3 was 0.65, indicating a modest increase in </w:t>
      </w:r>
      <w:proofErr w:type="spellStart"/>
      <w:r w:rsidRPr="00134AA0">
        <w:rPr>
          <w:rFonts w:ascii="Arial" w:hAnsi="Arial" w:cs="Arial"/>
        </w:rPr>
        <w:t>peakedness</w:t>
      </w:r>
      <w:proofErr w:type="spellEnd"/>
      <w:r w:rsidRPr="00134AA0">
        <w:rPr>
          <w:rFonts w:ascii="Arial" w:hAnsi="Arial" w:cs="Arial"/>
        </w:rPr>
        <w:t xml:space="preserve"> compared with Time 2.</w:t>
      </w:r>
    </w:p>
    <w:p w14:paraId="3F35C893" w14:textId="7991858C" w:rsidR="00134AA0" w:rsidRPr="00FB66A2" w:rsidRDefault="00134AA0" w:rsidP="00134AA0">
      <w:pPr>
        <w:spacing w:line="480" w:lineRule="auto"/>
        <w:jc w:val="both"/>
        <w:rPr>
          <w:rFonts w:ascii="Arial" w:hAnsi="Arial" w:cs="Arial"/>
        </w:rPr>
      </w:pPr>
      <w:r w:rsidRPr="00134AA0">
        <w:rPr>
          <w:rFonts w:ascii="Arial Black" w:hAnsi="Arial Black" w:cs="Arial"/>
        </w:rPr>
        <w:lastRenderedPageBreak/>
        <w:t>Visual Inspection</w:t>
      </w:r>
    </w:p>
    <w:p w14:paraId="72C7A1F0" w14:textId="5E7DBC59" w:rsidR="00134AA0" w:rsidRDefault="00134AA0" w:rsidP="00134AA0">
      <w:pPr>
        <w:spacing w:line="480" w:lineRule="auto"/>
        <w:jc w:val="both"/>
        <w:rPr>
          <w:rFonts w:ascii="Arial" w:hAnsi="Arial" w:cs="Arial"/>
        </w:rPr>
      </w:pPr>
      <w:r w:rsidRPr="00134AA0">
        <w:rPr>
          <w:rFonts w:ascii="Arial" w:hAnsi="Arial" w:cs="Arial"/>
        </w:rPr>
        <w:t xml:space="preserve">Histograms and Q-Q plots supported statistical testing by highlighting distribution characteristics. At Time 1, the histogram revealed a clear clustering of scores in the low-distress range (scores close to zero), with a progressive tail extending to higher scores, confirming the right skew. The Q-Q plot showed departures from the expected normal line, especially at the top of the distribution, where high distress levels separated. Similarly, Time 2 demonstrated a more regular distribution, indicating a reduction in extreme values. At Time 3, the histogram showed a significant drop in high-distress scores, with </w:t>
      </w:r>
      <w:r w:rsidRPr="00134AA0">
        <w:rPr>
          <w:rFonts w:ascii="Arial" w:hAnsi="Arial" w:cs="Arial"/>
        </w:rPr>
        <w:t>most</w:t>
      </w:r>
      <w:r w:rsidRPr="00134AA0">
        <w:rPr>
          <w:rFonts w:ascii="Arial" w:hAnsi="Arial" w:cs="Arial"/>
        </w:rPr>
        <w:t xml:space="preserve"> participants scoring in the low-distress range, demonstrating the intervention's effectiveness in lowering psychological distress over time.</w:t>
      </w:r>
    </w:p>
    <w:p w14:paraId="0A2961F9" w14:textId="77777777" w:rsidR="00134AA0" w:rsidRDefault="00134AA0" w:rsidP="009461A8">
      <w:pPr>
        <w:spacing w:line="480" w:lineRule="auto"/>
        <w:jc w:val="both"/>
        <w:rPr>
          <w:rFonts w:ascii="Arial" w:hAnsi="Arial" w:cs="Arial"/>
        </w:rPr>
      </w:pPr>
      <w:r w:rsidRPr="00134AA0">
        <w:rPr>
          <w:rFonts w:ascii="Arial" w:hAnsi="Arial" w:cs="Arial"/>
        </w:rPr>
        <w:t xml:space="preserve">Although the data </w:t>
      </w:r>
      <w:r>
        <w:rPr>
          <w:rFonts w:ascii="Arial" w:hAnsi="Arial" w:cs="Arial"/>
        </w:rPr>
        <w:t>violated</w:t>
      </w:r>
      <w:r w:rsidRPr="00134AA0">
        <w:rPr>
          <w:rFonts w:ascii="Arial" w:hAnsi="Arial" w:cs="Arial"/>
        </w:rPr>
        <w:t xml:space="preserve"> normality assumptions, the high sample size (n = 175) illustrates the resilience of parametric procedures like ANOVA, which are less influenced by non-normal distributions in bigger samples. These data highlight the interventions' success, as demonstrated by the shift in distress distributions over time. The increased clustering of low-distress ratings by Time 3 implies that both intervention leaflets reduced distress and were successful. Nonetheless, the observed deviations from normality suggest that results should be interpreted with caution, particularly </w:t>
      </w:r>
      <w:r w:rsidRPr="00134AA0">
        <w:rPr>
          <w:rFonts w:ascii="Arial" w:hAnsi="Arial" w:cs="Arial"/>
        </w:rPr>
        <w:t>considering</w:t>
      </w:r>
      <w:r w:rsidRPr="00134AA0">
        <w:rPr>
          <w:rFonts w:ascii="Arial" w:hAnsi="Arial" w:cs="Arial"/>
        </w:rPr>
        <w:t xml:space="preserve"> probable outliers or subgroup variations that may not be fully represented by aggregate analysis.</w:t>
      </w:r>
    </w:p>
    <w:p w14:paraId="62C0B74F" w14:textId="5DBF2CDF" w:rsidR="00181211" w:rsidRPr="000A0371" w:rsidRDefault="00181211" w:rsidP="009461A8">
      <w:pPr>
        <w:spacing w:line="480" w:lineRule="auto"/>
        <w:jc w:val="both"/>
        <w:rPr>
          <w:rFonts w:ascii="Arial Black" w:hAnsi="Arial Black" w:cs="Arial"/>
        </w:rPr>
      </w:pPr>
      <w:r w:rsidRPr="000A0371">
        <w:rPr>
          <w:rFonts w:ascii="Arial Black" w:hAnsi="Arial Black" w:cs="Arial"/>
          <w:b/>
          <w:bCs/>
        </w:rPr>
        <w:t>Reliability Analysis</w:t>
      </w:r>
    </w:p>
    <w:p w14:paraId="5B8835BD" w14:textId="77777777" w:rsidR="00181211" w:rsidRDefault="00181211" w:rsidP="00181211">
      <w:pPr>
        <w:spacing w:line="480" w:lineRule="auto"/>
        <w:jc w:val="both"/>
        <w:rPr>
          <w:rFonts w:ascii="Arial" w:hAnsi="Arial" w:cs="Arial"/>
        </w:rPr>
      </w:pPr>
      <w:r w:rsidRPr="00181211">
        <w:rPr>
          <w:rFonts w:ascii="Arial" w:hAnsi="Arial" w:cs="Arial"/>
        </w:rPr>
        <w:t xml:space="preserve">The reliability of the Impact of Event Scale (IES) was evaluated at each of the three time periods to determine its internal consistency in measuring psychological distress. The results showed great reliability at Time 1, Time 2, and Time 3, consistent with prior </w:t>
      </w:r>
      <w:r w:rsidRPr="00181211">
        <w:rPr>
          <w:rFonts w:ascii="Arial" w:hAnsi="Arial" w:cs="Arial"/>
        </w:rPr>
        <w:lastRenderedPageBreak/>
        <w:t>validation research (Horowitz et al., 1979; Thewes et al., 2001). Cronbach's alpha values for the overall IES scores were 0.905 at time 1 (baseline), 0.890 at time 2 (while waiting), and 0.904 at time 3 (one month post results). These results significantly over the usually accepted threshold of 0.70, demonstrating strong internal reliability across all time points.</w:t>
      </w:r>
    </w:p>
    <w:p w14:paraId="62521F1E" w14:textId="77777777" w:rsidR="00181211" w:rsidRDefault="00181211" w:rsidP="00181211">
      <w:pPr>
        <w:spacing w:line="480" w:lineRule="auto"/>
        <w:jc w:val="both"/>
        <w:rPr>
          <w:rFonts w:ascii="Arial" w:hAnsi="Arial" w:cs="Arial"/>
        </w:rPr>
      </w:pPr>
      <w:r w:rsidRPr="00181211">
        <w:rPr>
          <w:rFonts w:ascii="Arial" w:hAnsi="Arial" w:cs="Arial"/>
        </w:rPr>
        <w:t>The high Cronbach's alpha values indicate that the IES questions consistently assess the underlying construct of distress associated with intrusive and avoidant thoughts. These findings support the scale's validity as a tool for detecting cancer-specific psychological distress, which was previously demonstrated in studies of people undergoing genetic risk assessments (Thewes et al., 2001).</w:t>
      </w:r>
    </w:p>
    <w:p w14:paraId="1D4405D5" w14:textId="77777777" w:rsidR="00181211" w:rsidRDefault="00181211" w:rsidP="00181211">
      <w:pPr>
        <w:spacing w:line="480" w:lineRule="auto"/>
        <w:jc w:val="both"/>
        <w:rPr>
          <w:rFonts w:ascii="Arial" w:hAnsi="Arial" w:cs="Arial"/>
        </w:rPr>
      </w:pPr>
      <w:r w:rsidRPr="00181211">
        <w:rPr>
          <w:rFonts w:ascii="Arial" w:hAnsi="Arial" w:cs="Arial"/>
        </w:rPr>
        <w:t>Item-total correlations were also investigated to determine whether each item contributed significantly to the overall scale score. Across all time points, no items indicated negative correlations with the total score, indicating that all items were consistent with the scale's intended items. For example, at Time 2, items assessing intrusive thoughts (e.g., "I thought about it when I didn't want to") and avoidance behaviours (e.g., "I tried not to think about it") had high corrected item-total correlations, suggesting that both subscales contributed positively to the IES total score.</w:t>
      </w:r>
    </w:p>
    <w:p w14:paraId="5E28B064" w14:textId="6B6F05F2" w:rsidR="00181211" w:rsidRDefault="00181211" w:rsidP="00181211">
      <w:pPr>
        <w:spacing w:line="480" w:lineRule="auto"/>
        <w:jc w:val="both"/>
        <w:rPr>
          <w:rFonts w:ascii="Arial" w:hAnsi="Arial" w:cs="Arial"/>
        </w:rPr>
      </w:pPr>
      <w:r w:rsidRPr="00181211">
        <w:rPr>
          <w:rFonts w:ascii="Arial" w:hAnsi="Arial" w:cs="Arial"/>
        </w:rPr>
        <w:t>Furthermore, there was limited proof that removing any item would considerably improve the overall reliability of the scale. This shows that the scale components, taken together, provide a balanced and comprehensive assessment of psychological distress, covering both intrusion and avoidance dimensions without redundancy or inconsistencies.</w:t>
      </w:r>
    </w:p>
    <w:p w14:paraId="3CF4F0AE" w14:textId="77777777" w:rsidR="00FB66A2" w:rsidRDefault="00FB66A2" w:rsidP="00181211">
      <w:pPr>
        <w:spacing w:line="480" w:lineRule="auto"/>
        <w:jc w:val="both"/>
        <w:rPr>
          <w:rFonts w:ascii="Arial Black" w:hAnsi="Arial Black" w:cs="Arial"/>
          <w:b/>
          <w:bCs/>
        </w:rPr>
      </w:pPr>
    </w:p>
    <w:p w14:paraId="1E9E3C14" w14:textId="1DF0E103" w:rsidR="00134AA0" w:rsidRPr="000A0371" w:rsidRDefault="00134AA0" w:rsidP="00181211">
      <w:pPr>
        <w:spacing w:line="480" w:lineRule="auto"/>
        <w:jc w:val="both"/>
        <w:rPr>
          <w:rFonts w:ascii="Arial Black" w:hAnsi="Arial Black" w:cs="Arial"/>
          <w:b/>
          <w:bCs/>
        </w:rPr>
      </w:pPr>
      <w:r w:rsidRPr="000A0371">
        <w:rPr>
          <w:rFonts w:ascii="Arial Black" w:hAnsi="Arial Black" w:cs="Arial"/>
          <w:b/>
          <w:bCs/>
        </w:rPr>
        <w:lastRenderedPageBreak/>
        <w:t>Inferential Analyses</w:t>
      </w:r>
    </w:p>
    <w:p w14:paraId="252B9530" w14:textId="77777777" w:rsidR="00F011B9" w:rsidRDefault="00F011B9" w:rsidP="00F011B9">
      <w:pPr>
        <w:spacing w:line="480" w:lineRule="auto"/>
        <w:jc w:val="both"/>
        <w:rPr>
          <w:rFonts w:ascii="Arial" w:hAnsi="Arial" w:cs="Arial"/>
        </w:rPr>
      </w:pPr>
      <w:r w:rsidRPr="00F011B9">
        <w:rPr>
          <w:rFonts w:ascii="Arial" w:hAnsi="Arial" w:cs="Arial"/>
        </w:rPr>
        <w:t>An independent samples t-test was used to evaluate if there were any pre-existing differences in distress levels between the two intervention groups at Baseline (Time 1). The goal was to guarantee group equality before assessing the intervention's long-term impact. The total scores on the Impact of Event Scale (IES) were used to determine distress levels, with higher scores indicating greater distress.</w:t>
      </w:r>
    </w:p>
    <w:p w14:paraId="146F2058" w14:textId="77777777" w:rsidR="00F011B9" w:rsidRDefault="00F011B9" w:rsidP="00F011B9">
      <w:pPr>
        <w:spacing w:line="480" w:lineRule="auto"/>
        <w:jc w:val="both"/>
        <w:rPr>
          <w:rFonts w:ascii="Arial" w:hAnsi="Arial" w:cs="Arial"/>
        </w:rPr>
      </w:pPr>
      <w:r w:rsidRPr="00F011B9">
        <w:rPr>
          <w:rFonts w:ascii="Arial" w:hAnsi="Arial" w:cs="Arial"/>
        </w:rPr>
        <w:t>Prior to analysing the t-test results, Levene's test for equality of variances was used to determine whether the variability in distress scores was equivalent between the two groups. Levene's test showed a non-significant result (F = 0.479, p = 0.490), indicating that the equal variance assumption was met. This allowed the analysis to proceed with the results from the SPSS output's "Equal Variances Assumed" row.</w:t>
      </w:r>
    </w:p>
    <w:p w14:paraId="062147D1" w14:textId="418D9F20" w:rsidR="00F011B9" w:rsidRDefault="00F011B9" w:rsidP="00F011B9">
      <w:pPr>
        <w:spacing w:line="480" w:lineRule="auto"/>
        <w:jc w:val="both"/>
        <w:rPr>
          <w:rFonts w:ascii="Arial" w:hAnsi="Arial" w:cs="Arial"/>
        </w:rPr>
      </w:pPr>
      <w:r w:rsidRPr="00F011B9">
        <w:rPr>
          <w:rFonts w:ascii="Arial" w:hAnsi="Arial" w:cs="Arial"/>
        </w:rPr>
        <w:t xml:space="preserve">The t-test results suggested no statistically significant difference in baseline distress levels between the two intervention groups, Leaflet Group 1 (M = 18.43, SD = 17.10) and Leaflet Group 2 (M = 19.74, SD = 16.38). The mean difference between the groups was minimal and non-significant, </w:t>
      </w:r>
      <w:r w:rsidRPr="00F011B9">
        <w:rPr>
          <w:rFonts w:ascii="Arial" w:hAnsi="Arial" w:cs="Arial"/>
        </w:rPr>
        <w:t>t (</w:t>
      </w:r>
      <w:r w:rsidRPr="00F011B9">
        <w:rPr>
          <w:rFonts w:ascii="Arial" w:hAnsi="Arial" w:cs="Arial"/>
        </w:rPr>
        <w:t>173) = -0.519, p = 0.605, showing that participants in both groups reported similar amounts of distress prior to receiving the interventions.</w:t>
      </w:r>
    </w:p>
    <w:p w14:paraId="0ECEFFC5" w14:textId="77777777" w:rsidR="00F011B9" w:rsidRDefault="00F011B9" w:rsidP="00F011B9">
      <w:pPr>
        <w:spacing w:line="480" w:lineRule="auto"/>
        <w:jc w:val="both"/>
        <w:rPr>
          <w:rFonts w:ascii="Arial" w:hAnsi="Arial" w:cs="Arial"/>
        </w:rPr>
      </w:pPr>
      <w:r w:rsidRPr="00F011B9">
        <w:rPr>
          <w:rFonts w:ascii="Arial" w:hAnsi="Arial" w:cs="Arial"/>
        </w:rPr>
        <w:t>These findings are significant because they demonstrate baseline equality between the two groups, ensuring that any subsequent differences in distress levels found over time may be attributed to the effects of the intervention leaflets rather than pre-existing differences. The wide standard deviations in both groups indicate that distress levels vary significantly within each group, which is consistent with the normality tests' strongly skewed distribution.</w:t>
      </w:r>
    </w:p>
    <w:p w14:paraId="07AB659C" w14:textId="77777777" w:rsidR="00F011B9" w:rsidRDefault="00F011B9" w:rsidP="00F011B9">
      <w:pPr>
        <w:spacing w:line="480" w:lineRule="auto"/>
        <w:jc w:val="both"/>
        <w:rPr>
          <w:rFonts w:ascii="Arial" w:hAnsi="Arial" w:cs="Arial"/>
        </w:rPr>
      </w:pPr>
      <w:r w:rsidRPr="00F011B9">
        <w:rPr>
          <w:rFonts w:ascii="Arial" w:hAnsi="Arial" w:cs="Arial"/>
        </w:rPr>
        <w:t xml:space="preserve">Furthermore, the lack of substantial baseline differences demonstrates the efficacy of the study's randomisation procedure. Randomisation guaranteed that individuals in </w:t>
      </w:r>
      <w:r w:rsidRPr="00F011B9">
        <w:rPr>
          <w:rFonts w:ascii="Arial" w:hAnsi="Arial" w:cs="Arial"/>
        </w:rPr>
        <w:lastRenderedPageBreak/>
        <w:t>both groups began with similar degrees of psychological distress, which is necessary for the study's findings to be valid. This similarity enables robust comparisons of intervention effectiveness across time between the two groups, hence allowing the use of following ANOVA studies to assess the main effects of time and group, as well as their interaction.</w:t>
      </w:r>
    </w:p>
    <w:p w14:paraId="4DB3F0C7" w14:textId="69B9602C" w:rsidR="00F011B9" w:rsidRDefault="00F011B9" w:rsidP="00F011B9">
      <w:pPr>
        <w:spacing w:line="480" w:lineRule="auto"/>
        <w:jc w:val="both"/>
        <w:rPr>
          <w:rFonts w:ascii="Arial" w:hAnsi="Arial" w:cs="Arial"/>
        </w:rPr>
      </w:pPr>
      <w:r w:rsidRPr="00F011B9">
        <w:rPr>
          <w:rFonts w:ascii="Arial" w:hAnsi="Arial" w:cs="Arial"/>
        </w:rPr>
        <w:t>To summarise, the t-test findings provide a strong foundation for the examination of intervention outcomes by establishing that the groups were comparable at the start of the trial, hence removing any confounding variables that could skew the interpretation of results.</w:t>
      </w:r>
    </w:p>
    <w:p w14:paraId="7D566E48" w14:textId="09D0391E" w:rsidR="000E75E7" w:rsidRPr="000A0371" w:rsidRDefault="000E75E7" w:rsidP="00F011B9">
      <w:pPr>
        <w:spacing w:line="480" w:lineRule="auto"/>
        <w:jc w:val="both"/>
        <w:rPr>
          <w:rFonts w:ascii="Arial Black" w:hAnsi="Arial Black" w:cs="Arial"/>
        </w:rPr>
      </w:pPr>
      <w:r w:rsidRPr="000A0371">
        <w:rPr>
          <w:rFonts w:ascii="Arial Black" w:hAnsi="Arial Black" w:cs="Arial"/>
        </w:rPr>
        <w:t>Mixed-Design ANOVA</w:t>
      </w:r>
    </w:p>
    <w:p w14:paraId="4C2E27A1" w14:textId="77777777" w:rsidR="006D36CA" w:rsidRDefault="006D36CA" w:rsidP="006D36CA">
      <w:pPr>
        <w:spacing w:line="480" w:lineRule="auto"/>
        <w:jc w:val="both"/>
        <w:rPr>
          <w:rFonts w:ascii="Arial" w:hAnsi="Arial" w:cs="Arial"/>
        </w:rPr>
      </w:pPr>
      <w:r w:rsidRPr="006D36CA">
        <w:rPr>
          <w:rFonts w:ascii="Arial" w:hAnsi="Arial" w:cs="Arial"/>
        </w:rPr>
        <w:t>A mixed-design ANOVA was used to determine the impact of the two leaflets on distress levels over time. This analysis was chosen because it takes into consideration both within-subject (Time 1, Time 2, Time 3) and between-subject effects (Leaflet Group 1 vs. Leaflet Group 2). Mauchly's sphericity test found a violation of the assumption (W =.963, p =.038), therefore Greenhouse-Geisser corrections were used.</w:t>
      </w:r>
    </w:p>
    <w:p w14:paraId="35B8D672" w14:textId="55B7D5EE" w:rsidR="006D36CA" w:rsidRDefault="006D36CA" w:rsidP="006D36CA">
      <w:pPr>
        <w:spacing w:line="480" w:lineRule="auto"/>
        <w:jc w:val="both"/>
        <w:rPr>
          <w:rFonts w:ascii="Arial" w:hAnsi="Arial" w:cs="Arial"/>
        </w:rPr>
      </w:pPr>
      <w:r w:rsidRPr="006D36CA">
        <w:rPr>
          <w:rFonts w:ascii="Arial" w:hAnsi="Arial" w:cs="Arial"/>
        </w:rPr>
        <w:t xml:space="preserve">The main effect of time was significant, </w:t>
      </w:r>
      <w:r w:rsidRPr="006D36CA">
        <w:rPr>
          <w:rFonts w:ascii="Arial" w:hAnsi="Arial" w:cs="Arial"/>
        </w:rPr>
        <w:t>F (</w:t>
      </w:r>
      <w:r w:rsidRPr="006D36CA">
        <w:rPr>
          <w:rFonts w:ascii="Arial" w:hAnsi="Arial" w:cs="Arial"/>
        </w:rPr>
        <w:t xml:space="preserve">1.93, 332.64) = 25.145, p &lt;.001, demonstrating that distress levels dramatically decreased throughout the three time points. The interaction between Time and Group was not significant, </w:t>
      </w:r>
      <w:r w:rsidRPr="006D36CA">
        <w:rPr>
          <w:rFonts w:ascii="Arial" w:hAnsi="Arial" w:cs="Arial"/>
        </w:rPr>
        <w:t>F (</w:t>
      </w:r>
      <w:r w:rsidRPr="006D36CA">
        <w:rPr>
          <w:rFonts w:ascii="Arial" w:hAnsi="Arial" w:cs="Arial"/>
        </w:rPr>
        <w:t xml:space="preserve">1.93, 332.64) = 1.609, p =.202, indicating no variations in the efficiency of the two leaflets. The main effect of Group was also non-significant, </w:t>
      </w:r>
      <w:r w:rsidRPr="006D36CA">
        <w:rPr>
          <w:rFonts w:ascii="Arial" w:hAnsi="Arial" w:cs="Arial"/>
        </w:rPr>
        <w:t>F (</w:t>
      </w:r>
      <w:r w:rsidRPr="006D36CA">
        <w:rPr>
          <w:rFonts w:ascii="Arial" w:hAnsi="Arial" w:cs="Arial"/>
        </w:rPr>
        <w:t>1, 173) =.260, p =.611</w:t>
      </w:r>
      <w:r w:rsidR="000A0371">
        <w:rPr>
          <w:rFonts w:ascii="Arial" w:hAnsi="Arial" w:cs="Arial"/>
        </w:rPr>
        <w:t>.</w:t>
      </w:r>
    </w:p>
    <w:p w14:paraId="3E4572C5" w14:textId="77777777" w:rsidR="006D36CA" w:rsidRPr="000A0371" w:rsidRDefault="006D36CA" w:rsidP="006D36CA">
      <w:pPr>
        <w:spacing w:line="480" w:lineRule="auto"/>
        <w:jc w:val="both"/>
        <w:rPr>
          <w:rFonts w:ascii="Arial Black" w:hAnsi="Arial Black" w:cs="Arial"/>
        </w:rPr>
      </w:pPr>
      <w:r w:rsidRPr="006D36CA">
        <w:rPr>
          <w:rFonts w:ascii="Arial Black" w:hAnsi="Arial Black" w:cs="Arial"/>
        </w:rPr>
        <w:t>Post-hoc analyses</w:t>
      </w:r>
    </w:p>
    <w:p w14:paraId="3BE66455" w14:textId="7B81D140" w:rsidR="006D36CA" w:rsidRDefault="006D36CA" w:rsidP="006D36CA">
      <w:pPr>
        <w:spacing w:line="480" w:lineRule="auto"/>
        <w:jc w:val="both"/>
        <w:rPr>
          <w:rFonts w:ascii="Arial" w:hAnsi="Arial" w:cs="Arial"/>
        </w:rPr>
      </w:pPr>
      <w:r w:rsidRPr="006D36CA">
        <w:rPr>
          <w:rFonts w:ascii="Arial" w:hAnsi="Arial" w:cs="Arial"/>
        </w:rPr>
        <w:t xml:space="preserve">Pairwise comparisons using Bonferroni correction revealed substantial reductions in distress between Time 1 and Time 3 (p &lt;.001) and Time 2 and Time 3 (p &lt;.001) for </w:t>
      </w:r>
      <w:r w:rsidRPr="006D36CA">
        <w:rPr>
          <w:rFonts w:ascii="Arial" w:hAnsi="Arial" w:cs="Arial"/>
        </w:rPr>
        <w:lastRenderedPageBreak/>
        <w:t>both leaflet groups. These findings confirm the intervention's overall success while highlighting the fact that both leaflets had equal impact.</w:t>
      </w:r>
    </w:p>
    <w:p w14:paraId="7AD8719F" w14:textId="01CDD666" w:rsidR="006D36CA" w:rsidRPr="000A0371" w:rsidRDefault="000A0371" w:rsidP="006D36CA">
      <w:pPr>
        <w:spacing w:line="480" w:lineRule="auto"/>
        <w:jc w:val="both"/>
        <w:rPr>
          <w:rFonts w:ascii="Arial Black" w:hAnsi="Arial Black" w:cs="Arial"/>
        </w:rPr>
      </w:pPr>
      <w:r w:rsidRPr="000A0371">
        <w:rPr>
          <w:rFonts w:ascii="Arial Black" w:hAnsi="Arial Black" w:cs="Arial"/>
        </w:rPr>
        <w:t xml:space="preserve">Conclusion </w:t>
      </w:r>
    </w:p>
    <w:p w14:paraId="120492DA" w14:textId="77777777" w:rsidR="000A0371" w:rsidRDefault="000A0371" w:rsidP="000A0371">
      <w:pPr>
        <w:spacing w:line="480" w:lineRule="auto"/>
        <w:jc w:val="both"/>
        <w:rPr>
          <w:rFonts w:ascii="Arial" w:hAnsi="Arial" w:cs="Arial"/>
        </w:rPr>
      </w:pPr>
      <w:r w:rsidRPr="000A0371">
        <w:rPr>
          <w:rFonts w:ascii="Arial" w:hAnsi="Arial" w:cs="Arial"/>
        </w:rPr>
        <w:t xml:space="preserve">The findings indicate that both intervention leaflets are successful at reducing distress among those undergoing genetic risk assessments. Distress levels fell dramatically over time, with the most significant reductions happening between Time 2 and Time 3. By Time 3, </w:t>
      </w:r>
      <w:r w:rsidRPr="000A0371">
        <w:rPr>
          <w:rFonts w:ascii="Arial" w:hAnsi="Arial" w:cs="Arial"/>
        </w:rPr>
        <w:t>most</w:t>
      </w:r>
      <w:r w:rsidRPr="000A0371">
        <w:rPr>
          <w:rFonts w:ascii="Arial" w:hAnsi="Arial" w:cs="Arial"/>
        </w:rPr>
        <w:t xml:space="preserve"> participants reported distress levels in the "low" category, according to the study codebook's IES classification (Horowitz et al., 1979). This emphasises the clinical significance of structured coping techniques in lowering psychological distress.</w:t>
      </w:r>
    </w:p>
    <w:p w14:paraId="6B3D5088" w14:textId="6E3CE08E" w:rsidR="000A0371" w:rsidRDefault="000A0371" w:rsidP="000A0371">
      <w:pPr>
        <w:spacing w:line="480" w:lineRule="auto"/>
        <w:jc w:val="both"/>
        <w:rPr>
          <w:rFonts w:ascii="Arial" w:hAnsi="Arial" w:cs="Arial"/>
        </w:rPr>
      </w:pPr>
      <w:r w:rsidRPr="000A0371">
        <w:rPr>
          <w:rFonts w:ascii="Arial" w:hAnsi="Arial" w:cs="Arial"/>
        </w:rPr>
        <w:t>The lack of significant differences between the two leaflets shows that variations in phra</w:t>
      </w:r>
      <w:r>
        <w:rPr>
          <w:rFonts w:ascii="Arial" w:hAnsi="Arial" w:cs="Arial"/>
        </w:rPr>
        <w:t>sing</w:t>
      </w:r>
      <w:r w:rsidRPr="000A0371">
        <w:rPr>
          <w:rFonts w:ascii="Arial" w:hAnsi="Arial" w:cs="Arial"/>
        </w:rPr>
        <w:t xml:space="preserve"> and described activities had little impact on effectiveness. This finding may reflect the resilience of the overall coping mechanism that underpins both therapies. To further improve these approaches, future research could </w:t>
      </w:r>
      <w:r w:rsidRPr="000A0371">
        <w:rPr>
          <w:rFonts w:ascii="Arial" w:hAnsi="Arial" w:cs="Arial"/>
        </w:rPr>
        <w:t>investigate</w:t>
      </w:r>
      <w:r w:rsidRPr="000A0371">
        <w:rPr>
          <w:rFonts w:ascii="Arial" w:hAnsi="Arial" w:cs="Arial"/>
        </w:rPr>
        <w:t xml:space="preserve"> individual-level factors such baseline coping strategies or psychological resilience.</w:t>
      </w:r>
    </w:p>
    <w:p w14:paraId="72252E4F" w14:textId="77777777" w:rsidR="00FB66A2" w:rsidRDefault="000A0371" w:rsidP="000A0371">
      <w:pPr>
        <w:spacing w:line="480" w:lineRule="auto"/>
        <w:jc w:val="both"/>
        <w:rPr>
          <w:rFonts w:ascii="Arial" w:hAnsi="Arial" w:cs="Arial"/>
        </w:rPr>
      </w:pPr>
      <w:r w:rsidRPr="000A0371">
        <w:rPr>
          <w:rFonts w:ascii="Arial" w:hAnsi="Arial" w:cs="Arial"/>
        </w:rPr>
        <w:t xml:space="preserve">Finally, this study demonstrates the effectiveness of structured coping strategies in reducing </w:t>
      </w:r>
      <w:r>
        <w:rPr>
          <w:rFonts w:ascii="Arial" w:hAnsi="Arial" w:cs="Arial"/>
        </w:rPr>
        <w:t>di</w:t>
      </w:r>
      <w:r w:rsidRPr="000A0371">
        <w:rPr>
          <w:rFonts w:ascii="Arial" w:hAnsi="Arial" w:cs="Arial"/>
        </w:rPr>
        <w:t>stress during the genetic risk assessment procedure. These procedures, by reducing psychological distress, can improve patient well-being and enable informed decision-making in high-stress environments.</w:t>
      </w:r>
    </w:p>
    <w:p w14:paraId="7E6EA996" w14:textId="77777777" w:rsidR="00FB66A2" w:rsidRDefault="00FB66A2" w:rsidP="000A0371">
      <w:pPr>
        <w:spacing w:line="480" w:lineRule="auto"/>
        <w:jc w:val="both"/>
        <w:rPr>
          <w:rFonts w:ascii="Arial Black" w:hAnsi="Arial Black" w:cs="Arial"/>
        </w:rPr>
      </w:pPr>
    </w:p>
    <w:p w14:paraId="4664A8BA" w14:textId="77777777" w:rsidR="00FB66A2" w:rsidRDefault="00FB66A2" w:rsidP="000A0371">
      <w:pPr>
        <w:spacing w:line="480" w:lineRule="auto"/>
        <w:jc w:val="both"/>
        <w:rPr>
          <w:rFonts w:ascii="Arial Black" w:hAnsi="Arial Black" w:cs="Arial"/>
        </w:rPr>
      </w:pPr>
    </w:p>
    <w:p w14:paraId="7070B632" w14:textId="77777777" w:rsidR="00FB66A2" w:rsidRDefault="00FB66A2" w:rsidP="000A0371">
      <w:pPr>
        <w:spacing w:line="480" w:lineRule="auto"/>
        <w:jc w:val="both"/>
        <w:rPr>
          <w:rFonts w:ascii="Arial Black" w:hAnsi="Arial Black" w:cs="Arial"/>
        </w:rPr>
      </w:pPr>
    </w:p>
    <w:p w14:paraId="41E778E2" w14:textId="77777777" w:rsidR="00FB66A2" w:rsidRDefault="00FB66A2" w:rsidP="000A0371">
      <w:pPr>
        <w:spacing w:line="480" w:lineRule="auto"/>
        <w:jc w:val="both"/>
        <w:rPr>
          <w:rFonts w:ascii="Arial Black" w:hAnsi="Arial Black" w:cs="Arial"/>
        </w:rPr>
      </w:pPr>
    </w:p>
    <w:p w14:paraId="70E60AAA" w14:textId="2F0A86F0" w:rsidR="000A0371" w:rsidRPr="00FB66A2" w:rsidRDefault="000A0371" w:rsidP="000A0371">
      <w:pPr>
        <w:spacing w:line="480" w:lineRule="auto"/>
        <w:jc w:val="both"/>
        <w:rPr>
          <w:rFonts w:ascii="Arial Black" w:hAnsi="Arial Black" w:cs="Arial"/>
        </w:rPr>
      </w:pPr>
      <w:r w:rsidRPr="00FB66A2">
        <w:rPr>
          <w:rFonts w:ascii="Arial Black" w:hAnsi="Arial Black" w:cs="Arial"/>
        </w:rPr>
        <w:lastRenderedPageBreak/>
        <w:t>References</w:t>
      </w:r>
    </w:p>
    <w:p w14:paraId="7E3975F5" w14:textId="69EDB3A6" w:rsidR="000A0371" w:rsidRDefault="000A0371" w:rsidP="000A0371">
      <w:pPr>
        <w:spacing w:line="360" w:lineRule="auto"/>
        <w:ind w:left="720" w:hanging="720"/>
        <w:jc w:val="both"/>
        <w:rPr>
          <w:rFonts w:ascii="Arial" w:hAnsi="Arial" w:cs="Arial"/>
        </w:rPr>
      </w:pPr>
      <w:r w:rsidRPr="000A0371">
        <w:rPr>
          <w:rFonts w:ascii="Arial" w:hAnsi="Arial" w:cs="Arial"/>
        </w:rPr>
        <w:t xml:space="preserve">Horowitz, M., Wilner, N., &amp; Alvarez, W. (1979). Impact of Event Scale: A measure of subjective stress. </w:t>
      </w:r>
      <w:r w:rsidRPr="000A0371">
        <w:rPr>
          <w:rFonts w:ascii="Arial" w:hAnsi="Arial" w:cs="Arial"/>
          <w:i/>
          <w:iCs/>
        </w:rPr>
        <w:t>Psychosomatic Medicine, 41</w:t>
      </w:r>
      <w:r w:rsidRPr="000A0371">
        <w:rPr>
          <w:rFonts w:ascii="Arial" w:hAnsi="Arial" w:cs="Arial"/>
        </w:rPr>
        <w:t xml:space="preserve">(3), 209–218. </w:t>
      </w:r>
      <w:hyperlink r:id="rId7" w:history="1">
        <w:r w:rsidRPr="001C4A7D">
          <w:rPr>
            <w:rStyle w:val="Hyperlink"/>
            <w:rFonts w:ascii="Arial" w:hAnsi="Arial" w:cs="Arial"/>
          </w:rPr>
          <w:t>https://doi.org/10.1097/00006842-197905000-00004</w:t>
        </w:r>
      </w:hyperlink>
    </w:p>
    <w:p w14:paraId="0BEC06A5" w14:textId="176E8BB5" w:rsidR="00FB66A2" w:rsidRDefault="00FB66A2" w:rsidP="000A0371">
      <w:pPr>
        <w:spacing w:line="360" w:lineRule="auto"/>
        <w:ind w:left="720" w:hanging="720"/>
        <w:jc w:val="both"/>
        <w:rPr>
          <w:rFonts w:ascii="Arial" w:hAnsi="Arial" w:cs="Arial"/>
        </w:rPr>
      </w:pPr>
      <w:r w:rsidRPr="00FB66A2">
        <w:rPr>
          <w:rFonts w:ascii="Arial" w:hAnsi="Arial" w:cs="Arial"/>
        </w:rPr>
        <w:t xml:space="preserve">Pallant, J. (2020). </w:t>
      </w:r>
      <w:r w:rsidRPr="00FB66A2">
        <w:rPr>
          <w:rFonts w:ascii="Arial" w:hAnsi="Arial" w:cs="Arial"/>
          <w:i/>
          <w:iCs/>
        </w:rPr>
        <w:t>SPSS survival manual: A step-by-step guide to data analysis using IBM SPSS</w:t>
      </w:r>
      <w:r w:rsidRPr="00FB66A2">
        <w:rPr>
          <w:rFonts w:ascii="Arial" w:hAnsi="Arial" w:cs="Arial"/>
        </w:rPr>
        <w:t xml:space="preserve"> (7th ed.). Routledge. </w:t>
      </w:r>
    </w:p>
    <w:p w14:paraId="149C3160" w14:textId="77777777" w:rsidR="008117BB" w:rsidRDefault="008117BB" w:rsidP="000A0371">
      <w:pPr>
        <w:spacing w:line="360" w:lineRule="auto"/>
        <w:ind w:left="720" w:hanging="720"/>
        <w:jc w:val="both"/>
        <w:rPr>
          <w:rFonts w:ascii="Arial" w:hAnsi="Arial" w:cs="Arial"/>
        </w:rPr>
      </w:pPr>
    </w:p>
    <w:p w14:paraId="0B1B164C" w14:textId="77777777" w:rsidR="008117BB" w:rsidRDefault="008117BB" w:rsidP="000A0371">
      <w:pPr>
        <w:spacing w:line="360" w:lineRule="auto"/>
        <w:ind w:left="720" w:hanging="720"/>
        <w:jc w:val="both"/>
        <w:rPr>
          <w:rFonts w:ascii="Arial" w:hAnsi="Arial" w:cs="Arial"/>
        </w:rPr>
      </w:pPr>
    </w:p>
    <w:p w14:paraId="279F4176" w14:textId="77777777" w:rsidR="000A0371" w:rsidRPr="006D36CA" w:rsidRDefault="000A0371" w:rsidP="006D36CA">
      <w:pPr>
        <w:spacing w:line="480" w:lineRule="auto"/>
        <w:jc w:val="both"/>
        <w:rPr>
          <w:rFonts w:ascii="Arial" w:hAnsi="Arial" w:cs="Arial"/>
        </w:rPr>
      </w:pPr>
    </w:p>
    <w:p w14:paraId="7D17BEEA" w14:textId="77777777" w:rsidR="00C425BD" w:rsidRPr="00C425BD" w:rsidRDefault="00C425BD" w:rsidP="00C425BD">
      <w:pPr>
        <w:spacing w:line="480" w:lineRule="auto"/>
        <w:jc w:val="both"/>
        <w:rPr>
          <w:rFonts w:ascii="Arial" w:hAnsi="Arial" w:cs="Arial"/>
        </w:rPr>
      </w:pPr>
    </w:p>
    <w:p w14:paraId="0DABDE13" w14:textId="480CA847" w:rsidR="004E5E94" w:rsidRPr="004E5E94" w:rsidRDefault="008117BB" w:rsidP="004E5E94">
      <w:pPr>
        <w:spacing w:line="480" w:lineRule="auto"/>
        <w:jc w:val="both"/>
        <w:rPr>
          <w:rFonts w:ascii="Arial" w:hAnsi="Arial" w:cs="Arial"/>
        </w:rPr>
      </w:pPr>
      <w:r>
        <w:rPr>
          <w:rFonts w:ascii="Arial" w:hAnsi="Arial" w:cs="Arial"/>
        </w:rPr>
        <w:object w:dxaOrig="1504" w:dyaOrig="980" w14:anchorId="28A080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2pt;height:49pt" o:ole="">
            <v:imagedata r:id="rId8" o:title=""/>
          </v:shape>
          <o:OLEObject Type="Embed" ProgID="Package" ShapeID="_x0000_i1025" DrawAspect="Icon" ObjectID="_1796732112" r:id="rId9"/>
        </w:object>
      </w:r>
    </w:p>
    <w:sectPr w:rsidR="004E5E94" w:rsidRPr="004E5E94" w:rsidSect="000A0371">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00E9CF" w14:textId="77777777" w:rsidR="000D7C51" w:rsidRDefault="000D7C51" w:rsidP="000A0371">
      <w:pPr>
        <w:spacing w:after="0" w:line="240" w:lineRule="auto"/>
      </w:pPr>
      <w:r>
        <w:separator/>
      </w:r>
    </w:p>
  </w:endnote>
  <w:endnote w:type="continuationSeparator" w:id="0">
    <w:p w14:paraId="755BE1C1" w14:textId="77777777" w:rsidR="000D7C51" w:rsidRDefault="000D7C51" w:rsidP="000A0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DFD250" w14:textId="77777777" w:rsidR="000D7C51" w:rsidRDefault="000D7C51" w:rsidP="000A0371">
      <w:pPr>
        <w:spacing w:after="0" w:line="240" w:lineRule="auto"/>
      </w:pPr>
      <w:r>
        <w:separator/>
      </w:r>
    </w:p>
  </w:footnote>
  <w:footnote w:type="continuationSeparator" w:id="0">
    <w:p w14:paraId="23A355F2" w14:textId="77777777" w:rsidR="000D7C51" w:rsidRDefault="000D7C51" w:rsidP="000A03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1579674"/>
      <w:docPartObj>
        <w:docPartGallery w:val="Page Numbers (Top of Page)"/>
        <w:docPartUnique/>
      </w:docPartObj>
    </w:sdtPr>
    <w:sdtEndPr>
      <w:rPr>
        <w:noProof/>
      </w:rPr>
    </w:sdtEndPr>
    <w:sdtContent>
      <w:p w14:paraId="64CFB4CF" w14:textId="4BA87EEC" w:rsidR="000A0371" w:rsidRDefault="000A037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1D09114" w14:textId="77777777" w:rsidR="000A0371" w:rsidRDefault="000A03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E94"/>
    <w:rsid w:val="000A0371"/>
    <w:rsid w:val="000B0C5B"/>
    <w:rsid w:val="000D7C51"/>
    <w:rsid w:val="000E75E7"/>
    <w:rsid w:val="000F45D5"/>
    <w:rsid w:val="00134AA0"/>
    <w:rsid w:val="00181211"/>
    <w:rsid w:val="004E5E94"/>
    <w:rsid w:val="006D36CA"/>
    <w:rsid w:val="008117BB"/>
    <w:rsid w:val="009461A8"/>
    <w:rsid w:val="00C425BD"/>
    <w:rsid w:val="00D82CA7"/>
    <w:rsid w:val="00F011B9"/>
    <w:rsid w:val="00FB6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58C3A"/>
  <w15:chartTrackingRefBased/>
  <w15:docId w15:val="{4C50398F-5AC3-4A4A-8943-567370ED6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E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5E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5E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5E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5E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5E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E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E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E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E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5E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5E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5E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5E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5E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E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E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E94"/>
    <w:rPr>
      <w:rFonts w:eastAsiaTheme="majorEastAsia" w:cstheme="majorBidi"/>
      <w:color w:val="272727" w:themeColor="text1" w:themeTint="D8"/>
    </w:rPr>
  </w:style>
  <w:style w:type="paragraph" w:styleId="Title">
    <w:name w:val="Title"/>
    <w:basedOn w:val="Normal"/>
    <w:next w:val="Normal"/>
    <w:link w:val="TitleChar"/>
    <w:uiPriority w:val="10"/>
    <w:qFormat/>
    <w:rsid w:val="004E5E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E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E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E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E94"/>
    <w:pPr>
      <w:spacing w:before="160"/>
      <w:jc w:val="center"/>
    </w:pPr>
    <w:rPr>
      <w:i/>
      <w:iCs/>
      <w:color w:val="404040" w:themeColor="text1" w:themeTint="BF"/>
    </w:rPr>
  </w:style>
  <w:style w:type="character" w:customStyle="1" w:styleId="QuoteChar">
    <w:name w:val="Quote Char"/>
    <w:basedOn w:val="DefaultParagraphFont"/>
    <w:link w:val="Quote"/>
    <w:uiPriority w:val="29"/>
    <w:rsid w:val="004E5E94"/>
    <w:rPr>
      <w:i/>
      <w:iCs/>
      <w:color w:val="404040" w:themeColor="text1" w:themeTint="BF"/>
    </w:rPr>
  </w:style>
  <w:style w:type="paragraph" w:styleId="ListParagraph">
    <w:name w:val="List Paragraph"/>
    <w:basedOn w:val="Normal"/>
    <w:uiPriority w:val="34"/>
    <w:qFormat/>
    <w:rsid w:val="004E5E94"/>
    <w:pPr>
      <w:ind w:left="720"/>
      <w:contextualSpacing/>
    </w:pPr>
  </w:style>
  <w:style w:type="character" w:styleId="IntenseEmphasis">
    <w:name w:val="Intense Emphasis"/>
    <w:basedOn w:val="DefaultParagraphFont"/>
    <w:uiPriority w:val="21"/>
    <w:qFormat/>
    <w:rsid w:val="004E5E94"/>
    <w:rPr>
      <w:i/>
      <w:iCs/>
      <w:color w:val="0F4761" w:themeColor="accent1" w:themeShade="BF"/>
    </w:rPr>
  </w:style>
  <w:style w:type="paragraph" w:styleId="IntenseQuote">
    <w:name w:val="Intense Quote"/>
    <w:basedOn w:val="Normal"/>
    <w:next w:val="Normal"/>
    <w:link w:val="IntenseQuoteChar"/>
    <w:uiPriority w:val="30"/>
    <w:qFormat/>
    <w:rsid w:val="004E5E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5E94"/>
    <w:rPr>
      <w:i/>
      <w:iCs/>
      <w:color w:val="0F4761" w:themeColor="accent1" w:themeShade="BF"/>
    </w:rPr>
  </w:style>
  <w:style w:type="character" w:styleId="IntenseReference">
    <w:name w:val="Intense Reference"/>
    <w:basedOn w:val="DefaultParagraphFont"/>
    <w:uiPriority w:val="32"/>
    <w:qFormat/>
    <w:rsid w:val="004E5E94"/>
    <w:rPr>
      <w:b/>
      <w:bCs/>
      <w:smallCaps/>
      <w:color w:val="0F4761" w:themeColor="accent1" w:themeShade="BF"/>
      <w:spacing w:val="5"/>
    </w:rPr>
  </w:style>
  <w:style w:type="character" w:styleId="Hyperlink">
    <w:name w:val="Hyperlink"/>
    <w:basedOn w:val="DefaultParagraphFont"/>
    <w:uiPriority w:val="99"/>
    <w:unhideWhenUsed/>
    <w:rsid w:val="000A0371"/>
    <w:rPr>
      <w:color w:val="467886" w:themeColor="hyperlink"/>
      <w:u w:val="single"/>
    </w:rPr>
  </w:style>
  <w:style w:type="character" w:styleId="UnresolvedMention">
    <w:name w:val="Unresolved Mention"/>
    <w:basedOn w:val="DefaultParagraphFont"/>
    <w:uiPriority w:val="99"/>
    <w:semiHidden/>
    <w:unhideWhenUsed/>
    <w:rsid w:val="000A0371"/>
    <w:rPr>
      <w:color w:val="605E5C"/>
      <w:shd w:val="clear" w:color="auto" w:fill="E1DFDD"/>
    </w:rPr>
  </w:style>
  <w:style w:type="paragraph" w:styleId="Header">
    <w:name w:val="header"/>
    <w:basedOn w:val="Normal"/>
    <w:link w:val="HeaderChar"/>
    <w:uiPriority w:val="99"/>
    <w:unhideWhenUsed/>
    <w:rsid w:val="000A03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371"/>
  </w:style>
  <w:style w:type="paragraph" w:styleId="Footer">
    <w:name w:val="footer"/>
    <w:basedOn w:val="Normal"/>
    <w:link w:val="FooterChar"/>
    <w:uiPriority w:val="99"/>
    <w:unhideWhenUsed/>
    <w:rsid w:val="000A03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371"/>
  </w:style>
  <w:style w:type="paragraph" w:styleId="NoSpacing">
    <w:name w:val="No Spacing"/>
    <w:link w:val="NoSpacingChar"/>
    <w:uiPriority w:val="1"/>
    <w:qFormat/>
    <w:rsid w:val="000A037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A0371"/>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22448">
      <w:bodyDiv w:val="1"/>
      <w:marLeft w:val="0"/>
      <w:marRight w:val="0"/>
      <w:marTop w:val="0"/>
      <w:marBottom w:val="0"/>
      <w:divBdr>
        <w:top w:val="none" w:sz="0" w:space="0" w:color="auto"/>
        <w:left w:val="none" w:sz="0" w:space="0" w:color="auto"/>
        <w:bottom w:val="none" w:sz="0" w:space="0" w:color="auto"/>
        <w:right w:val="none" w:sz="0" w:space="0" w:color="auto"/>
      </w:divBdr>
    </w:div>
    <w:div w:id="286595092">
      <w:bodyDiv w:val="1"/>
      <w:marLeft w:val="0"/>
      <w:marRight w:val="0"/>
      <w:marTop w:val="0"/>
      <w:marBottom w:val="0"/>
      <w:divBdr>
        <w:top w:val="none" w:sz="0" w:space="0" w:color="auto"/>
        <w:left w:val="none" w:sz="0" w:space="0" w:color="auto"/>
        <w:bottom w:val="none" w:sz="0" w:space="0" w:color="auto"/>
        <w:right w:val="none" w:sz="0" w:space="0" w:color="auto"/>
      </w:divBdr>
    </w:div>
    <w:div w:id="617565541">
      <w:bodyDiv w:val="1"/>
      <w:marLeft w:val="0"/>
      <w:marRight w:val="0"/>
      <w:marTop w:val="0"/>
      <w:marBottom w:val="0"/>
      <w:divBdr>
        <w:top w:val="none" w:sz="0" w:space="0" w:color="auto"/>
        <w:left w:val="none" w:sz="0" w:space="0" w:color="auto"/>
        <w:bottom w:val="none" w:sz="0" w:space="0" w:color="auto"/>
        <w:right w:val="none" w:sz="0" w:space="0" w:color="auto"/>
      </w:divBdr>
    </w:div>
    <w:div w:id="807360598">
      <w:bodyDiv w:val="1"/>
      <w:marLeft w:val="0"/>
      <w:marRight w:val="0"/>
      <w:marTop w:val="0"/>
      <w:marBottom w:val="0"/>
      <w:divBdr>
        <w:top w:val="none" w:sz="0" w:space="0" w:color="auto"/>
        <w:left w:val="none" w:sz="0" w:space="0" w:color="auto"/>
        <w:bottom w:val="none" w:sz="0" w:space="0" w:color="auto"/>
        <w:right w:val="none" w:sz="0" w:space="0" w:color="auto"/>
      </w:divBdr>
    </w:div>
    <w:div w:id="1098452872">
      <w:bodyDiv w:val="1"/>
      <w:marLeft w:val="0"/>
      <w:marRight w:val="0"/>
      <w:marTop w:val="0"/>
      <w:marBottom w:val="0"/>
      <w:divBdr>
        <w:top w:val="none" w:sz="0" w:space="0" w:color="auto"/>
        <w:left w:val="none" w:sz="0" w:space="0" w:color="auto"/>
        <w:bottom w:val="none" w:sz="0" w:space="0" w:color="auto"/>
        <w:right w:val="none" w:sz="0" w:space="0" w:color="auto"/>
      </w:divBdr>
    </w:div>
    <w:div w:id="1273128873">
      <w:bodyDiv w:val="1"/>
      <w:marLeft w:val="0"/>
      <w:marRight w:val="0"/>
      <w:marTop w:val="0"/>
      <w:marBottom w:val="0"/>
      <w:divBdr>
        <w:top w:val="none" w:sz="0" w:space="0" w:color="auto"/>
        <w:left w:val="none" w:sz="0" w:space="0" w:color="auto"/>
        <w:bottom w:val="none" w:sz="0" w:space="0" w:color="auto"/>
        <w:right w:val="none" w:sz="0" w:space="0" w:color="auto"/>
      </w:divBdr>
    </w:div>
    <w:div w:id="1763988460">
      <w:bodyDiv w:val="1"/>
      <w:marLeft w:val="0"/>
      <w:marRight w:val="0"/>
      <w:marTop w:val="0"/>
      <w:marBottom w:val="0"/>
      <w:divBdr>
        <w:top w:val="none" w:sz="0" w:space="0" w:color="auto"/>
        <w:left w:val="none" w:sz="0" w:space="0" w:color="auto"/>
        <w:bottom w:val="none" w:sz="0" w:space="0" w:color="auto"/>
        <w:right w:val="none" w:sz="0" w:space="0" w:color="auto"/>
      </w:divBdr>
    </w:div>
    <w:div w:id="1818065790">
      <w:bodyDiv w:val="1"/>
      <w:marLeft w:val="0"/>
      <w:marRight w:val="0"/>
      <w:marTop w:val="0"/>
      <w:marBottom w:val="0"/>
      <w:divBdr>
        <w:top w:val="none" w:sz="0" w:space="0" w:color="auto"/>
        <w:left w:val="none" w:sz="0" w:space="0" w:color="auto"/>
        <w:bottom w:val="none" w:sz="0" w:space="0" w:color="auto"/>
        <w:right w:val="none" w:sz="0" w:space="0" w:color="auto"/>
      </w:divBdr>
    </w:div>
    <w:div w:id="2044473304">
      <w:bodyDiv w:val="1"/>
      <w:marLeft w:val="0"/>
      <w:marRight w:val="0"/>
      <w:marTop w:val="0"/>
      <w:marBottom w:val="0"/>
      <w:divBdr>
        <w:top w:val="none" w:sz="0" w:space="0" w:color="auto"/>
        <w:left w:val="none" w:sz="0" w:space="0" w:color="auto"/>
        <w:bottom w:val="none" w:sz="0" w:space="0" w:color="auto"/>
        <w:right w:val="none" w:sz="0" w:space="0" w:color="auto"/>
      </w:divBdr>
    </w:div>
    <w:div w:id="213189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s://doi.org/10.1097/00006842-197905000-0000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2025-01-07T00:00:00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2104</Words>
  <Characters>11998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Quantitative Report Results Write-up</dc:title>
  <dc:subject/>
  <dc:creator>Mirabela Voican (1907947)</dc:creator>
  <cp:keywords/>
  <dc:description/>
  <cp:lastModifiedBy>Mirabela Voican (1907947)</cp:lastModifiedBy>
  <cp:revision>2</cp:revision>
  <dcterms:created xsi:type="dcterms:W3CDTF">2024-12-26T15:29:00Z</dcterms:created>
  <dcterms:modified xsi:type="dcterms:W3CDTF">2024-12-26T15:29:00Z</dcterms:modified>
</cp:coreProperties>
</file>