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39FBD2DD"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4C771C" w:rsidRPr="00E446B9">
              <w:rPr>
                <w:rFonts w:ascii="Trebuchet MS" w:eastAsia="Arial" w:hAnsi="Trebuchet MS" w:cstheme="minorHAnsi"/>
                <w:b/>
                <w:color w:val="595959" w:themeColor="text1" w:themeTint="A6"/>
                <w:sz w:val="28"/>
                <w:szCs w:val="28"/>
                <w:lang w:eastAsia="en-US"/>
              </w:rPr>
              <w:t>1</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5B90B160" w:rsidP="5B90B160">
      <w:pPr>
        <w:rPr>
          <w:rStyle w:val="Hyperlink"/>
          <w:rFonts w:ascii="Trebuchet MS" w:hAnsi="Trebuchet MS"/>
          <w:b/>
          <w:color w:val="004147"/>
        </w:rPr>
      </w:pPr>
      <w:hyperlink r:id="rId15" w:history="1">
        <w:r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5B90B160" w:rsidP="5B90B160">
      <w:pPr>
        <w:rPr>
          <w:rStyle w:val="Hyperlink"/>
          <w:rFonts w:ascii="Trebuchet MS" w:hAnsi="Trebuchet MS"/>
          <w:b/>
          <w:color w:val="004147"/>
        </w:rPr>
      </w:pPr>
      <w:hyperlink r:id="rId16" w:history="1">
        <w:r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5B90B160" w:rsidP="5B90B160">
      <w:pPr>
        <w:rPr>
          <w:rStyle w:val="Hyperlink"/>
          <w:rFonts w:ascii="Trebuchet MS" w:hAnsi="Trebuchet MS"/>
          <w:b/>
          <w:color w:val="004147"/>
        </w:rPr>
      </w:pPr>
      <w:hyperlink r:id="rId17" w:history="1">
        <w:r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Pr="00E446B9"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6EEFAB81" w:rsidR="004A79F5" w:rsidRPr="00E446B9" w:rsidRDefault="00A9038D" w:rsidP="004A79F5">
      <w:pPr>
        <w:rPr>
          <w:rFonts w:ascii="Trebuchet MS" w:hAnsi="Trebuchet MS"/>
        </w:rPr>
      </w:pPr>
      <w:r>
        <w:rPr>
          <w:rFonts w:ascii="Trebuchet MS" w:hAnsi="Trebuchet MS"/>
        </w:rPr>
        <w:t>Eco-Insulate</w:t>
      </w:r>
      <w:r w:rsidR="004A79F5" w:rsidRPr="00E446B9">
        <w:rPr>
          <w:rFonts w:ascii="Trebuchet MS" w:hAnsi="Trebuchet MS"/>
        </w:rPr>
        <w:t xml:space="preserve"> UK </w:t>
      </w:r>
      <w:r>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Pr>
          <w:rFonts w:ascii="Trebuchet MS" w:hAnsi="Trebuchet MS"/>
        </w:rPr>
        <w:t>M</w:t>
      </w:r>
      <w:r w:rsidR="004A79F5" w:rsidRPr="00E446B9">
        <w:rPr>
          <w:rFonts w:ascii="Trebuchet MS" w:hAnsi="Trebuchet MS"/>
        </w:rPr>
        <w:t xml:space="preserve">anaging </w:t>
      </w:r>
      <w:r>
        <w:rPr>
          <w:rFonts w:ascii="Trebuchet MS" w:hAnsi="Trebuchet MS"/>
        </w:rPr>
        <w:t>D</w:t>
      </w:r>
      <w:r w:rsidR="004A79F5" w:rsidRPr="00E446B9">
        <w:rPr>
          <w:rFonts w:ascii="Trebuchet MS" w:hAnsi="Trebuchet MS"/>
        </w:rPr>
        <w:t>irector</w:t>
      </w:r>
      <w:r>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E215E2F"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 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44C2B0B2"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Default="000414EA" w:rsidP="004A79F5">
      <w:pPr>
        <w:pStyle w:val="Nornal"/>
        <w:rPr>
          <w:rFonts w:ascii="Trebuchet MS" w:hAnsi="Trebuchet MS"/>
        </w:rPr>
      </w:pPr>
      <w:r>
        <w:rPr>
          <w:rFonts w:ascii="Trebuchet MS" w:hAnsi="Trebuchet MS"/>
        </w:rPr>
        <w:t>With reference to the above scenario:</w:t>
      </w:r>
    </w:p>
    <w:p w14:paraId="26A2C309" w14:textId="77777777" w:rsidR="006775C8" w:rsidRDefault="006775C8" w:rsidP="004A79F5">
      <w:pPr>
        <w:pStyle w:val="Nornal"/>
        <w:rPr>
          <w:rFonts w:ascii="Trebuchet MS" w:hAnsi="Trebuchet MS"/>
        </w:rPr>
      </w:pPr>
    </w:p>
    <w:p w14:paraId="05D5D9A2" w14:textId="77777777" w:rsidR="006775C8" w:rsidRDefault="006775C8" w:rsidP="004A79F5">
      <w:pPr>
        <w:pStyle w:val="Nornal"/>
        <w:rPr>
          <w:rFonts w:ascii="Trebuchet MS" w:hAnsi="Trebuchet MS"/>
        </w:rPr>
      </w:pPr>
    </w:p>
    <w:p w14:paraId="54305F1F" w14:textId="77777777" w:rsidR="006775C8" w:rsidRDefault="006775C8" w:rsidP="004A79F5">
      <w:pPr>
        <w:pStyle w:val="Nornal"/>
        <w:rPr>
          <w:rFonts w:ascii="Trebuchet MS" w:hAnsi="Trebuchet MS"/>
        </w:rPr>
      </w:pPr>
    </w:p>
    <w:p w14:paraId="3E4BC41D" w14:textId="77777777" w:rsidR="006775C8" w:rsidRDefault="006775C8" w:rsidP="004A79F5">
      <w:pPr>
        <w:pStyle w:val="Nornal"/>
        <w:rPr>
          <w:rFonts w:ascii="Trebuchet MS" w:hAnsi="Trebuchet MS"/>
        </w:rPr>
      </w:pPr>
    </w:p>
    <w:p w14:paraId="10B29CAD" w14:textId="77777777" w:rsidR="006775C8" w:rsidRDefault="006775C8" w:rsidP="004A79F5">
      <w:pPr>
        <w:pStyle w:val="Nornal"/>
        <w:rPr>
          <w:rFonts w:ascii="Trebuchet MS" w:hAnsi="Trebuchet MS"/>
        </w:rPr>
      </w:pPr>
    </w:p>
    <w:p w14:paraId="0F7DF285" w14:textId="77777777" w:rsidR="006775C8" w:rsidRDefault="006775C8" w:rsidP="004A79F5">
      <w:pPr>
        <w:pStyle w:val="Nornal"/>
        <w:rPr>
          <w:rFonts w:ascii="Trebuchet MS" w:hAnsi="Trebuchet MS"/>
        </w:rPr>
      </w:pPr>
    </w:p>
    <w:p w14:paraId="027B70C8" w14:textId="77777777" w:rsidR="006775C8" w:rsidRDefault="006775C8" w:rsidP="004A79F5">
      <w:pPr>
        <w:pStyle w:val="Nornal"/>
        <w:rPr>
          <w:rFonts w:ascii="Trebuchet MS" w:hAnsi="Trebuchet MS"/>
        </w:rPr>
      </w:pPr>
    </w:p>
    <w:p w14:paraId="758CC0D0" w14:textId="77777777" w:rsidR="006775C8" w:rsidRPr="00E446B9" w:rsidRDefault="006775C8" w:rsidP="004A79F5">
      <w:pPr>
        <w:pStyle w:val="Nornal"/>
        <w:rPr>
          <w:rFonts w:ascii="Trebuchet MS" w:hAnsi="Trebuchet MS"/>
        </w:rPr>
      </w:pPr>
    </w:p>
    <w:p w14:paraId="2A620360" w14:textId="77777777" w:rsidR="004A79F5" w:rsidRPr="00871718" w:rsidRDefault="004A79F5" w:rsidP="004A79F5">
      <w:pPr>
        <w:pStyle w:val="Nornal"/>
        <w:spacing w:after="0" w:line="240" w:lineRule="auto"/>
        <w:rPr>
          <w:b/>
          <w:bCs/>
          <w:color w:val="000000"/>
        </w:rPr>
      </w:pPr>
    </w:p>
    <w:p w14:paraId="0D284974" w14:textId="77777777" w:rsidR="004A79F5" w:rsidRPr="00871718" w:rsidRDefault="004A79F5" w:rsidP="004A79F5">
      <w:pPr>
        <w:pStyle w:val="Nornal"/>
        <w:numPr>
          <w:ilvl w:val="0"/>
          <w:numId w:val="5"/>
        </w:numPr>
        <w:spacing w:after="0" w:line="240" w:lineRule="auto"/>
        <w:rPr>
          <w:b/>
          <w:bCs/>
          <w:color w:val="000000"/>
        </w:rPr>
      </w:pPr>
      <w:r w:rsidRPr="00871718">
        <w:rPr>
          <w:b/>
          <w:bCs/>
        </w:rPr>
        <w:lastRenderedPageBreak/>
        <w:t xml:space="preserve">Explain the principles of reward and its importance to organisational culture and performance management. </w:t>
      </w:r>
      <w:r w:rsidRPr="00871718">
        <w:rPr>
          <w:b/>
          <w:bCs/>
          <w:color w:val="000000"/>
        </w:rPr>
        <w:t>(AC 1.1)</w:t>
      </w:r>
    </w:p>
    <w:p w14:paraId="5D9696DE" w14:textId="77777777" w:rsidR="004A79F5" w:rsidRDefault="004A79F5" w:rsidP="00871718">
      <w:pPr>
        <w:pStyle w:val="Listparag"/>
        <w:spacing w:after="0" w:line="240" w:lineRule="auto"/>
        <w:rPr>
          <w:rFonts w:ascii="Arial" w:hAnsi="Arial" w:cs="Arial"/>
          <w:b/>
          <w:bCs/>
          <w:color w:val="FF0000"/>
        </w:rPr>
      </w:pPr>
    </w:p>
    <w:p w14:paraId="69DDA83C" w14:textId="77777777" w:rsidR="00164951" w:rsidRDefault="006775C8" w:rsidP="0011234C">
      <w:pPr>
        <w:pStyle w:val="Listparag"/>
        <w:spacing w:line="240" w:lineRule="auto"/>
        <w:rPr>
          <w:rFonts w:ascii="Arial" w:hAnsi="Arial" w:cs="Arial"/>
          <w:color w:val="auto"/>
        </w:rPr>
      </w:pPr>
      <w:r w:rsidRPr="006775C8">
        <w:rPr>
          <w:rFonts w:ascii="Arial" w:hAnsi="Arial" w:cs="Arial"/>
          <w:color w:val="auto"/>
        </w:rPr>
        <w:t>The fundamental principle of reward in an organisational context is to recompense the workforce for the work they do, that complement towards a business’ output or success.</w:t>
      </w:r>
      <w:r w:rsidR="00B61F48">
        <w:rPr>
          <w:rFonts w:ascii="Arial" w:hAnsi="Arial" w:cs="Arial"/>
          <w:color w:val="auto"/>
        </w:rPr>
        <w:t xml:space="preserve">  This comprises financial benefits (CIPD, 2025), typically a salary</w:t>
      </w:r>
      <w:r w:rsidRPr="006775C8">
        <w:rPr>
          <w:rFonts w:ascii="Arial" w:hAnsi="Arial" w:cs="Arial"/>
          <w:color w:val="auto"/>
        </w:rPr>
        <w:t xml:space="preserve"> </w:t>
      </w:r>
      <w:r w:rsidR="00B61F48">
        <w:rPr>
          <w:rFonts w:ascii="Arial" w:hAnsi="Arial" w:cs="Arial"/>
          <w:color w:val="auto"/>
        </w:rPr>
        <w:t xml:space="preserve">for works or services rendered, not only this, </w:t>
      </w:r>
      <w:r w:rsidR="00C205BF">
        <w:rPr>
          <w:rFonts w:ascii="Arial" w:hAnsi="Arial" w:cs="Arial"/>
          <w:color w:val="auto"/>
        </w:rPr>
        <w:t>but also</w:t>
      </w:r>
      <w:r w:rsidR="00B61F48">
        <w:rPr>
          <w:rFonts w:ascii="Arial" w:hAnsi="Arial" w:cs="Arial"/>
          <w:color w:val="auto"/>
        </w:rPr>
        <w:t xml:space="preserve"> includes </w:t>
      </w:r>
      <w:r w:rsidR="00C205BF">
        <w:rPr>
          <w:rFonts w:ascii="Arial" w:hAnsi="Arial" w:cs="Arial"/>
          <w:color w:val="auto"/>
        </w:rPr>
        <w:t>tangible benefits</w:t>
      </w:r>
      <w:r w:rsidR="00B61F48">
        <w:rPr>
          <w:rFonts w:ascii="Arial" w:hAnsi="Arial" w:cs="Arial"/>
          <w:color w:val="auto"/>
        </w:rPr>
        <w:t xml:space="preserve"> such as </w:t>
      </w:r>
      <w:r w:rsidR="00B61F48">
        <w:rPr>
          <w:rFonts w:ascii="Arial" w:hAnsi="Arial" w:cs="Arial"/>
          <w:color w:val="auto"/>
        </w:rPr>
        <w:t>annual leave</w:t>
      </w:r>
      <w:r w:rsidR="00B61F48">
        <w:rPr>
          <w:rFonts w:ascii="Arial" w:hAnsi="Arial" w:cs="Arial"/>
          <w:color w:val="auto"/>
        </w:rPr>
        <w:t>,</w:t>
      </w:r>
      <w:r w:rsidR="00B61F48">
        <w:rPr>
          <w:rFonts w:ascii="Arial" w:hAnsi="Arial" w:cs="Arial"/>
          <w:color w:val="auto"/>
        </w:rPr>
        <w:t xml:space="preserve"> </w:t>
      </w:r>
      <w:r w:rsidR="00B61F48">
        <w:rPr>
          <w:rFonts w:ascii="Arial" w:hAnsi="Arial" w:cs="Arial"/>
          <w:color w:val="auto"/>
        </w:rPr>
        <w:t xml:space="preserve">occupational sick pay. </w:t>
      </w:r>
      <w:r w:rsidR="008F5041">
        <w:rPr>
          <w:rFonts w:ascii="Arial" w:hAnsi="Arial" w:cs="Arial"/>
          <w:color w:val="auto"/>
        </w:rPr>
        <w:t xml:space="preserve">Salary payments are typically fixed, with an expectation that the salary will not be determined by the outcome of a performance. </w:t>
      </w:r>
      <w:r w:rsidR="0011234C">
        <w:rPr>
          <w:rFonts w:ascii="Arial" w:hAnsi="Arial" w:cs="Arial"/>
          <w:color w:val="auto"/>
        </w:rPr>
        <w:t>There is a minimum level of salary obligation that must be adhered to, as it’s rooted in legislation (</w:t>
      </w:r>
      <w:r w:rsidR="0011234C" w:rsidRPr="0011234C">
        <w:rPr>
          <w:rFonts w:ascii="Arial" w:hAnsi="Arial" w:cs="Arial"/>
          <w:color w:val="auto"/>
        </w:rPr>
        <w:t>National Minimum Wage Act 1998</w:t>
      </w:r>
      <w:r w:rsidR="0011234C">
        <w:rPr>
          <w:rFonts w:ascii="Arial" w:hAnsi="Arial" w:cs="Arial"/>
          <w:color w:val="auto"/>
        </w:rPr>
        <w:t xml:space="preserve">). </w:t>
      </w:r>
      <w:r w:rsidR="008F5041">
        <w:rPr>
          <w:rFonts w:ascii="Arial" w:hAnsi="Arial" w:cs="Arial"/>
          <w:color w:val="auto"/>
        </w:rPr>
        <w:t xml:space="preserve">An alternative to this could be a variable pay scheme, whereby incentives are placed upon performance, which can help motivate an organisation with poor performance. </w:t>
      </w:r>
      <w:r w:rsidR="0011234C">
        <w:rPr>
          <w:rFonts w:ascii="Arial" w:hAnsi="Arial" w:cs="Arial"/>
          <w:color w:val="auto"/>
        </w:rPr>
        <w:t>Ideally, the reward scheme should align with the values and objectives of the business to ensure consistency and to help drive performance</w:t>
      </w:r>
      <w:r w:rsidR="00164951">
        <w:rPr>
          <w:rFonts w:ascii="Arial" w:hAnsi="Arial" w:cs="Arial"/>
          <w:color w:val="auto"/>
        </w:rPr>
        <w:t xml:space="preserve"> that can be quantifiable, when managed effectively</w:t>
      </w:r>
      <w:r w:rsidR="00F913F7">
        <w:rPr>
          <w:rFonts w:ascii="Arial" w:hAnsi="Arial" w:cs="Arial"/>
          <w:color w:val="auto"/>
        </w:rPr>
        <w:t xml:space="preserve"> (Cotton, 2024)</w:t>
      </w:r>
      <w:r w:rsidR="0011234C">
        <w:rPr>
          <w:rFonts w:ascii="Arial" w:hAnsi="Arial" w:cs="Arial"/>
          <w:color w:val="auto"/>
        </w:rPr>
        <w:t>.</w:t>
      </w:r>
      <w:r w:rsidR="00164951" w:rsidRPr="00164951">
        <w:rPr>
          <w:rFonts w:ascii="Arial" w:hAnsi="Arial" w:cs="Arial"/>
          <w:color w:val="auto"/>
        </w:rPr>
        <w:t xml:space="preserve"> </w:t>
      </w:r>
    </w:p>
    <w:p w14:paraId="1416BED3" w14:textId="4F82EF32" w:rsidR="006211E6" w:rsidRDefault="00164951" w:rsidP="006211E6">
      <w:pPr>
        <w:pStyle w:val="Listparag"/>
        <w:spacing w:line="240" w:lineRule="auto"/>
        <w:rPr>
          <w:rFonts w:ascii="Arial" w:hAnsi="Arial" w:cs="Arial"/>
          <w:color w:val="auto"/>
        </w:rPr>
      </w:pPr>
      <w:r>
        <w:rPr>
          <w:rFonts w:ascii="Arial" w:hAnsi="Arial" w:cs="Arial"/>
          <w:color w:val="auto"/>
        </w:rPr>
        <w:t>Reward even considers non-financial aspects that could be construed as reward benefits, such as</w:t>
      </w:r>
      <w:r>
        <w:rPr>
          <w:rFonts w:ascii="Arial" w:hAnsi="Arial" w:cs="Arial"/>
          <w:color w:val="auto"/>
        </w:rPr>
        <w:t xml:space="preserve">, </w:t>
      </w:r>
      <w:r>
        <w:rPr>
          <w:rFonts w:ascii="Arial" w:hAnsi="Arial" w:cs="Arial"/>
          <w:color w:val="auto"/>
        </w:rPr>
        <w:t>flexible working</w:t>
      </w:r>
      <w:r w:rsidRPr="00164951">
        <w:rPr>
          <w:rFonts w:ascii="Arial" w:hAnsi="Arial" w:cs="Arial"/>
          <w:color w:val="auto"/>
        </w:rPr>
        <w:t xml:space="preserve"> </w:t>
      </w:r>
      <w:r>
        <w:rPr>
          <w:rFonts w:ascii="Arial" w:hAnsi="Arial" w:cs="Arial"/>
          <w:color w:val="auto"/>
        </w:rPr>
        <w:t xml:space="preserve">with </w:t>
      </w:r>
      <w:r>
        <w:rPr>
          <w:rFonts w:ascii="Arial" w:hAnsi="Arial" w:cs="Arial"/>
          <w:color w:val="auto"/>
        </w:rPr>
        <w:t xml:space="preserve">an array of </w:t>
      </w:r>
      <w:r w:rsidR="006211E6">
        <w:rPr>
          <w:rFonts w:ascii="Arial" w:hAnsi="Arial" w:cs="Arial"/>
          <w:color w:val="auto"/>
        </w:rPr>
        <w:t>accessible</w:t>
      </w:r>
      <w:r w:rsidR="006211E6">
        <w:rPr>
          <w:rFonts w:ascii="Arial" w:hAnsi="Arial" w:cs="Arial"/>
          <w:color w:val="auto"/>
        </w:rPr>
        <w:t xml:space="preserve"> </w:t>
      </w:r>
      <w:r>
        <w:rPr>
          <w:rFonts w:ascii="Arial" w:hAnsi="Arial" w:cs="Arial"/>
          <w:color w:val="auto"/>
        </w:rPr>
        <w:t>leave options</w:t>
      </w:r>
      <w:r>
        <w:rPr>
          <w:rFonts w:ascii="Arial" w:hAnsi="Arial" w:cs="Arial"/>
          <w:color w:val="auto"/>
        </w:rPr>
        <w:t>,</w:t>
      </w:r>
      <w:r w:rsidR="006211E6">
        <w:rPr>
          <w:rFonts w:ascii="Arial" w:hAnsi="Arial" w:cs="Arial"/>
          <w:color w:val="auto"/>
        </w:rPr>
        <w:t xml:space="preserve"> which cannot be understated within the current climate, as more pursuing greater work life balances to accommodate their lifestyles in a post-COVID-19 world</w:t>
      </w:r>
      <w:r w:rsidR="006211E6" w:rsidRPr="006211E6">
        <w:rPr>
          <w:rFonts w:ascii="Arial" w:hAnsi="Arial" w:cs="Arial"/>
          <w:color w:val="auto"/>
        </w:rPr>
        <w:t xml:space="preserve"> </w:t>
      </w:r>
      <w:r w:rsidR="006211E6">
        <w:rPr>
          <w:rFonts w:ascii="Arial" w:hAnsi="Arial" w:cs="Arial"/>
          <w:color w:val="auto"/>
        </w:rPr>
        <w:t xml:space="preserve">(Collinson, 2022). </w:t>
      </w:r>
      <w:r w:rsidR="006211E6">
        <w:rPr>
          <w:rFonts w:ascii="Arial" w:hAnsi="Arial" w:cs="Arial"/>
          <w:color w:val="auto"/>
        </w:rPr>
        <w:t xml:space="preserve">This could extend to hybrid working, with many in traditionally office-setting positions </w:t>
      </w:r>
      <w:r w:rsidR="00DB717E">
        <w:rPr>
          <w:rFonts w:ascii="Arial" w:hAnsi="Arial" w:cs="Arial"/>
          <w:color w:val="auto"/>
        </w:rPr>
        <w:t xml:space="preserve">now </w:t>
      </w:r>
      <w:r w:rsidR="006211E6">
        <w:rPr>
          <w:rFonts w:ascii="Arial" w:hAnsi="Arial" w:cs="Arial"/>
          <w:color w:val="auto"/>
        </w:rPr>
        <w:t xml:space="preserve">seeking </w:t>
      </w:r>
      <w:r w:rsidR="00DB717E">
        <w:rPr>
          <w:rFonts w:ascii="Arial" w:hAnsi="Arial" w:cs="Arial"/>
          <w:color w:val="auto"/>
        </w:rPr>
        <w:t>alternatives with</w:t>
      </w:r>
      <w:r w:rsidR="006211E6">
        <w:rPr>
          <w:rFonts w:ascii="Arial" w:hAnsi="Arial" w:cs="Arial"/>
          <w:color w:val="auto"/>
        </w:rPr>
        <w:t xml:space="preserve"> the flexibility work from home</w:t>
      </w:r>
      <w:r w:rsidR="00DB717E">
        <w:rPr>
          <w:rFonts w:ascii="Arial" w:hAnsi="Arial" w:cs="Arial"/>
          <w:color w:val="auto"/>
        </w:rPr>
        <w:t xml:space="preserve">. </w:t>
      </w:r>
      <w:r w:rsidR="0036325B">
        <w:rPr>
          <w:rFonts w:ascii="Arial" w:hAnsi="Arial" w:cs="Arial"/>
          <w:color w:val="auto"/>
        </w:rPr>
        <w:t xml:space="preserve">Rewards such as these do require a high degree of trust between employer an employee, with the perception that employees with the freedom to take differing leave options or working from home can still be entrusted to deliver an optimum performance.  </w:t>
      </w:r>
    </w:p>
    <w:p w14:paraId="4E168F22" w14:textId="50332C47" w:rsidR="00871718" w:rsidRPr="006775C8" w:rsidRDefault="00EC6900" w:rsidP="006211E6">
      <w:pPr>
        <w:pStyle w:val="Listparag"/>
        <w:spacing w:line="240" w:lineRule="auto"/>
        <w:rPr>
          <w:rFonts w:ascii="Arial" w:hAnsi="Arial" w:cs="Arial"/>
          <w:color w:val="auto"/>
        </w:rPr>
      </w:pPr>
      <w:r>
        <w:rPr>
          <w:rFonts w:ascii="Arial" w:hAnsi="Arial" w:cs="Arial"/>
          <w:color w:val="auto"/>
        </w:rPr>
        <w:t xml:space="preserve">Good reward packages are foundational and greatly to organisational culture; the more gracious or enticing the benefit, the more competitive the organisation appears to prospective new employees in the market. Recognition for the current crop is also a positive as it shows that the organisation appreciates and values their effort in carrying out the roles they play within the business. </w:t>
      </w:r>
      <w:r w:rsidR="00D57231">
        <w:rPr>
          <w:rFonts w:ascii="Arial" w:hAnsi="Arial" w:cs="Arial"/>
          <w:color w:val="auto"/>
        </w:rPr>
        <w:t>Enhancing the offerings could lead to more buy-in from existing employees at Eco-Insulate to help curb the loss of talent.</w:t>
      </w:r>
    </w:p>
    <w:p w14:paraId="08162AB1" w14:textId="77777777" w:rsidR="00871718" w:rsidRPr="00871718" w:rsidRDefault="00871718" w:rsidP="00871718">
      <w:pPr>
        <w:pStyle w:val="Listparag"/>
        <w:spacing w:after="0" w:line="240" w:lineRule="auto"/>
        <w:rPr>
          <w:rFonts w:ascii="Arial" w:hAnsi="Arial" w:cs="Arial"/>
          <w:b/>
          <w:bCs/>
          <w:color w:val="FF0000"/>
        </w:rPr>
      </w:pPr>
    </w:p>
    <w:p w14:paraId="7526B789" w14:textId="77777777" w:rsidR="004A79F5" w:rsidRPr="008F5041" w:rsidRDefault="004A79F5" w:rsidP="004A79F5">
      <w:pPr>
        <w:pStyle w:val="Nornal"/>
        <w:numPr>
          <w:ilvl w:val="0"/>
          <w:numId w:val="5"/>
        </w:numPr>
        <w:spacing w:after="0" w:line="240" w:lineRule="auto"/>
        <w:rPr>
          <w:b/>
          <w:bCs/>
          <w:color w:val="000000"/>
        </w:rPr>
      </w:pPr>
      <w:r w:rsidRPr="00871718">
        <w:rPr>
          <w:b/>
          <w:bCs/>
          <w:color w:val="000000"/>
        </w:rPr>
        <w:t xml:space="preserve">Assess the contribution of extrinsic and intrinsic rewards to improving employee contribution and sustained organisational performance. </w:t>
      </w:r>
      <w:r w:rsidRPr="00871718">
        <w:rPr>
          <w:b/>
          <w:bCs/>
          <w:color w:val="000000" w:themeColor="text1"/>
        </w:rPr>
        <w:t>(AC 1.2)</w:t>
      </w:r>
    </w:p>
    <w:p w14:paraId="5FA9E222" w14:textId="77777777" w:rsidR="008F5041" w:rsidRPr="008F5041" w:rsidRDefault="008F5041" w:rsidP="008F5041">
      <w:pPr>
        <w:pStyle w:val="Nornal"/>
        <w:spacing w:after="0" w:line="240" w:lineRule="auto"/>
        <w:ind w:left="360"/>
        <w:rPr>
          <w:b/>
          <w:bCs/>
          <w:color w:val="000000"/>
        </w:rPr>
      </w:pPr>
    </w:p>
    <w:p w14:paraId="4FBE45D3" w14:textId="5C99C09B" w:rsidR="00EC3E42" w:rsidRDefault="003C5FEB" w:rsidP="008F5041">
      <w:pPr>
        <w:pStyle w:val="Listparag"/>
        <w:spacing w:after="0" w:line="240" w:lineRule="auto"/>
        <w:rPr>
          <w:rFonts w:ascii="Arial" w:hAnsi="Arial" w:cs="Arial"/>
          <w:color w:val="auto"/>
        </w:rPr>
      </w:pPr>
      <w:r>
        <w:rPr>
          <w:rFonts w:ascii="Arial" w:hAnsi="Arial" w:cs="Arial"/>
          <w:color w:val="auto"/>
        </w:rPr>
        <w:t>Certain r</w:t>
      </w:r>
      <w:r w:rsidR="008F5041">
        <w:rPr>
          <w:rFonts w:ascii="Arial" w:hAnsi="Arial" w:cs="Arial"/>
          <w:color w:val="auto"/>
        </w:rPr>
        <w:t>ewards motivate employees differently, some may truly value being rewarded in the traditional sense with financial incentives such as a bonus at the end of the month</w:t>
      </w:r>
      <w:r w:rsidR="006847E5">
        <w:rPr>
          <w:rFonts w:ascii="Arial" w:hAnsi="Arial" w:cs="Arial"/>
          <w:color w:val="auto"/>
        </w:rPr>
        <w:t xml:space="preserve"> for delivering a high-performance output</w:t>
      </w:r>
      <w:r w:rsidR="008F5041">
        <w:rPr>
          <w:rFonts w:ascii="Arial" w:hAnsi="Arial" w:cs="Arial"/>
          <w:color w:val="auto"/>
        </w:rPr>
        <w:t>. This is known as an extrinsic reward</w:t>
      </w:r>
      <w:r w:rsidR="00EC3E42">
        <w:rPr>
          <w:rFonts w:ascii="Arial" w:hAnsi="Arial" w:cs="Arial"/>
          <w:color w:val="auto"/>
        </w:rPr>
        <w:t xml:space="preserve"> and easily quantifiable as those seeking extrinsic rewards are driven to succeed with tangible incentives</w:t>
      </w:r>
      <w:r w:rsidR="003C7045">
        <w:rPr>
          <w:rFonts w:ascii="Arial" w:hAnsi="Arial" w:cs="Arial"/>
          <w:color w:val="auto"/>
        </w:rPr>
        <w:t xml:space="preserve"> (Taylor and CIPD, 2022)</w:t>
      </w:r>
      <w:r w:rsidR="008F5041">
        <w:rPr>
          <w:rFonts w:ascii="Arial" w:hAnsi="Arial" w:cs="Arial"/>
          <w:color w:val="auto"/>
        </w:rPr>
        <w:t>.</w:t>
      </w:r>
    </w:p>
    <w:p w14:paraId="7D531716" w14:textId="3FB29A58" w:rsidR="003C5FEB" w:rsidRDefault="008F5041" w:rsidP="008F5041">
      <w:pPr>
        <w:pStyle w:val="Listparag"/>
        <w:spacing w:after="0" w:line="240" w:lineRule="auto"/>
        <w:rPr>
          <w:rFonts w:ascii="Arial" w:hAnsi="Arial" w:cs="Arial"/>
          <w:color w:val="auto"/>
        </w:rPr>
      </w:pPr>
      <w:r>
        <w:rPr>
          <w:rFonts w:ascii="Arial" w:hAnsi="Arial" w:cs="Arial"/>
          <w:color w:val="auto"/>
        </w:rPr>
        <w:t xml:space="preserve">Whereas another may </w:t>
      </w:r>
      <w:r w:rsidR="006847E5">
        <w:rPr>
          <w:rFonts w:ascii="Arial" w:hAnsi="Arial" w:cs="Arial"/>
          <w:color w:val="auto"/>
        </w:rPr>
        <w:t>appreciate</w:t>
      </w:r>
      <w:r>
        <w:rPr>
          <w:rFonts w:ascii="Arial" w:hAnsi="Arial" w:cs="Arial"/>
          <w:color w:val="auto"/>
        </w:rPr>
        <w:t xml:space="preserve"> purely </w:t>
      </w:r>
      <w:r w:rsidR="00A7312A">
        <w:rPr>
          <w:rFonts w:ascii="Arial" w:hAnsi="Arial" w:cs="Arial"/>
          <w:color w:val="auto"/>
        </w:rPr>
        <w:t>doing a good job well</w:t>
      </w:r>
      <w:r>
        <w:rPr>
          <w:rFonts w:ascii="Arial" w:hAnsi="Arial" w:cs="Arial"/>
          <w:color w:val="auto"/>
        </w:rPr>
        <w:t xml:space="preserve">, and their motivator lies within, with their manager acknowledging and appreciating their efforts. This is an example of an intrinsic reward (Armstrong and Brown, 2024). </w:t>
      </w:r>
    </w:p>
    <w:p w14:paraId="4B1336AA" w14:textId="21D47570" w:rsidR="003C5FEB" w:rsidRDefault="003C5FEB" w:rsidP="008F5041">
      <w:pPr>
        <w:pStyle w:val="Listparag"/>
        <w:spacing w:after="0" w:line="240" w:lineRule="auto"/>
        <w:rPr>
          <w:rFonts w:ascii="Arial" w:hAnsi="Arial" w:cs="Arial"/>
          <w:color w:val="auto"/>
        </w:rPr>
      </w:pPr>
      <w:r>
        <w:rPr>
          <w:rFonts w:ascii="Arial" w:hAnsi="Arial" w:cs="Arial"/>
          <w:color w:val="auto"/>
        </w:rPr>
        <w:t>Those seeking extrinsic rewards can measured and are key t</w:t>
      </w:r>
      <w:r w:rsidR="00A434B5">
        <w:rPr>
          <w:rFonts w:ascii="Arial" w:hAnsi="Arial" w:cs="Arial"/>
          <w:color w:val="auto"/>
        </w:rPr>
        <w:t>o engage with if the goals are to boos</w:t>
      </w:r>
      <w:r w:rsidR="00EF03F1">
        <w:rPr>
          <w:rFonts w:ascii="Arial" w:hAnsi="Arial" w:cs="Arial"/>
          <w:color w:val="auto"/>
        </w:rPr>
        <w:t>t</w:t>
      </w:r>
      <w:r w:rsidR="00A434B5">
        <w:rPr>
          <w:rFonts w:ascii="Arial" w:hAnsi="Arial" w:cs="Arial"/>
          <w:color w:val="auto"/>
        </w:rPr>
        <w:t xml:space="preserve"> performance in the short term. However, unlike employees valuing the intrinsic rewards, they may not have developed a psychological contract (Peters, 2024)</w:t>
      </w:r>
      <w:r>
        <w:rPr>
          <w:rFonts w:ascii="Arial" w:hAnsi="Arial" w:cs="Arial"/>
          <w:color w:val="auto"/>
        </w:rPr>
        <w:t xml:space="preserve"> </w:t>
      </w:r>
      <w:r w:rsidR="00A434B5">
        <w:rPr>
          <w:rFonts w:ascii="Arial" w:hAnsi="Arial" w:cs="Arial"/>
          <w:color w:val="auto"/>
        </w:rPr>
        <w:t>and can be difficult to gain buy-in for the overarching objective</w:t>
      </w:r>
      <w:r w:rsidR="00EF03F1">
        <w:rPr>
          <w:rFonts w:ascii="Arial" w:hAnsi="Arial" w:cs="Arial"/>
          <w:color w:val="auto"/>
        </w:rPr>
        <w:t>s of the business</w:t>
      </w:r>
      <w:r w:rsidR="00A434B5">
        <w:rPr>
          <w:rFonts w:ascii="Arial" w:hAnsi="Arial" w:cs="Arial"/>
          <w:color w:val="auto"/>
        </w:rPr>
        <w:t xml:space="preserve">, purely focusing on their own individual performance to gain financial awards. </w:t>
      </w:r>
    </w:p>
    <w:p w14:paraId="174B55B5" w14:textId="310EBAC4" w:rsidR="00A7312A" w:rsidRDefault="00A7312A" w:rsidP="008F5041">
      <w:pPr>
        <w:pStyle w:val="Listparag"/>
        <w:spacing w:after="0" w:line="240" w:lineRule="auto"/>
        <w:rPr>
          <w:rFonts w:ascii="Arial" w:hAnsi="Arial" w:cs="Arial"/>
          <w:color w:val="auto"/>
        </w:rPr>
      </w:pPr>
      <w:r>
        <w:rPr>
          <w:rFonts w:ascii="Arial" w:hAnsi="Arial" w:cs="Arial"/>
          <w:color w:val="auto"/>
        </w:rPr>
        <w:t xml:space="preserve">People who are intrinsically motivated do not usually require as much motivation as those who are motivated by </w:t>
      </w:r>
      <w:r w:rsidR="00067035">
        <w:rPr>
          <w:rFonts w:ascii="Arial" w:hAnsi="Arial" w:cs="Arial"/>
          <w:color w:val="auto"/>
        </w:rPr>
        <w:t>extrinsic</w:t>
      </w:r>
      <w:r>
        <w:rPr>
          <w:rFonts w:ascii="Arial" w:hAnsi="Arial" w:cs="Arial"/>
          <w:color w:val="auto"/>
        </w:rPr>
        <w:t xml:space="preserve"> rewards</w:t>
      </w:r>
      <w:r w:rsidR="00067035">
        <w:rPr>
          <w:rFonts w:ascii="Arial" w:hAnsi="Arial" w:cs="Arial"/>
          <w:color w:val="auto"/>
        </w:rPr>
        <w:t>. It is important, however, to balance the reward strategy, if the organisation wishes to make a short-term gain by offering extrinsic rewards it could lead to a negative impact, as this then becomes the overriding factor for enhanced performance, replacing intrinsic sentiment (Lupton et al, 2015).</w:t>
      </w:r>
    </w:p>
    <w:p w14:paraId="78C84B73" w14:textId="4030CC03" w:rsidR="00700305" w:rsidRDefault="00700305" w:rsidP="008F5041">
      <w:pPr>
        <w:pStyle w:val="Listparag"/>
        <w:spacing w:after="0" w:line="240" w:lineRule="auto"/>
        <w:rPr>
          <w:rFonts w:ascii="Arial" w:hAnsi="Arial" w:cs="Arial"/>
          <w:color w:val="auto"/>
        </w:rPr>
      </w:pPr>
      <w:r>
        <w:rPr>
          <w:rFonts w:ascii="Arial" w:hAnsi="Arial" w:cs="Arial"/>
          <w:color w:val="auto"/>
        </w:rPr>
        <w:t xml:space="preserve">Another theory, in terms of intrinsic rewards leading to a greater positive impact than extrinsic rewards, found that when employees feel valued and empowered to lead, they appear more creative, </w:t>
      </w:r>
      <w:r w:rsidR="007C03C1">
        <w:rPr>
          <w:rFonts w:ascii="Arial" w:hAnsi="Arial" w:cs="Arial"/>
          <w:color w:val="auto"/>
        </w:rPr>
        <w:t xml:space="preserve">and is more of a driver to deliver success than extrinsic rewards (Lin et al, 2022). </w:t>
      </w:r>
    </w:p>
    <w:p w14:paraId="73D2D538" w14:textId="77777777" w:rsidR="008A4BCE" w:rsidRDefault="00517426" w:rsidP="008F5041">
      <w:pPr>
        <w:pStyle w:val="Listparag"/>
        <w:spacing w:after="0" w:line="240" w:lineRule="auto"/>
        <w:rPr>
          <w:rFonts w:ascii="Arial" w:hAnsi="Arial" w:cs="Arial"/>
          <w:color w:val="auto"/>
        </w:rPr>
      </w:pPr>
      <w:r>
        <w:rPr>
          <w:rFonts w:ascii="Arial" w:hAnsi="Arial" w:cs="Arial"/>
          <w:color w:val="auto"/>
        </w:rPr>
        <w:t>It</w:t>
      </w:r>
      <w:r>
        <w:rPr>
          <w:rFonts w:ascii="Arial" w:hAnsi="Arial" w:cs="Arial"/>
          <w:color w:val="auto"/>
        </w:rPr>
        <w:t xml:space="preserve"> must be considered a positive to the overall organisational culture</w:t>
      </w:r>
      <w:r>
        <w:rPr>
          <w:rFonts w:ascii="Arial" w:hAnsi="Arial" w:cs="Arial"/>
          <w:color w:val="auto"/>
        </w:rPr>
        <w:t>, i</w:t>
      </w:r>
      <w:r w:rsidR="008F5041">
        <w:rPr>
          <w:rFonts w:ascii="Arial" w:hAnsi="Arial" w:cs="Arial"/>
          <w:color w:val="auto"/>
        </w:rPr>
        <w:t xml:space="preserve">f two different employees thrive off </w:t>
      </w:r>
      <w:r w:rsidR="006847E5">
        <w:rPr>
          <w:rFonts w:ascii="Arial" w:hAnsi="Arial" w:cs="Arial"/>
          <w:color w:val="auto"/>
        </w:rPr>
        <w:t>either one of these</w:t>
      </w:r>
      <w:r w:rsidR="008F5041">
        <w:rPr>
          <w:rFonts w:ascii="Arial" w:hAnsi="Arial" w:cs="Arial"/>
          <w:color w:val="auto"/>
        </w:rPr>
        <w:t xml:space="preserve"> reward type</w:t>
      </w:r>
      <w:r w:rsidR="006847E5">
        <w:rPr>
          <w:rFonts w:ascii="Arial" w:hAnsi="Arial" w:cs="Arial"/>
          <w:color w:val="auto"/>
        </w:rPr>
        <w:t>s</w:t>
      </w:r>
      <w:r w:rsidR="008F5041">
        <w:rPr>
          <w:rFonts w:ascii="Arial" w:hAnsi="Arial" w:cs="Arial"/>
          <w:color w:val="auto"/>
        </w:rPr>
        <w:t xml:space="preserve">, </w:t>
      </w:r>
      <w:r w:rsidR="006847E5">
        <w:rPr>
          <w:rFonts w:ascii="Arial" w:hAnsi="Arial" w:cs="Arial"/>
          <w:color w:val="auto"/>
        </w:rPr>
        <w:t>still l</w:t>
      </w:r>
      <w:r w:rsidR="008F5041">
        <w:rPr>
          <w:rFonts w:ascii="Arial" w:hAnsi="Arial" w:cs="Arial"/>
          <w:color w:val="auto"/>
        </w:rPr>
        <w:t>ead</w:t>
      </w:r>
      <w:r w:rsidR="00EC3E42">
        <w:rPr>
          <w:rFonts w:ascii="Arial" w:hAnsi="Arial" w:cs="Arial"/>
          <w:color w:val="auto"/>
        </w:rPr>
        <w:t>ing</w:t>
      </w:r>
      <w:r w:rsidR="008F5041">
        <w:rPr>
          <w:rFonts w:ascii="Arial" w:hAnsi="Arial" w:cs="Arial"/>
          <w:color w:val="auto"/>
        </w:rPr>
        <w:t xml:space="preserve"> to </w:t>
      </w:r>
      <w:r w:rsidR="00EC3E42">
        <w:rPr>
          <w:rFonts w:ascii="Arial" w:hAnsi="Arial" w:cs="Arial"/>
          <w:color w:val="auto"/>
        </w:rPr>
        <w:t xml:space="preserve">an </w:t>
      </w:r>
      <w:r w:rsidR="00DB717E">
        <w:rPr>
          <w:rFonts w:ascii="Arial" w:hAnsi="Arial" w:cs="Arial"/>
          <w:color w:val="auto"/>
        </w:rPr>
        <w:t xml:space="preserve">effective </w:t>
      </w:r>
      <w:r w:rsidR="008F5041">
        <w:rPr>
          <w:rFonts w:ascii="Arial" w:hAnsi="Arial" w:cs="Arial"/>
          <w:color w:val="auto"/>
        </w:rPr>
        <w:t>output</w:t>
      </w:r>
      <w:r>
        <w:rPr>
          <w:rFonts w:ascii="Arial" w:hAnsi="Arial" w:cs="Arial"/>
          <w:color w:val="auto"/>
        </w:rPr>
        <w:t xml:space="preserve">, </w:t>
      </w:r>
      <w:r w:rsidR="008F5041">
        <w:rPr>
          <w:rFonts w:ascii="Arial" w:hAnsi="Arial" w:cs="Arial"/>
          <w:color w:val="auto"/>
        </w:rPr>
        <w:t xml:space="preserve">the importance of both forms </w:t>
      </w:r>
      <w:r w:rsidR="008F5041">
        <w:rPr>
          <w:rFonts w:ascii="Arial" w:hAnsi="Arial" w:cs="Arial"/>
          <w:color w:val="auto"/>
        </w:rPr>
        <w:lastRenderedPageBreak/>
        <w:t xml:space="preserve">cannot be understated when considering how rewards are perceived </w:t>
      </w:r>
      <w:r w:rsidR="00EC3E42">
        <w:rPr>
          <w:rFonts w:ascii="Arial" w:hAnsi="Arial" w:cs="Arial"/>
          <w:color w:val="auto"/>
        </w:rPr>
        <w:t>regarding</w:t>
      </w:r>
      <w:r w:rsidR="008F5041">
        <w:rPr>
          <w:rFonts w:ascii="Arial" w:hAnsi="Arial" w:cs="Arial"/>
          <w:color w:val="auto"/>
        </w:rPr>
        <w:t xml:space="preserve"> </w:t>
      </w:r>
      <w:r w:rsidR="00EC3E42">
        <w:rPr>
          <w:rFonts w:ascii="Arial" w:hAnsi="Arial" w:cs="Arial"/>
          <w:color w:val="auto"/>
        </w:rPr>
        <w:t xml:space="preserve">organisational </w:t>
      </w:r>
      <w:r w:rsidR="008F5041">
        <w:rPr>
          <w:rFonts w:ascii="Arial" w:hAnsi="Arial" w:cs="Arial"/>
          <w:color w:val="auto"/>
        </w:rPr>
        <w:t>performance.</w:t>
      </w:r>
      <w:r w:rsidR="00D57231">
        <w:rPr>
          <w:rFonts w:ascii="Arial" w:hAnsi="Arial" w:cs="Arial"/>
          <w:color w:val="auto"/>
        </w:rPr>
        <w:t xml:space="preserve"> </w:t>
      </w:r>
    </w:p>
    <w:p w14:paraId="67E9727C" w14:textId="67B6F519" w:rsidR="008A4BCE" w:rsidRDefault="008A4BCE" w:rsidP="008F5041">
      <w:pPr>
        <w:pStyle w:val="Listparag"/>
        <w:spacing w:after="0" w:line="240" w:lineRule="auto"/>
        <w:rPr>
          <w:rFonts w:ascii="Arial" w:hAnsi="Arial" w:cs="Arial"/>
          <w:color w:val="auto"/>
        </w:rPr>
      </w:pPr>
      <w:r>
        <w:rPr>
          <w:rFonts w:ascii="Arial" w:hAnsi="Arial" w:cs="Arial"/>
          <w:color w:val="auto"/>
        </w:rPr>
        <w:t xml:space="preserve">Ultimately, however, both reward motivators need to be accepted and driven by the person on the receiving end as they must balance their own self-motivating factors (Herzberg, 1959). </w:t>
      </w:r>
    </w:p>
    <w:p w14:paraId="7B69301D" w14:textId="714E679A" w:rsidR="008F5041" w:rsidRDefault="00D57231" w:rsidP="008F5041">
      <w:pPr>
        <w:pStyle w:val="Listparag"/>
        <w:spacing w:after="0" w:line="240" w:lineRule="auto"/>
        <w:rPr>
          <w:rFonts w:ascii="Arial" w:hAnsi="Arial" w:cs="Arial"/>
          <w:color w:val="auto"/>
        </w:rPr>
      </w:pPr>
      <w:r>
        <w:rPr>
          <w:rFonts w:ascii="Arial" w:hAnsi="Arial" w:cs="Arial"/>
          <w:color w:val="auto"/>
        </w:rPr>
        <w:t xml:space="preserve">This could help bridge a potential discontented feeling being felt between those who are not senior staff within the </w:t>
      </w:r>
      <w:r w:rsidR="0042507B">
        <w:rPr>
          <w:rFonts w:ascii="Arial" w:hAnsi="Arial" w:cs="Arial"/>
          <w:color w:val="auto"/>
        </w:rPr>
        <w:t xml:space="preserve">Eco-Insulate </w:t>
      </w:r>
      <w:r>
        <w:rPr>
          <w:rFonts w:ascii="Arial" w:hAnsi="Arial" w:cs="Arial"/>
          <w:color w:val="auto"/>
        </w:rPr>
        <w:t>organisation, knowing there is no variance to terms or benefits.</w:t>
      </w:r>
    </w:p>
    <w:p w14:paraId="2D9655E0" w14:textId="77777777" w:rsidR="008F5041" w:rsidRPr="00871718" w:rsidRDefault="008F5041" w:rsidP="008F5041">
      <w:pPr>
        <w:pStyle w:val="Nornal"/>
        <w:spacing w:after="0" w:line="240" w:lineRule="auto"/>
        <w:rPr>
          <w:b/>
          <w:bCs/>
          <w:color w:val="000000"/>
        </w:rPr>
      </w:pPr>
    </w:p>
    <w:p w14:paraId="695BEA65" w14:textId="77777777" w:rsidR="004A79F5" w:rsidRPr="00871718" w:rsidRDefault="004A79F5" w:rsidP="004A79F5">
      <w:pPr>
        <w:pStyle w:val="Nornal"/>
        <w:spacing w:after="0" w:line="240" w:lineRule="auto"/>
        <w:rPr>
          <w:b/>
          <w:bCs/>
          <w:color w:val="000000"/>
        </w:rPr>
      </w:pPr>
    </w:p>
    <w:p w14:paraId="063C06A0" w14:textId="77777777" w:rsidR="004A79F5" w:rsidRPr="00997E51" w:rsidRDefault="004A79F5" w:rsidP="004A79F5">
      <w:pPr>
        <w:pStyle w:val="Nornal"/>
        <w:numPr>
          <w:ilvl w:val="0"/>
          <w:numId w:val="5"/>
        </w:numPr>
        <w:spacing w:after="0" w:line="240" w:lineRule="auto"/>
        <w:rPr>
          <w:b/>
          <w:bCs/>
          <w:color w:val="000000"/>
        </w:rPr>
      </w:pPr>
      <w:r w:rsidRPr="00871718">
        <w:rPr>
          <w:b/>
          <w:bCs/>
          <w:color w:val="000000" w:themeColor="text1"/>
        </w:rPr>
        <w:t xml:space="preserve">Explain the differences between types of </w:t>
      </w:r>
      <w:proofErr w:type="gramStart"/>
      <w:r w:rsidRPr="00871718">
        <w:rPr>
          <w:b/>
          <w:bCs/>
          <w:color w:val="000000" w:themeColor="text1"/>
        </w:rPr>
        <w:t>grade</w:t>
      </w:r>
      <w:proofErr w:type="gramEnd"/>
      <w:r w:rsidRPr="00871718">
        <w:rPr>
          <w:b/>
          <w:bCs/>
          <w:color w:val="000000" w:themeColor="text1"/>
        </w:rPr>
        <w:t xml:space="preserve"> and pay structures. (AC 2.1)</w:t>
      </w:r>
    </w:p>
    <w:p w14:paraId="428B5176" w14:textId="77777777" w:rsidR="00803B06" w:rsidRDefault="00803B06" w:rsidP="00997E51">
      <w:pPr>
        <w:pStyle w:val="Nornal"/>
        <w:spacing w:after="0" w:line="240" w:lineRule="auto"/>
        <w:rPr>
          <w:color w:val="000000"/>
        </w:rPr>
      </w:pPr>
    </w:p>
    <w:p w14:paraId="194F0EB8" w14:textId="0FA4DBA7" w:rsidR="001214EE" w:rsidRDefault="00C01689" w:rsidP="00997E51">
      <w:pPr>
        <w:pStyle w:val="Nornal"/>
        <w:spacing w:after="0" w:line="240" w:lineRule="auto"/>
        <w:rPr>
          <w:color w:val="000000"/>
        </w:rPr>
      </w:pPr>
      <w:r w:rsidRPr="00C01689">
        <w:rPr>
          <w:color w:val="000000"/>
        </w:rPr>
        <w:t xml:space="preserve">Remuneration </w:t>
      </w:r>
      <w:r w:rsidR="00494725">
        <w:rPr>
          <w:color w:val="000000"/>
        </w:rPr>
        <w:t xml:space="preserve">to workers is </w:t>
      </w:r>
      <w:r w:rsidR="00115E0A">
        <w:rPr>
          <w:color w:val="000000"/>
        </w:rPr>
        <w:t>dictated</w:t>
      </w:r>
      <w:r>
        <w:rPr>
          <w:color w:val="000000"/>
        </w:rPr>
        <w:t xml:space="preserve"> by the money available to a business and budget holders are responsible for not exceeding their budget, keeping the business viable. Many organisations ensure financial controls are </w:t>
      </w:r>
      <w:r w:rsidR="00494725">
        <w:rPr>
          <w:color w:val="000000"/>
        </w:rPr>
        <w:t>setup</w:t>
      </w:r>
      <w:r>
        <w:rPr>
          <w:color w:val="000000"/>
        </w:rPr>
        <w:t xml:space="preserve">, by categorising jobs and aligning them within a </w:t>
      </w:r>
      <w:r w:rsidR="00494725">
        <w:rPr>
          <w:color w:val="000000"/>
        </w:rPr>
        <w:t xml:space="preserve">pay </w:t>
      </w:r>
      <w:r>
        <w:rPr>
          <w:color w:val="000000"/>
        </w:rPr>
        <w:t xml:space="preserve">structure </w:t>
      </w:r>
      <w:r w:rsidR="00494725">
        <w:rPr>
          <w:color w:val="000000"/>
        </w:rPr>
        <w:t xml:space="preserve">or </w:t>
      </w:r>
      <w:r w:rsidR="001214EE">
        <w:rPr>
          <w:color w:val="000000"/>
        </w:rPr>
        <w:t>differentiated</w:t>
      </w:r>
      <w:r w:rsidR="00494725">
        <w:rPr>
          <w:color w:val="000000"/>
        </w:rPr>
        <w:t xml:space="preserve"> by grading</w:t>
      </w:r>
      <w:r w:rsidR="001214EE">
        <w:rPr>
          <w:color w:val="000000"/>
        </w:rPr>
        <w:t xml:space="preserve"> (Taylor and Woodhams 2022).</w:t>
      </w:r>
    </w:p>
    <w:p w14:paraId="0EDB034B" w14:textId="46C4A0E0" w:rsidR="002A6580" w:rsidRDefault="001214EE" w:rsidP="00997E51">
      <w:pPr>
        <w:pStyle w:val="Nornal"/>
        <w:spacing w:after="0" w:line="240" w:lineRule="auto"/>
        <w:rPr>
          <w:color w:val="000000"/>
        </w:rPr>
      </w:pPr>
      <w:r>
        <w:rPr>
          <w:color w:val="000000"/>
        </w:rPr>
        <w:t xml:space="preserve">Pay structures can be broad or narrow, depending on the business type and functions it carries out, an example being a supermarket may only have a store manager, with </w:t>
      </w:r>
      <w:r w:rsidR="0009676C">
        <w:rPr>
          <w:color w:val="000000"/>
        </w:rPr>
        <w:t>much of</w:t>
      </w:r>
      <w:r>
        <w:rPr>
          <w:color w:val="000000"/>
        </w:rPr>
        <w:t xml:space="preserve"> the </w:t>
      </w:r>
      <w:r w:rsidR="004E2980">
        <w:rPr>
          <w:color w:val="000000"/>
        </w:rPr>
        <w:t xml:space="preserve">rest of the </w:t>
      </w:r>
      <w:r>
        <w:rPr>
          <w:color w:val="000000"/>
        </w:rPr>
        <w:t xml:space="preserve">workforce made up of shop floor </w:t>
      </w:r>
      <w:r w:rsidR="002A6580">
        <w:rPr>
          <w:color w:val="000000"/>
        </w:rPr>
        <w:t xml:space="preserve">staff, this could be deemed as a narrow pay structure. </w:t>
      </w:r>
      <w:r w:rsidR="00F21DFD">
        <w:rPr>
          <w:color w:val="000000"/>
        </w:rPr>
        <w:t>Salaries can be</w:t>
      </w:r>
      <w:r w:rsidR="00F21DFD">
        <w:rPr>
          <w:color w:val="000000"/>
        </w:rPr>
        <w:t xml:space="preserve"> stagnant in a narrow pay structure as there is little room to manoeuvre unless the job role functions are improved and </w:t>
      </w:r>
      <w:r w:rsidR="0009676C">
        <w:rPr>
          <w:color w:val="000000"/>
        </w:rPr>
        <w:t>recognised</w:t>
      </w:r>
      <w:r w:rsidR="00F21DFD">
        <w:rPr>
          <w:color w:val="000000"/>
        </w:rPr>
        <w:t>.</w:t>
      </w:r>
    </w:p>
    <w:p w14:paraId="1195C72B" w14:textId="0D7C4FA5" w:rsidR="00115E0A" w:rsidRDefault="00F6559D" w:rsidP="00997E51">
      <w:pPr>
        <w:pStyle w:val="Nornal"/>
        <w:spacing w:after="0" w:line="240" w:lineRule="auto"/>
        <w:rPr>
          <w:color w:val="000000"/>
        </w:rPr>
      </w:pPr>
      <w:r>
        <w:rPr>
          <w:color w:val="000000"/>
        </w:rPr>
        <w:t xml:space="preserve">Contrast this with </w:t>
      </w:r>
      <w:r w:rsidR="00414F65">
        <w:rPr>
          <w:color w:val="000000"/>
        </w:rPr>
        <w:t>individual</w:t>
      </w:r>
      <w:r>
        <w:rPr>
          <w:color w:val="000000"/>
        </w:rPr>
        <w:t xml:space="preserve"> pay </w:t>
      </w:r>
      <w:r w:rsidR="00414F65">
        <w:rPr>
          <w:color w:val="000000"/>
        </w:rPr>
        <w:t>rates</w:t>
      </w:r>
      <w:r>
        <w:rPr>
          <w:color w:val="000000"/>
        </w:rPr>
        <w:t xml:space="preserve">, where </w:t>
      </w:r>
      <w:r w:rsidR="00115E0A">
        <w:rPr>
          <w:color w:val="000000"/>
        </w:rPr>
        <w:t>there is more fluidity and less restrictive measure</w:t>
      </w:r>
      <w:r w:rsidR="004E2980">
        <w:rPr>
          <w:color w:val="000000"/>
        </w:rPr>
        <w:t>s</w:t>
      </w:r>
      <w:r w:rsidR="00115E0A">
        <w:rPr>
          <w:color w:val="000000"/>
        </w:rPr>
        <w:t xml:space="preserve"> placed upon role type and individuals can be rewarded based on merit rather than rank. </w:t>
      </w:r>
      <w:r w:rsidR="005A0191">
        <w:rPr>
          <w:color w:val="000000"/>
        </w:rPr>
        <w:t xml:space="preserve">However, there is less </w:t>
      </w:r>
      <w:r w:rsidR="008F3A5E">
        <w:rPr>
          <w:color w:val="000000"/>
        </w:rPr>
        <w:t>order</w:t>
      </w:r>
      <w:r w:rsidR="00414F65">
        <w:rPr>
          <w:color w:val="000000"/>
        </w:rPr>
        <w:t xml:space="preserve"> should an organisation employee outside of a rigid </w:t>
      </w:r>
      <w:r w:rsidR="008F3A5E">
        <w:rPr>
          <w:color w:val="000000"/>
        </w:rPr>
        <w:t xml:space="preserve">pay </w:t>
      </w:r>
      <w:r w:rsidR="00AE5EC2">
        <w:rPr>
          <w:color w:val="000000"/>
        </w:rPr>
        <w:t>structure but</w:t>
      </w:r>
      <w:r w:rsidR="008F3A5E">
        <w:rPr>
          <w:color w:val="000000"/>
        </w:rPr>
        <w:t xml:space="preserve"> does allow for organisations to remain competitive as they can review the pay rate dependent on the market value. </w:t>
      </w:r>
    </w:p>
    <w:p w14:paraId="0C21BAFB" w14:textId="0EFA9230" w:rsidR="001214EE" w:rsidRDefault="0009676C" w:rsidP="00997E51">
      <w:pPr>
        <w:pStyle w:val="Nornal"/>
        <w:spacing w:after="0" w:line="240" w:lineRule="auto"/>
        <w:rPr>
          <w:color w:val="000000"/>
        </w:rPr>
      </w:pPr>
      <w:r>
        <w:rPr>
          <w:color w:val="000000"/>
        </w:rPr>
        <w:t xml:space="preserve">Pay </w:t>
      </w:r>
      <w:r w:rsidR="002A6580">
        <w:rPr>
          <w:color w:val="000000"/>
        </w:rPr>
        <w:t>structures</w:t>
      </w:r>
      <w:r>
        <w:rPr>
          <w:color w:val="000000"/>
        </w:rPr>
        <w:t xml:space="preserve"> set by grading</w:t>
      </w:r>
      <w:r w:rsidR="002A6580">
        <w:rPr>
          <w:color w:val="000000"/>
        </w:rPr>
        <w:t xml:space="preserve"> are usually aligned by job type and tied to jobs of a similar nature, for example an Administration Assistant within the public sector could earn the equivalent in a different department as they carry out the same function. </w:t>
      </w:r>
      <w:r>
        <w:rPr>
          <w:color w:val="000000"/>
        </w:rPr>
        <w:t xml:space="preserve">Pay structures of this type can be transparent within an organisation, which is transparent and allows people to know where they sit within a hierarchical structure. When job families are evident and linked to salary dictation, clear lines are drawn and </w:t>
      </w:r>
      <w:r w:rsidR="0076416E">
        <w:rPr>
          <w:color w:val="000000"/>
        </w:rPr>
        <w:t xml:space="preserve">can help recognise more </w:t>
      </w:r>
      <w:r w:rsidR="00FF361C">
        <w:rPr>
          <w:color w:val="000000"/>
        </w:rPr>
        <w:t>sought-after</w:t>
      </w:r>
      <w:r w:rsidR="0076416E">
        <w:rPr>
          <w:color w:val="000000"/>
        </w:rPr>
        <w:t xml:space="preserve"> workers being better rewarded (CIPD, 2024). </w:t>
      </w:r>
      <w:r w:rsidR="009E6C5F">
        <w:rPr>
          <w:color w:val="000000"/>
        </w:rPr>
        <w:t>To ensure this is done fairly, job roles can be ranked based on complexity and necessity to an organisation, with a view to introduce a pay structure (Sullivan, 2010).</w:t>
      </w:r>
    </w:p>
    <w:p w14:paraId="20F8DEF4" w14:textId="3A7B491B" w:rsidR="00A7312A" w:rsidRPr="008F3A5E" w:rsidRDefault="00414F65" w:rsidP="00A7312A">
      <w:pPr>
        <w:pStyle w:val="Nornal"/>
        <w:spacing w:after="0" w:line="240" w:lineRule="auto"/>
        <w:rPr>
          <w:color w:val="000000"/>
        </w:rPr>
      </w:pPr>
      <w:r>
        <w:rPr>
          <w:color w:val="000000"/>
        </w:rPr>
        <w:t xml:space="preserve">It is important to </w:t>
      </w:r>
      <w:r w:rsidR="008F3A5E">
        <w:rPr>
          <w:color w:val="000000"/>
        </w:rPr>
        <w:t>acknowledge, that orderly pay structures</w:t>
      </w:r>
      <w:r w:rsidR="00D514C8">
        <w:rPr>
          <w:color w:val="000000"/>
        </w:rPr>
        <w:t xml:space="preserve">, to ensure </w:t>
      </w:r>
      <w:r w:rsidR="008F3A5E">
        <w:rPr>
          <w:color w:val="000000"/>
        </w:rPr>
        <w:t>organisations operate within the mandatory requirements laid out by legislation, around equal pay (Equality Act, 2010), as grade structures are more transparent</w:t>
      </w:r>
      <w:r w:rsidR="00AE5EC2">
        <w:rPr>
          <w:color w:val="000000"/>
        </w:rPr>
        <w:t xml:space="preserve"> in nature.</w:t>
      </w:r>
      <w:r w:rsidR="0042507B">
        <w:rPr>
          <w:color w:val="000000"/>
        </w:rPr>
        <w:t xml:space="preserve"> This transparency can hopefully lead to change in culture, as Eco-Insulates employees’ salaries are banded or graded in accordance with market rate and value within the operation. </w:t>
      </w:r>
    </w:p>
    <w:p w14:paraId="47D6EB1C" w14:textId="77777777" w:rsidR="004A79F5" w:rsidRPr="00871718" w:rsidRDefault="004A79F5" w:rsidP="004A79F5">
      <w:pPr>
        <w:pStyle w:val="Nornal"/>
        <w:spacing w:after="0" w:line="240" w:lineRule="auto"/>
        <w:rPr>
          <w:b/>
          <w:bCs/>
          <w:color w:val="000000"/>
        </w:rPr>
      </w:pPr>
    </w:p>
    <w:p w14:paraId="1B0679D9" w14:textId="77777777" w:rsidR="004A79F5" w:rsidRPr="00D514C8" w:rsidRDefault="004A79F5" w:rsidP="004A79F5">
      <w:pPr>
        <w:pStyle w:val="Nornal"/>
        <w:numPr>
          <w:ilvl w:val="0"/>
          <w:numId w:val="5"/>
        </w:numPr>
        <w:spacing w:after="0" w:line="240" w:lineRule="auto"/>
        <w:rPr>
          <w:b/>
          <w:bCs/>
          <w:color w:val="000000"/>
        </w:rPr>
      </w:pPr>
      <w:r w:rsidRPr="00871718">
        <w:rPr>
          <w:b/>
          <w:bCs/>
          <w:color w:val="000000" w:themeColor="text1"/>
        </w:rPr>
        <w:t>Explain how contingent rewards can impact individual, team and organisational performance. (AC 2.2)</w:t>
      </w:r>
    </w:p>
    <w:p w14:paraId="3CF2B7A6" w14:textId="77777777" w:rsidR="006367AF" w:rsidRDefault="006367AF" w:rsidP="00D514C8">
      <w:pPr>
        <w:pStyle w:val="Nornal"/>
        <w:spacing w:after="0" w:line="240" w:lineRule="auto"/>
        <w:rPr>
          <w:color w:val="000000" w:themeColor="text1"/>
        </w:rPr>
      </w:pPr>
    </w:p>
    <w:p w14:paraId="6D0F551D" w14:textId="1110217D" w:rsidR="00AF1A13" w:rsidRDefault="00564D16" w:rsidP="00D514C8">
      <w:pPr>
        <w:pStyle w:val="Nornal"/>
        <w:spacing w:after="0" w:line="240" w:lineRule="auto"/>
        <w:rPr>
          <w:color w:val="000000" w:themeColor="text1"/>
        </w:rPr>
      </w:pPr>
      <w:r w:rsidRPr="006367AF">
        <w:rPr>
          <w:color w:val="000000" w:themeColor="text1"/>
        </w:rPr>
        <w:t xml:space="preserve">Contingent pay rewards such as commission bonuses for reaching sales targets can positively influence the </w:t>
      </w:r>
      <w:r w:rsidR="006367AF" w:rsidRPr="006367AF">
        <w:rPr>
          <w:color w:val="000000" w:themeColor="text1"/>
        </w:rPr>
        <w:t>performance</w:t>
      </w:r>
      <w:r w:rsidRPr="006367AF">
        <w:rPr>
          <w:color w:val="000000" w:themeColor="text1"/>
        </w:rPr>
        <w:t xml:space="preserve"> of both the individual and the </w:t>
      </w:r>
      <w:r w:rsidR="006367AF" w:rsidRPr="006367AF">
        <w:rPr>
          <w:color w:val="000000" w:themeColor="text1"/>
        </w:rPr>
        <w:t>organisation</w:t>
      </w:r>
      <w:r w:rsidRPr="006367AF">
        <w:rPr>
          <w:color w:val="000000" w:themeColor="text1"/>
        </w:rPr>
        <w:t xml:space="preserve">. </w:t>
      </w:r>
      <w:r w:rsidR="00D17206">
        <w:rPr>
          <w:color w:val="000000" w:themeColor="text1"/>
        </w:rPr>
        <w:t xml:space="preserve">These incentives can help drive and foster a competitive nature within the organisation, that needs to be harnessed carefully, to avoid disrupting a potentially harmonious workforce, if over-stimulated by pay-performance related rewards. This extrinsic reward can help to </w:t>
      </w:r>
      <w:r w:rsidR="00F233CF">
        <w:rPr>
          <w:color w:val="000000" w:themeColor="text1"/>
        </w:rPr>
        <w:t xml:space="preserve">motivate </w:t>
      </w:r>
      <w:r w:rsidR="00812E80">
        <w:rPr>
          <w:color w:val="000000" w:themeColor="text1"/>
        </w:rPr>
        <w:t xml:space="preserve">and create a high-performance culture </w:t>
      </w:r>
      <w:r w:rsidR="00F233CF">
        <w:rPr>
          <w:color w:val="000000" w:themeColor="text1"/>
        </w:rPr>
        <w:t>and</w:t>
      </w:r>
      <w:r w:rsidR="00D17206">
        <w:rPr>
          <w:color w:val="000000" w:themeColor="text1"/>
        </w:rPr>
        <w:t xml:space="preserve"> is the simplest tool to achieve a positive output from the workforce</w:t>
      </w:r>
      <w:r w:rsidR="00F233CF">
        <w:rPr>
          <w:color w:val="000000" w:themeColor="text1"/>
        </w:rPr>
        <w:t xml:space="preserve"> (CIPD, 2024)</w:t>
      </w:r>
      <w:r w:rsidR="00D17206">
        <w:rPr>
          <w:color w:val="000000" w:themeColor="text1"/>
        </w:rPr>
        <w:t xml:space="preserve">. </w:t>
      </w:r>
      <w:r w:rsidR="00D610B8">
        <w:rPr>
          <w:color w:val="000000" w:themeColor="text1"/>
        </w:rPr>
        <w:t xml:space="preserve">This is seen to be an equitable form of recompensing workers for their positive contributions. </w:t>
      </w:r>
    </w:p>
    <w:p w14:paraId="4076C396" w14:textId="523918D3" w:rsidR="00D514C8" w:rsidRDefault="00AF1A13" w:rsidP="00D514C8">
      <w:pPr>
        <w:pStyle w:val="Nornal"/>
        <w:spacing w:after="0" w:line="240" w:lineRule="auto"/>
        <w:rPr>
          <w:color w:val="000000" w:themeColor="text1"/>
        </w:rPr>
      </w:pPr>
      <w:r>
        <w:rPr>
          <w:color w:val="000000" w:themeColor="text1"/>
        </w:rPr>
        <w:t>Contingent</w:t>
      </w:r>
      <w:r w:rsidR="00F233CF">
        <w:rPr>
          <w:color w:val="000000" w:themeColor="text1"/>
        </w:rPr>
        <w:t xml:space="preserve"> </w:t>
      </w:r>
      <w:r>
        <w:rPr>
          <w:color w:val="000000" w:themeColor="text1"/>
        </w:rPr>
        <w:t>pay can take different forms, it could be a lump</w:t>
      </w:r>
      <w:r w:rsidR="00812E80">
        <w:rPr>
          <w:color w:val="000000" w:themeColor="text1"/>
        </w:rPr>
        <w:t>-</w:t>
      </w:r>
      <w:r>
        <w:rPr>
          <w:color w:val="000000" w:themeColor="text1"/>
        </w:rPr>
        <w:t>sum payment to supplement the basic salary and fluctuates dependent on performance and contribution made by the individual.</w:t>
      </w:r>
      <w:r w:rsidR="00812E80">
        <w:rPr>
          <w:color w:val="000000" w:themeColor="text1"/>
        </w:rPr>
        <w:t xml:space="preserve"> Another form could be to be assessed against </w:t>
      </w:r>
      <w:r w:rsidR="00D610B8">
        <w:rPr>
          <w:color w:val="000000" w:themeColor="text1"/>
        </w:rPr>
        <w:t>the service-related pay, whereby the individual is rewarded for increased length of service. The impact could be an incremental change to their terms and de-facto breeds a sense of loyalty within an organisation and help improve retention rates (CIPD, 2024).</w:t>
      </w:r>
      <w:r w:rsidR="004F7504">
        <w:rPr>
          <w:color w:val="000000" w:themeColor="text1"/>
        </w:rPr>
        <w:t xml:space="preserve"> However, a negative to this scheme is that people will stay with this a key driver in their motivation, without a desire to improve on their own performance. </w:t>
      </w:r>
    </w:p>
    <w:p w14:paraId="16D1962D" w14:textId="0F86866C" w:rsidR="00D610B8" w:rsidRDefault="00D610B8" w:rsidP="00D514C8">
      <w:pPr>
        <w:pStyle w:val="Nornal"/>
        <w:spacing w:after="0" w:line="240" w:lineRule="auto"/>
        <w:rPr>
          <w:color w:val="000000" w:themeColor="text1"/>
        </w:rPr>
      </w:pPr>
      <w:r>
        <w:rPr>
          <w:color w:val="000000" w:themeColor="text1"/>
        </w:rPr>
        <w:lastRenderedPageBreak/>
        <w:t xml:space="preserve">Competency related </w:t>
      </w:r>
      <w:r w:rsidR="00C01B10">
        <w:rPr>
          <w:color w:val="000000" w:themeColor="text1"/>
        </w:rPr>
        <w:t>pay rewards can be attributed for the individuals own input into their job performance. This can be measured using a competency framework,</w:t>
      </w:r>
      <w:r w:rsidR="00821712">
        <w:rPr>
          <w:color w:val="000000" w:themeColor="text1"/>
        </w:rPr>
        <w:t xml:space="preserve"> linked to their own objectives, or even</w:t>
      </w:r>
      <w:r w:rsidR="00C01B10">
        <w:rPr>
          <w:color w:val="000000" w:themeColor="text1"/>
        </w:rPr>
        <w:t xml:space="preserve"> tied to the values</w:t>
      </w:r>
      <w:r w:rsidR="00821712">
        <w:rPr>
          <w:color w:val="000000" w:themeColor="text1"/>
        </w:rPr>
        <w:t>/</w:t>
      </w:r>
      <w:r w:rsidR="00C01B10">
        <w:rPr>
          <w:color w:val="000000" w:themeColor="text1"/>
        </w:rPr>
        <w:t xml:space="preserve">performance of the organisation (CIPD, 2024). </w:t>
      </w:r>
      <w:r w:rsidR="004F7504">
        <w:rPr>
          <w:color w:val="000000" w:themeColor="text1"/>
        </w:rPr>
        <w:t xml:space="preserve">Although, this may be simply ethical in nature and not measurable to an effective level of performance. </w:t>
      </w:r>
    </w:p>
    <w:p w14:paraId="640E66B6" w14:textId="3D66CAC6" w:rsidR="0057100F" w:rsidRDefault="0057100F" w:rsidP="00D514C8">
      <w:pPr>
        <w:pStyle w:val="Nornal"/>
        <w:spacing w:after="0" w:line="240" w:lineRule="auto"/>
        <w:rPr>
          <w:color w:val="000000" w:themeColor="text1"/>
        </w:rPr>
      </w:pPr>
      <w:r>
        <w:rPr>
          <w:color w:val="000000" w:themeColor="text1"/>
        </w:rPr>
        <w:t xml:space="preserve">Contingent rewards can significantly impact upon individuals when tasks are assigned to them and measured to show that they react more attentively when goals or targets are set around obtaining a reward (Liegel et al, 2024). </w:t>
      </w:r>
    </w:p>
    <w:p w14:paraId="0AE41EBC" w14:textId="26B06C86" w:rsidR="0057100F" w:rsidRDefault="004F7504" w:rsidP="00D514C8">
      <w:pPr>
        <w:pStyle w:val="Nornal"/>
        <w:spacing w:after="0" w:line="240" w:lineRule="auto"/>
        <w:rPr>
          <w:color w:val="000000" w:themeColor="text1"/>
        </w:rPr>
      </w:pPr>
      <w:r>
        <w:rPr>
          <w:color w:val="000000" w:themeColor="text1"/>
        </w:rPr>
        <w:t xml:space="preserve">Skill based pay rewards individuals for gaining more experience, enhancing their own knowledge improving their competency on a personal level. This can help to create a culture of continuous personal development being the core </w:t>
      </w:r>
      <w:r w:rsidR="000C3350">
        <w:rPr>
          <w:color w:val="000000" w:themeColor="text1"/>
        </w:rPr>
        <w:t>driver and</w:t>
      </w:r>
      <w:r>
        <w:rPr>
          <w:color w:val="000000" w:themeColor="text1"/>
        </w:rPr>
        <w:t xml:space="preserve"> can lead to a more versatile workforce. </w:t>
      </w:r>
    </w:p>
    <w:p w14:paraId="20079354" w14:textId="0D247F4D" w:rsidR="002F6A49" w:rsidRPr="00F43E3E" w:rsidRDefault="00B2394C" w:rsidP="002F6A49">
      <w:pPr>
        <w:pStyle w:val="Nornal"/>
        <w:spacing w:after="0" w:line="240" w:lineRule="auto"/>
        <w:rPr>
          <w:color w:val="000000" w:themeColor="text1"/>
        </w:rPr>
      </w:pPr>
      <w:r>
        <w:rPr>
          <w:color w:val="000000" w:themeColor="text1"/>
        </w:rPr>
        <w:t xml:space="preserve">Performance related pay incentives, need to be properly administered and overseen using a performance management system, that is ideally aligned to the organisations objectives to ensure that all forces are pulling in the same direction. </w:t>
      </w:r>
      <w:r w:rsidR="0042507B">
        <w:rPr>
          <w:color w:val="000000" w:themeColor="text1"/>
        </w:rPr>
        <w:t xml:space="preserve">There is presently no incentive beyond completing their obligations within the current work-time schedule at Eco-Insulate, this perhaps could allow for contingent rewards to be allocated to employees upon reaching optimum productivity to drive output. </w:t>
      </w:r>
    </w:p>
    <w:p w14:paraId="627D4A27" w14:textId="77777777" w:rsidR="004A79F5" w:rsidRPr="00871718" w:rsidRDefault="004A79F5" w:rsidP="004A79F5">
      <w:pPr>
        <w:pStyle w:val="Nornal"/>
        <w:spacing w:after="0" w:line="240" w:lineRule="auto"/>
        <w:ind w:left="720"/>
        <w:rPr>
          <w:b/>
          <w:bCs/>
          <w:color w:val="000000"/>
        </w:rPr>
      </w:pPr>
    </w:p>
    <w:p w14:paraId="7B92AF94" w14:textId="77777777" w:rsidR="004A79F5" w:rsidRDefault="004A79F5" w:rsidP="004A79F5">
      <w:pPr>
        <w:pStyle w:val="Nornal"/>
        <w:numPr>
          <w:ilvl w:val="0"/>
          <w:numId w:val="5"/>
        </w:numPr>
        <w:spacing w:after="0" w:line="240" w:lineRule="auto"/>
        <w:rPr>
          <w:b/>
          <w:bCs/>
          <w:color w:val="000000"/>
        </w:rPr>
      </w:pPr>
      <w:r w:rsidRPr="00871718">
        <w:rPr>
          <w:b/>
          <w:bCs/>
          <w:color w:val="000000"/>
        </w:rPr>
        <w:t>Explain the merits of different types of benefits offered by organisations. (AC 2.3)</w:t>
      </w:r>
    </w:p>
    <w:p w14:paraId="22BDCA8F" w14:textId="77777777" w:rsidR="000C3350" w:rsidRDefault="000C3350" w:rsidP="000C3350">
      <w:pPr>
        <w:pStyle w:val="Nornal"/>
        <w:spacing w:after="0" w:line="240" w:lineRule="auto"/>
        <w:rPr>
          <w:b/>
          <w:bCs/>
          <w:color w:val="000000"/>
        </w:rPr>
      </w:pPr>
    </w:p>
    <w:p w14:paraId="2627AA72" w14:textId="77777777" w:rsidR="00A25DD5" w:rsidRDefault="000C3350" w:rsidP="000C3350">
      <w:pPr>
        <w:pStyle w:val="Nornal"/>
        <w:spacing w:after="0" w:line="240" w:lineRule="auto"/>
        <w:rPr>
          <w:color w:val="000000"/>
        </w:rPr>
      </w:pPr>
      <w:r w:rsidRPr="000C3350">
        <w:rPr>
          <w:color w:val="000000"/>
        </w:rPr>
        <w:t>It is crucial that organisations offer a range of benefits to its employees</w:t>
      </w:r>
      <w:r>
        <w:rPr>
          <w:color w:val="000000"/>
        </w:rPr>
        <w:t>, beyond a competitive salary, many will seek assurances through their employer</w:t>
      </w:r>
      <w:r w:rsidR="00340E70">
        <w:rPr>
          <w:color w:val="000000"/>
        </w:rPr>
        <w:t xml:space="preserve">, </w:t>
      </w:r>
      <w:r w:rsidR="0042522D">
        <w:rPr>
          <w:color w:val="000000"/>
        </w:rPr>
        <w:t xml:space="preserve">as this can set the organisation apart from another, to attract the best talent and be competitive in a tight labour market (Boys, 2024). </w:t>
      </w:r>
    </w:p>
    <w:p w14:paraId="2EE25F00" w14:textId="5CE8B8B3" w:rsidR="00A25DD5" w:rsidRDefault="00A25DD5" w:rsidP="000C3350">
      <w:pPr>
        <w:pStyle w:val="Nornal"/>
        <w:spacing w:after="0" w:line="240" w:lineRule="auto"/>
        <w:rPr>
          <w:color w:val="000000"/>
        </w:rPr>
      </w:pPr>
      <w:r>
        <w:rPr>
          <w:color w:val="000000"/>
        </w:rPr>
        <w:t xml:space="preserve">In lieu of increased salaries, companies may seek to offer alternative extrinsic financial benefits such as share scheme options, as </w:t>
      </w:r>
      <w:r w:rsidR="003C0D56">
        <w:rPr>
          <w:color w:val="000000"/>
        </w:rPr>
        <w:t>it’s</w:t>
      </w:r>
      <w:r>
        <w:rPr>
          <w:color w:val="000000"/>
        </w:rPr>
        <w:t xml:space="preserve"> tied to overall organisational performance. </w:t>
      </w:r>
      <w:r w:rsidR="003C0D56">
        <w:rPr>
          <w:color w:val="000000"/>
        </w:rPr>
        <w:t xml:space="preserve">This type of option can help stimulate performance and may be more attractive for higher earning professionals to forgo a higher basic salary payment each month, with longer-termism in mind that their performance will be judged and rewarded handsomely at the end of a financial quarter/year, where they will receive dividends (Place, 2024). This emotive driver </w:t>
      </w:r>
      <w:r w:rsidR="004B4215">
        <w:rPr>
          <w:color w:val="000000"/>
        </w:rPr>
        <w:t xml:space="preserve">can add to the </w:t>
      </w:r>
      <w:proofErr w:type="gramStart"/>
      <w:r w:rsidR="004B4215">
        <w:rPr>
          <w:color w:val="000000"/>
        </w:rPr>
        <w:t>employees</w:t>
      </w:r>
      <w:proofErr w:type="gramEnd"/>
      <w:r w:rsidR="004B4215">
        <w:rPr>
          <w:color w:val="000000"/>
        </w:rPr>
        <w:t xml:space="preserve"> sense of ownership and loyalty towards the organisation as they are invested in its success. </w:t>
      </w:r>
    </w:p>
    <w:p w14:paraId="22C83BAF" w14:textId="546FF8DF" w:rsidR="000C3350" w:rsidRDefault="00A25DD5" w:rsidP="000C3350">
      <w:pPr>
        <w:pStyle w:val="Nornal"/>
        <w:spacing w:after="0" w:line="240" w:lineRule="auto"/>
        <w:rPr>
          <w:color w:val="000000"/>
        </w:rPr>
      </w:pPr>
      <w:r>
        <w:rPr>
          <w:color w:val="000000"/>
        </w:rPr>
        <w:t xml:space="preserve">Organisations have had to step in where the social security benefits </w:t>
      </w:r>
      <w:r w:rsidR="003C0D56">
        <w:rPr>
          <w:color w:val="000000"/>
        </w:rPr>
        <w:t xml:space="preserve">do not go far enough. </w:t>
      </w:r>
      <w:r w:rsidR="0042522D">
        <w:rPr>
          <w:color w:val="000000"/>
        </w:rPr>
        <w:t>A</w:t>
      </w:r>
      <w:r w:rsidR="00340E70">
        <w:rPr>
          <w:color w:val="000000"/>
        </w:rPr>
        <w:t xml:space="preserve"> prime example of this could be a company pension scheme, with matched contributions. Although, this is now a legal requirement for all employers to offer (Pension Scheme Act 2021), the company pension scheme offering does differ between employer on how much contributions they will match or add to your own each month (Cotton, 2024). This element may be held in higher regard by one employee over another, as they </w:t>
      </w:r>
      <w:r w:rsidR="00311E56">
        <w:rPr>
          <w:color w:val="000000"/>
        </w:rPr>
        <w:t>may wish</w:t>
      </w:r>
      <w:r w:rsidR="00340E70">
        <w:rPr>
          <w:color w:val="000000"/>
        </w:rPr>
        <w:t xml:space="preserve"> to retire at an earlier age, this could be a key driver to entice talent to </w:t>
      </w:r>
      <w:r w:rsidR="00311E56">
        <w:rPr>
          <w:color w:val="000000"/>
        </w:rPr>
        <w:t xml:space="preserve">be the employer of choice for them. </w:t>
      </w:r>
    </w:p>
    <w:p w14:paraId="6F0C205A" w14:textId="77777777" w:rsidR="009B4470" w:rsidRDefault="0042522D" w:rsidP="000C3350">
      <w:pPr>
        <w:pStyle w:val="Nornal"/>
        <w:spacing w:after="0" w:line="240" w:lineRule="auto"/>
        <w:rPr>
          <w:color w:val="000000"/>
        </w:rPr>
      </w:pPr>
      <w:r>
        <w:rPr>
          <w:color w:val="000000"/>
        </w:rPr>
        <w:t>Enhanced benefits such as full occupational sick pay, can provide security to employees, knowing that they won’t suffer a financial detrimental impact, if they absent due to sickness. This security can help foster a sense of loyalty, with a feeling that the employer does care about them. With this loyalty factor in mind, over a prolonged time, could improve retention rates, as employees are less likely to leave an organisation where they feel valued</w:t>
      </w:r>
      <w:r w:rsidR="00BE03A3">
        <w:rPr>
          <w:color w:val="000000"/>
        </w:rPr>
        <w:t xml:space="preserve"> (MetLife, 2024)</w:t>
      </w:r>
      <w:r>
        <w:rPr>
          <w:color w:val="000000"/>
        </w:rPr>
        <w:t xml:space="preserve">. </w:t>
      </w:r>
    </w:p>
    <w:p w14:paraId="6065E27B" w14:textId="440B0F3A" w:rsidR="00B617AE" w:rsidRDefault="00B617AE" w:rsidP="000C3350">
      <w:pPr>
        <w:pStyle w:val="Nornal"/>
        <w:spacing w:after="0" w:line="240" w:lineRule="auto"/>
        <w:rPr>
          <w:color w:val="000000"/>
        </w:rPr>
      </w:pPr>
      <w:r>
        <w:rPr>
          <w:color w:val="000000"/>
        </w:rPr>
        <w:t xml:space="preserve">The same can be said for annual leave entitlements, with the </w:t>
      </w:r>
      <w:r w:rsidR="009B4470">
        <w:rPr>
          <w:color w:val="000000"/>
        </w:rPr>
        <w:t xml:space="preserve">statutory minimum being 5.6 weeks annual leave per annum, which is 28 working days and includes bank holidays (GOV.UK, 2024). However, offering more than the statutory minimum, based on length of service at Eco-Insulate could lead to improved loyalty, making it more attractive for employees to stay. </w:t>
      </w:r>
    </w:p>
    <w:p w14:paraId="07D553F6" w14:textId="43E9F67B" w:rsidR="004E14A5" w:rsidRDefault="004E14A5" w:rsidP="000C3350">
      <w:pPr>
        <w:pStyle w:val="Nornal"/>
        <w:spacing w:after="0" w:line="240" w:lineRule="auto"/>
        <w:rPr>
          <w:color w:val="000000"/>
        </w:rPr>
      </w:pPr>
      <w:r>
        <w:rPr>
          <w:color w:val="000000"/>
        </w:rPr>
        <w:t>Another key benefit that was highlighted from the Reward Management Survey</w:t>
      </w:r>
      <w:r w:rsidR="009E6C5F">
        <w:rPr>
          <w:color w:val="000000"/>
        </w:rPr>
        <w:t xml:space="preserve"> 2022</w:t>
      </w:r>
      <w:r>
        <w:rPr>
          <w:color w:val="000000"/>
        </w:rPr>
        <w:t xml:space="preserve"> (Cotton, 2022), was that an overwhelming majority of employers were </w:t>
      </w:r>
      <w:r w:rsidR="00935C54">
        <w:rPr>
          <w:color w:val="000000"/>
        </w:rPr>
        <w:t>now offering</w:t>
      </w:r>
      <w:r>
        <w:rPr>
          <w:color w:val="000000"/>
        </w:rPr>
        <w:t xml:space="preserve"> </w:t>
      </w:r>
      <w:r w:rsidR="00935C54">
        <w:rPr>
          <w:color w:val="000000"/>
        </w:rPr>
        <w:t>more health and wellbeing, such as E</w:t>
      </w:r>
      <w:r w:rsidR="00034065">
        <w:rPr>
          <w:color w:val="000000"/>
        </w:rPr>
        <w:t xml:space="preserve">mployee </w:t>
      </w:r>
      <w:r w:rsidR="00935C54">
        <w:rPr>
          <w:color w:val="000000"/>
        </w:rPr>
        <w:t>A</w:t>
      </w:r>
      <w:r w:rsidR="00034065">
        <w:rPr>
          <w:color w:val="000000"/>
        </w:rPr>
        <w:t>ssistant Programmes in</w:t>
      </w:r>
      <w:r w:rsidR="00935C54">
        <w:rPr>
          <w:color w:val="000000"/>
        </w:rPr>
        <w:t xml:space="preserve"> </w:t>
      </w:r>
      <w:r>
        <w:rPr>
          <w:color w:val="000000"/>
        </w:rPr>
        <w:t xml:space="preserve">their benefits </w:t>
      </w:r>
      <w:r w:rsidR="00034065">
        <w:rPr>
          <w:color w:val="000000"/>
        </w:rPr>
        <w:t>packages</w:t>
      </w:r>
      <w:r w:rsidR="00935C54">
        <w:rPr>
          <w:color w:val="000000"/>
        </w:rPr>
        <w:t xml:space="preserve">. </w:t>
      </w:r>
      <w:r w:rsidR="00E751A2">
        <w:rPr>
          <w:color w:val="000000"/>
        </w:rPr>
        <w:t xml:space="preserve">This is a key indicator of employer now taking emotional health far more seriously, recognising that their own employees’ mental health matters. </w:t>
      </w:r>
      <w:r w:rsidR="009B74F2">
        <w:rPr>
          <w:color w:val="000000"/>
        </w:rPr>
        <w:t xml:space="preserve">It can also help mitigate absence for emotional health, by supporting employees using a </w:t>
      </w:r>
      <w:r w:rsidR="009B74F2">
        <w:rPr>
          <w:color w:val="000000"/>
        </w:rPr>
        <w:t xml:space="preserve">designated </w:t>
      </w:r>
      <w:r w:rsidR="009B74F2">
        <w:rPr>
          <w:color w:val="000000"/>
        </w:rPr>
        <w:t xml:space="preserve">service that is provided by mental health professionals. </w:t>
      </w:r>
    </w:p>
    <w:p w14:paraId="49E9DD1E" w14:textId="15D42593" w:rsidR="00BE03A3" w:rsidRDefault="00BE03A3" w:rsidP="000C3350">
      <w:pPr>
        <w:pStyle w:val="Nornal"/>
        <w:spacing w:after="0" w:line="240" w:lineRule="auto"/>
        <w:rPr>
          <w:color w:val="000000"/>
        </w:rPr>
      </w:pPr>
      <w:r>
        <w:rPr>
          <w:color w:val="000000"/>
        </w:rPr>
        <w:t xml:space="preserve">In recent times, work-life balances have been re-considered to be a higher priority for </w:t>
      </w:r>
      <w:r w:rsidR="00803B06">
        <w:rPr>
          <w:color w:val="000000"/>
        </w:rPr>
        <w:t>jobseekers</w:t>
      </w:r>
      <w:r>
        <w:rPr>
          <w:color w:val="000000"/>
        </w:rPr>
        <w:t xml:space="preserve">, which can lead to a positive in terms of productivity as the output is maximised from an employee when they have greater autonomy on how they fulfil their role. </w:t>
      </w:r>
      <w:r w:rsidR="006D1D43">
        <w:rPr>
          <w:color w:val="000000"/>
        </w:rPr>
        <w:t>S</w:t>
      </w:r>
      <w:r w:rsidR="006D1D43">
        <w:rPr>
          <w:color w:val="000000"/>
        </w:rPr>
        <w:t>tudies have shown this to have an increased buy-in when it comes to engagement (Kalev et all, 2022)</w:t>
      </w:r>
      <w:r w:rsidR="006D1D43">
        <w:rPr>
          <w:color w:val="000000"/>
        </w:rPr>
        <w:t>, b</w:t>
      </w:r>
      <w:r>
        <w:rPr>
          <w:color w:val="000000"/>
        </w:rPr>
        <w:t xml:space="preserve">y having </w:t>
      </w:r>
      <w:r w:rsidR="006D1D43">
        <w:rPr>
          <w:color w:val="000000"/>
        </w:rPr>
        <w:t>the availability to work flexibly when it comes to working around children and/or dependents.</w:t>
      </w:r>
      <w:r>
        <w:rPr>
          <w:color w:val="000000"/>
        </w:rPr>
        <w:t xml:space="preserve"> </w:t>
      </w:r>
      <w:r w:rsidR="009B4470">
        <w:rPr>
          <w:color w:val="000000"/>
        </w:rPr>
        <w:t xml:space="preserve">By making this available to all </w:t>
      </w:r>
      <w:r w:rsidR="009B4470">
        <w:rPr>
          <w:color w:val="000000"/>
        </w:rPr>
        <w:lastRenderedPageBreak/>
        <w:t xml:space="preserve">employees, it could help bridge a sentiment of us vs them, with only senior staff benefiting from this flexibility currently. </w:t>
      </w:r>
    </w:p>
    <w:p w14:paraId="7D44A36E" w14:textId="77777777" w:rsidR="00700305" w:rsidRPr="000C3350" w:rsidRDefault="00700305" w:rsidP="000C3350">
      <w:pPr>
        <w:pStyle w:val="Nornal"/>
        <w:spacing w:after="0" w:line="240" w:lineRule="auto"/>
        <w:rPr>
          <w:color w:val="000000"/>
        </w:rPr>
      </w:pPr>
    </w:p>
    <w:p w14:paraId="4566B2CE" w14:textId="77777777" w:rsidR="004A79F5" w:rsidRPr="00871718" w:rsidRDefault="004A79F5" w:rsidP="004A79F5">
      <w:pPr>
        <w:pStyle w:val="ListParagraph"/>
        <w:rPr>
          <w:rFonts w:cs="Arial"/>
          <w:b/>
          <w:bCs/>
          <w:color w:val="000000"/>
        </w:rPr>
      </w:pPr>
    </w:p>
    <w:p w14:paraId="0FE6745C" w14:textId="77777777" w:rsidR="004A79F5" w:rsidRDefault="004A79F5" w:rsidP="004A79F5">
      <w:pPr>
        <w:pStyle w:val="Nornal"/>
        <w:numPr>
          <w:ilvl w:val="0"/>
          <w:numId w:val="5"/>
        </w:numPr>
        <w:spacing w:after="0" w:line="240" w:lineRule="auto"/>
        <w:rPr>
          <w:b/>
          <w:bCs/>
          <w:color w:val="000000"/>
        </w:rPr>
      </w:pPr>
      <w:r w:rsidRPr="00871718">
        <w:rPr>
          <w:b/>
          <w:bCs/>
          <w:color w:val="000000"/>
        </w:rPr>
        <w:t>Explain the merits of different types of recognition schemes offered by organisations. (AC 2.4)</w:t>
      </w:r>
    </w:p>
    <w:p w14:paraId="513BACDF" w14:textId="77777777" w:rsidR="00F811E9" w:rsidRDefault="00F811E9" w:rsidP="00F811E9">
      <w:pPr>
        <w:pStyle w:val="Nornal"/>
        <w:spacing w:after="0" w:line="240" w:lineRule="auto"/>
        <w:rPr>
          <w:b/>
          <w:bCs/>
          <w:color w:val="000000"/>
        </w:rPr>
      </w:pPr>
    </w:p>
    <w:p w14:paraId="0570FFC6" w14:textId="3060F0DE" w:rsidR="00F811E9" w:rsidRDefault="00FD2F2F" w:rsidP="00F811E9">
      <w:pPr>
        <w:pStyle w:val="Nornal"/>
        <w:spacing w:after="0" w:line="240" w:lineRule="auto"/>
        <w:rPr>
          <w:color w:val="000000"/>
        </w:rPr>
      </w:pPr>
      <w:r w:rsidRPr="00FD2F2F">
        <w:rPr>
          <w:color w:val="000000"/>
        </w:rPr>
        <w:t xml:space="preserve">Recognition schemes have the ability to motivate </w:t>
      </w:r>
      <w:r>
        <w:rPr>
          <w:color w:val="000000"/>
        </w:rPr>
        <w:t xml:space="preserve">workers to go the extra mile, as they feel a sense of appreciation for their efforts. This can simply be doing their tasks </w:t>
      </w:r>
      <w:r w:rsidR="00CB60B0">
        <w:rPr>
          <w:color w:val="000000"/>
        </w:rPr>
        <w:t>effectively or</w:t>
      </w:r>
      <w:r>
        <w:rPr>
          <w:color w:val="000000"/>
        </w:rPr>
        <w:t xml:space="preserve"> delivering great customer service. The simplest form of recognition can be through </w:t>
      </w:r>
      <w:r w:rsidR="00CB60B0">
        <w:rPr>
          <w:color w:val="000000"/>
        </w:rPr>
        <w:t>formal means</w:t>
      </w:r>
      <w:r>
        <w:rPr>
          <w:color w:val="000000"/>
        </w:rPr>
        <w:t xml:space="preserve"> </w:t>
      </w:r>
      <w:r w:rsidR="00D27A06">
        <w:rPr>
          <w:color w:val="000000"/>
        </w:rPr>
        <w:t>such as</w:t>
      </w:r>
      <w:r w:rsidR="00D27A06">
        <w:rPr>
          <w:color w:val="000000"/>
        </w:rPr>
        <w:t xml:space="preserve"> setting objectives in a more formal manner with the introduction of SMART goals with an expectation that if X is achieved then the recognition will follow. </w:t>
      </w:r>
      <w:r w:rsidR="00D27A06">
        <w:rPr>
          <w:color w:val="000000"/>
        </w:rPr>
        <w:t>It could carry a</w:t>
      </w:r>
      <w:r>
        <w:rPr>
          <w:color w:val="000000"/>
        </w:rPr>
        <w:t xml:space="preserve"> gift </w:t>
      </w:r>
      <w:r w:rsidR="00CB60B0">
        <w:rPr>
          <w:color w:val="000000"/>
        </w:rPr>
        <w:t xml:space="preserve">card </w:t>
      </w:r>
      <w:r>
        <w:rPr>
          <w:color w:val="000000"/>
        </w:rPr>
        <w:t xml:space="preserve">voucher </w:t>
      </w:r>
      <w:r w:rsidR="00D27A06">
        <w:rPr>
          <w:color w:val="000000"/>
        </w:rPr>
        <w:t xml:space="preserve">being issued for hitting objectives with public recognition from peers. This recognition model is formalised with a list of objectives from the outset, allowing for the employee to have a greater understanding of what good looks like. </w:t>
      </w:r>
    </w:p>
    <w:p w14:paraId="5FB7C87D" w14:textId="373D254F" w:rsidR="00CB60B0" w:rsidRDefault="00CB60B0" w:rsidP="00F811E9">
      <w:pPr>
        <w:pStyle w:val="Nornal"/>
        <w:spacing w:after="0" w:line="240" w:lineRule="auto"/>
        <w:rPr>
          <w:color w:val="000000"/>
        </w:rPr>
      </w:pPr>
      <w:r>
        <w:rPr>
          <w:color w:val="000000"/>
        </w:rPr>
        <w:t xml:space="preserve">It is important not to diminish the value of </w:t>
      </w:r>
      <w:r w:rsidR="00556CD1">
        <w:rPr>
          <w:color w:val="000000"/>
        </w:rPr>
        <w:t>informal recognition practices</w:t>
      </w:r>
      <w:r>
        <w:rPr>
          <w:color w:val="000000"/>
        </w:rPr>
        <w:t>, solely seeking formal recognition through</w:t>
      </w:r>
      <w:r w:rsidR="00556CD1">
        <w:rPr>
          <w:color w:val="000000"/>
        </w:rPr>
        <w:t xml:space="preserve"> a rigid process seeking to be recognition from peers from the outset, can create a competitive nature amongst employees</w:t>
      </w:r>
      <w:r w:rsidR="002D5374">
        <w:rPr>
          <w:color w:val="000000"/>
        </w:rPr>
        <w:t>, and may be seen as a negative, with the desired effect being the opposite (Cotton, 2022)</w:t>
      </w:r>
      <w:r w:rsidR="00556CD1">
        <w:rPr>
          <w:color w:val="000000"/>
        </w:rPr>
        <w:t>. However,</w:t>
      </w:r>
      <w:r>
        <w:rPr>
          <w:color w:val="000000"/>
        </w:rPr>
        <w:t xml:space="preserve"> </w:t>
      </w:r>
      <w:r w:rsidR="00556CD1">
        <w:rPr>
          <w:color w:val="000000"/>
        </w:rPr>
        <w:t xml:space="preserve">informal approaches appear to be more ad-hoc and more surprising to the recipient which </w:t>
      </w:r>
      <w:r>
        <w:rPr>
          <w:color w:val="000000"/>
        </w:rPr>
        <w:t xml:space="preserve">this has shown to have a deeper impact and greatly affect the </w:t>
      </w:r>
      <w:r w:rsidR="002D5374">
        <w:rPr>
          <w:color w:val="000000"/>
        </w:rPr>
        <w:t>employees’</w:t>
      </w:r>
      <w:r>
        <w:rPr>
          <w:color w:val="000000"/>
        </w:rPr>
        <w:t xml:space="preserve"> output and overall performance. By showing recognition in this form, it can lead to enhanced confidence and have a desired positive effect by conveying informal recognition by way of a simple thank you from your line manager. </w:t>
      </w:r>
    </w:p>
    <w:p w14:paraId="5DACA4C4" w14:textId="5A898083" w:rsidR="008A3B50" w:rsidRDefault="008A3B50" w:rsidP="00F811E9">
      <w:pPr>
        <w:pStyle w:val="Nornal"/>
        <w:spacing w:after="0" w:line="240" w:lineRule="auto"/>
        <w:rPr>
          <w:color w:val="000000"/>
        </w:rPr>
      </w:pPr>
      <w:r>
        <w:rPr>
          <w:color w:val="000000"/>
        </w:rPr>
        <w:t xml:space="preserve">Recognition practices should resemble the organisation and linked to the overarching values and/or objectives to supplement the culture (Altrum, 2024). </w:t>
      </w:r>
      <w:r w:rsidR="008845A2">
        <w:rPr>
          <w:color w:val="000000"/>
        </w:rPr>
        <w:t xml:space="preserve">Formal recognition practices can </w:t>
      </w:r>
      <w:r w:rsidR="008845A2">
        <w:rPr>
          <w:color w:val="000000"/>
        </w:rPr>
        <w:t>provide clarity and appear transparent, portraying the organisation to value its values when they are displayed.</w:t>
      </w:r>
      <w:r w:rsidR="00E00181">
        <w:rPr>
          <w:color w:val="000000"/>
        </w:rPr>
        <w:t xml:space="preserve"> A</w:t>
      </w:r>
      <w:r w:rsidR="008845A2">
        <w:rPr>
          <w:color w:val="000000"/>
        </w:rPr>
        <w:t xml:space="preserve">lternatively, informal recognition </w:t>
      </w:r>
      <w:r w:rsidR="00E00181">
        <w:rPr>
          <w:color w:val="000000"/>
        </w:rPr>
        <w:t xml:space="preserve">can allow for more autonomy in how the employee achieves their goals, showing that when appreciated the senior leader showing the recognition values the minor detail and can appear to be personal. </w:t>
      </w:r>
    </w:p>
    <w:p w14:paraId="2905BE02" w14:textId="45302CE6" w:rsidR="00A25DD5" w:rsidRPr="00D21E9B" w:rsidRDefault="00D27A06" w:rsidP="00A25DD5">
      <w:pPr>
        <w:pStyle w:val="Nornal"/>
        <w:spacing w:after="0" w:line="240" w:lineRule="auto"/>
        <w:rPr>
          <w:color w:val="000000"/>
        </w:rPr>
      </w:pPr>
      <w:r>
        <w:rPr>
          <w:color w:val="000000"/>
        </w:rPr>
        <w:t xml:space="preserve">Either approach can have a significant impact on </w:t>
      </w:r>
      <w:r>
        <w:rPr>
          <w:color w:val="000000"/>
        </w:rPr>
        <w:t xml:space="preserve">general happiness </w:t>
      </w:r>
      <w:r>
        <w:rPr>
          <w:color w:val="000000"/>
        </w:rPr>
        <w:t>and even</w:t>
      </w:r>
      <w:r>
        <w:rPr>
          <w:color w:val="000000"/>
        </w:rPr>
        <w:t xml:space="preserve"> </w:t>
      </w:r>
      <w:r>
        <w:rPr>
          <w:color w:val="000000"/>
        </w:rPr>
        <w:t xml:space="preserve">retention rates as happy workforce is less likely to move </w:t>
      </w:r>
      <w:r w:rsidR="00577DBE">
        <w:rPr>
          <w:color w:val="000000"/>
        </w:rPr>
        <w:t>on and</w:t>
      </w:r>
      <w:r w:rsidR="00A21D7D">
        <w:rPr>
          <w:color w:val="000000"/>
        </w:rPr>
        <w:t xml:space="preserve"> is therefore greatly beneficial to </w:t>
      </w:r>
      <w:r w:rsidR="00577DBE">
        <w:rPr>
          <w:color w:val="000000"/>
        </w:rPr>
        <w:t>Eco-Insulate to implement as there is currently no recognition programme in place and the culture is negative. However,</w:t>
      </w:r>
      <w:r w:rsidR="00A21D7D">
        <w:rPr>
          <w:color w:val="000000"/>
        </w:rPr>
        <w:t xml:space="preserve"> it must be said that not all personalities would be suited to either approach </w:t>
      </w:r>
      <w:r w:rsidR="00D57231">
        <w:rPr>
          <w:color w:val="000000"/>
        </w:rPr>
        <w:t>or</w:t>
      </w:r>
      <w:r w:rsidR="00A21D7D">
        <w:rPr>
          <w:color w:val="000000"/>
        </w:rPr>
        <w:t xml:space="preserve"> it must be managed delicately. As some won’t like being highlighted, other</w:t>
      </w:r>
      <w:r w:rsidR="00577DBE">
        <w:rPr>
          <w:color w:val="000000"/>
        </w:rPr>
        <w:t>s</w:t>
      </w:r>
      <w:r w:rsidR="00A21D7D">
        <w:rPr>
          <w:color w:val="000000"/>
        </w:rPr>
        <w:t xml:space="preserve"> may thrive if they are more extroverted. </w:t>
      </w:r>
      <w:r w:rsidR="00556CD1">
        <w:rPr>
          <w:color w:val="000000"/>
        </w:rPr>
        <w:t xml:space="preserve">It is prudent of the people professional that the recognition schemes are equitable, but also fair, as the </w:t>
      </w:r>
      <w:r w:rsidR="002D5374">
        <w:rPr>
          <w:color w:val="000000"/>
        </w:rPr>
        <w:t>non-formal</w:t>
      </w:r>
      <w:r w:rsidR="00556CD1">
        <w:rPr>
          <w:color w:val="000000"/>
        </w:rPr>
        <w:t xml:space="preserve"> recognition can sometimes be difficult to measure (CIPD, 2022).</w:t>
      </w:r>
    </w:p>
    <w:p w14:paraId="118E5DE8" w14:textId="77777777" w:rsidR="004A79F5" w:rsidRPr="00871718" w:rsidRDefault="004A79F5" w:rsidP="004A79F5">
      <w:pPr>
        <w:rPr>
          <w:rFonts w:cs="Arial"/>
          <w:b/>
          <w:bCs/>
          <w:color w:val="000000"/>
        </w:rPr>
      </w:pPr>
    </w:p>
    <w:p w14:paraId="1DB540D6" w14:textId="5D1E04AA" w:rsidR="004A79F5" w:rsidRDefault="004A79F5" w:rsidP="004A79F5">
      <w:pPr>
        <w:pStyle w:val="Nornal"/>
        <w:numPr>
          <w:ilvl w:val="0"/>
          <w:numId w:val="5"/>
        </w:numPr>
        <w:spacing w:after="0" w:line="240" w:lineRule="auto"/>
        <w:rPr>
          <w:b/>
          <w:bCs/>
          <w:color w:val="000000" w:themeColor="text1"/>
        </w:rPr>
      </w:pPr>
      <w:r w:rsidRPr="00871718">
        <w:rPr>
          <w:b/>
          <w:bCs/>
          <w:color w:val="000000" w:themeColor="text1"/>
        </w:rPr>
        <w:t>Assess the business context of the reward environment. (</w:t>
      </w:r>
      <w:r w:rsidR="00DC2FDA" w:rsidRPr="00871718">
        <w:rPr>
          <w:b/>
          <w:bCs/>
          <w:color w:val="000000" w:themeColor="text1"/>
        </w:rPr>
        <w:t xml:space="preserve">AC </w:t>
      </w:r>
      <w:r w:rsidRPr="00871718">
        <w:rPr>
          <w:b/>
          <w:bCs/>
          <w:color w:val="000000" w:themeColor="text1"/>
        </w:rPr>
        <w:t>3.1)</w:t>
      </w:r>
    </w:p>
    <w:p w14:paraId="594583D6" w14:textId="77777777" w:rsidR="0047138B" w:rsidRDefault="0047138B" w:rsidP="0047138B">
      <w:pPr>
        <w:pStyle w:val="Nornal"/>
        <w:spacing w:after="0" w:line="240" w:lineRule="auto"/>
        <w:rPr>
          <w:b/>
          <w:bCs/>
          <w:color w:val="000000" w:themeColor="text1"/>
        </w:rPr>
      </w:pPr>
    </w:p>
    <w:p w14:paraId="3C6CD30B" w14:textId="1351FBA7" w:rsidR="00D21E9B" w:rsidRDefault="00CF39E3" w:rsidP="0047138B">
      <w:pPr>
        <w:pStyle w:val="Nornal"/>
        <w:spacing w:after="0" w:line="240" w:lineRule="auto"/>
        <w:rPr>
          <w:color w:val="000000" w:themeColor="text1"/>
        </w:rPr>
      </w:pPr>
      <w:r w:rsidRPr="00CF39E3">
        <w:rPr>
          <w:color w:val="000000" w:themeColor="text1"/>
        </w:rPr>
        <w:t>The reward environment of a business is dictated by internal and external factors</w:t>
      </w:r>
      <w:r>
        <w:rPr>
          <w:color w:val="000000" w:themeColor="text1"/>
        </w:rPr>
        <w:t>, which influence the reward that is attached to an organisation</w:t>
      </w:r>
      <w:r w:rsidRPr="00CF39E3">
        <w:rPr>
          <w:color w:val="000000" w:themeColor="text1"/>
        </w:rPr>
        <w:t xml:space="preserve">. </w:t>
      </w:r>
      <w:r w:rsidR="00C26771">
        <w:rPr>
          <w:color w:val="000000" w:themeColor="text1"/>
        </w:rPr>
        <w:t>Put simply, i</w:t>
      </w:r>
      <w:r>
        <w:rPr>
          <w:color w:val="000000" w:themeColor="text1"/>
        </w:rPr>
        <w:t xml:space="preserve">nternal factors such </w:t>
      </w:r>
      <w:r w:rsidR="00F43E3E">
        <w:rPr>
          <w:color w:val="000000" w:themeColor="text1"/>
        </w:rPr>
        <w:t>as collective bargaining can be highly impactful on</w:t>
      </w:r>
      <w:r w:rsidR="00F43E3E" w:rsidRPr="00F43E3E">
        <w:rPr>
          <w:color w:val="000000" w:themeColor="text1"/>
        </w:rPr>
        <w:t xml:space="preserve"> </w:t>
      </w:r>
      <w:r w:rsidR="00F43E3E">
        <w:rPr>
          <w:color w:val="000000" w:themeColor="text1"/>
        </w:rPr>
        <w:t xml:space="preserve">the reward </w:t>
      </w:r>
      <w:r w:rsidR="00F43E3E">
        <w:rPr>
          <w:color w:val="000000" w:themeColor="text1"/>
        </w:rPr>
        <w:t>environment and occurs when workers are able to successfully negotiate better terms and conditions</w:t>
      </w:r>
      <w:r w:rsidR="003B60DF">
        <w:rPr>
          <w:color w:val="000000" w:themeColor="text1"/>
        </w:rPr>
        <w:t xml:space="preserve"> (CIPD, 2023)</w:t>
      </w:r>
      <w:r w:rsidR="00F43E3E">
        <w:rPr>
          <w:color w:val="000000" w:themeColor="text1"/>
        </w:rPr>
        <w:t xml:space="preserve">. It can stretch wider and can influence competitors to improve their reward offerings beyond the one organisation and become an industry standard requirement.  </w:t>
      </w:r>
    </w:p>
    <w:p w14:paraId="1AEFF98D" w14:textId="7F281E60" w:rsidR="00C26771" w:rsidRDefault="00C26771" w:rsidP="0047138B">
      <w:pPr>
        <w:pStyle w:val="Nornal"/>
        <w:spacing w:after="0" w:line="240" w:lineRule="auto"/>
        <w:rPr>
          <w:color w:val="000000" w:themeColor="text1"/>
        </w:rPr>
      </w:pPr>
      <w:r>
        <w:rPr>
          <w:color w:val="000000" w:themeColor="text1"/>
        </w:rPr>
        <w:t xml:space="preserve">However, there is a belief that there are a variety of factors that shapes </w:t>
      </w:r>
      <w:r w:rsidR="003B60DF">
        <w:rPr>
          <w:color w:val="000000" w:themeColor="text1"/>
        </w:rPr>
        <w:t>employees’</w:t>
      </w:r>
      <w:r>
        <w:rPr>
          <w:color w:val="000000" w:themeColor="text1"/>
        </w:rPr>
        <w:t xml:space="preserve"> sense of being valued</w:t>
      </w:r>
      <w:r w:rsidR="003B60DF">
        <w:rPr>
          <w:color w:val="000000" w:themeColor="text1"/>
        </w:rPr>
        <w:t xml:space="preserve">, </w:t>
      </w:r>
      <w:r>
        <w:rPr>
          <w:color w:val="000000" w:themeColor="text1"/>
        </w:rPr>
        <w:t xml:space="preserve">not only what they receive in a pay </w:t>
      </w:r>
      <w:r w:rsidR="003B60DF">
        <w:rPr>
          <w:color w:val="000000" w:themeColor="text1"/>
        </w:rPr>
        <w:t>cheque but</w:t>
      </w:r>
      <w:r>
        <w:rPr>
          <w:color w:val="000000" w:themeColor="text1"/>
        </w:rPr>
        <w:t xml:space="preserve"> done on a softer scale building upon a </w:t>
      </w:r>
      <w:r w:rsidR="003B60DF">
        <w:rPr>
          <w:color w:val="000000" w:themeColor="text1"/>
        </w:rPr>
        <w:t xml:space="preserve">deeper-rooted </w:t>
      </w:r>
      <w:r>
        <w:rPr>
          <w:color w:val="000000" w:themeColor="text1"/>
        </w:rPr>
        <w:t xml:space="preserve">psychological contract </w:t>
      </w:r>
      <w:r w:rsidR="003B60DF">
        <w:rPr>
          <w:color w:val="000000" w:themeColor="text1"/>
        </w:rPr>
        <w:t>(CIPD, 2024). If done successfully, by recognising ones’ contributions, can lead to an enhanced feeling of appreciation, with a perceived fairness</w:t>
      </w:r>
      <w:r w:rsidR="00377440">
        <w:rPr>
          <w:color w:val="000000" w:themeColor="text1"/>
        </w:rPr>
        <w:t xml:space="preserve"> (Adams, 1963)</w:t>
      </w:r>
      <w:r w:rsidR="003B60DF">
        <w:rPr>
          <w:color w:val="000000" w:themeColor="text1"/>
        </w:rPr>
        <w:t xml:space="preserve"> at the forefront of the mind, this can have a significant</w:t>
      </w:r>
      <w:r w:rsidR="00377440">
        <w:rPr>
          <w:color w:val="000000" w:themeColor="text1"/>
        </w:rPr>
        <w:t>ly strong bond attached between employee and employer, that may overlook improved reward benefits elsewhere.</w:t>
      </w:r>
    </w:p>
    <w:p w14:paraId="4D57FBCA" w14:textId="77777777" w:rsidR="00B275D2" w:rsidRDefault="00B275D2" w:rsidP="0047138B">
      <w:pPr>
        <w:pStyle w:val="Nornal"/>
        <w:spacing w:after="0" w:line="240" w:lineRule="auto"/>
        <w:rPr>
          <w:color w:val="000000" w:themeColor="text1"/>
        </w:rPr>
      </w:pPr>
    </w:p>
    <w:p w14:paraId="6730B359" w14:textId="55BF2241" w:rsidR="00764B6D" w:rsidRDefault="00764B6D" w:rsidP="0047138B">
      <w:pPr>
        <w:pStyle w:val="Nornal"/>
        <w:spacing w:after="0" w:line="240" w:lineRule="auto"/>
        <w:rPr>
          <w:color w:val="000000" w:themeColor="text1"/>
        </w:rPr>
      </w:pPr>
      <w:r>
        <w:rPr>
          <w:color w:val="000000" w:themeColor="text1"/>
        </w:rPr>
        <w:t xml:space="preserve">Externally, the influences </w:t>
      </w:r>
      <w:r w:rsidR="00B275D2">
        <w:rPr>
          <w:color w:val="000000" w:themeColor="text1"/>
        </w:rPr>
        <w:t>on</w:t>
      </w:r>
      <w:r>
        <w:rPr>
          <w:color w:val="000000" w:themeColor="text1"/>
        </w:rPr>
        <w:t xml:space="preserve"> one organisation’s reward structure are vast; the</w:t>
      </w:r>
      <w:r w:rsidR="00B275D2">
        <w:rPr>
          <w:color w:val="000000" w:themeColor="text1"/>
        </w:rPr>
        <w:t>y can be driven by competition or market forces,</w:t>
      </w:r>
      <w:r w:rsidR="003B60DF">
        <w:rPr>
          <w:color w:val="000000" w:themeColor="text1"/>
        </w:rPr>
        <w:t xml:space="preserve"> </w:t>
      </w:r>
      <w:r w:rsidR="00377440">
        <w:rPr>
          <w:color w:val="000000" w:themeColor="text1"/>
        </w:rPr>
        <w:t xml:space="preserve">regulatory </w:t>
      </w:r>
      <w:r w:rsidR="003B60DF">
        <w:rPr>
          <w:color w:val="000000" w:themeColor="text1"/>
        </w:rPr>
        <w:t>legislative changes that are mandatory to follow, raising a minimum standard required of an employer to provide its employees.</w:t>
      </w:r>
      <w:r w:rsidR="00B275D2">
        <w:rPr>
          <w:color w:val="000000" w:themeColor="text1"/>
        </w:rPr>
        <w:t xml:space="preserve"> </w:t>
      </w:r>
      <w:r w:rsidR="00377440">
        <w:rPr>
          <w:color w:val="000000" w:themeColor="text1"/>
        </w:rPr>
        <w:t>T</w:t>
      </w:r>
      <w:r w:rsidR="00B275D2">
        <w:rPr>
          <w:color w:val="000000" w:themeColor="text1"/>
        </w:rPr>
        <w:t xml:space="preserve">hese drivers for change </w:t>
      </w:r>
      <w:r w:rsidR="00377440">
        <w:rPr>
          <w:color w:val="000000" w:themeColor="text1"/>
        </w:rPr>
        <w:t xml:space="preserve">can shape the reward environment of an organisation and it must be cautious in how it applies these </w:t>
      </w:r>
      <w:r w:rsidR="00377440">
        <w:rPr>
          <w:color w:val="000000" w:themeColor="text1"/>
        </w:rPr>
        <w:lastRenderedPageBreak/>
        <w:t xml:space="preserve">changes. </w:t>
      </w:r>
      <w:r w:rsidR="00ED3D89">
        <w:rPr>
          <w:color w:val="000000" w:themeColor="text1"/>
        </w:rPr>
        <w:t xml:space="preserve">As there has been significant movement in the skilled labour market since COVID-19, leading </w:t>
      </w:r>
      <w:proofErr w:type="gramStart"/>
      <w:r w:rsidR="00ED3D89">
        <w:rPr>
          <w:color w:val="000000" w:themeColor="text1"/>
        </w:rPr>
        <w:t>to</w:t>
      </w:r>
      <w:proofErr w:type="gramEnd"/>
      <w:r w:rsidR="00ED3D89">
        <w:rPr>
          <w:color w:val="000000" w:themeColor="text1"/>
        </w:rPr>
        <w:t xml:space="preserve"> many to move on driving up salaries </w:t>
      </w:r>
      <w:r w:rsidR="00C0550C">
        <w:rPr>
          <w:color w:val="000000" w:themeColor="text1"/>
        </w:rPr>
        <w:t xml:space="preserve">as employer struggle to compete and attract talent (CIPD, 2022). </w:t>
      </w:r>
    </w:p>
    <w:p w14:paraId="43A792BD" w14:textId="77777777" w:rsidR="00B275D2" w:rsidRDefault="00B275D2" w:rsidP="0047138B">
      <w:pPr>
        <w:pStyle w:val="Nornal"/>
        <w:spacing w:after="0" w:line="240" w:lineRule="auto"/>
        <w:rPr>
          <w:color w:val="000000" w:themeColor="text1"/>
        </w:rPr>
      </w:pPr>
    </w:p>
    <w:p w14:paraId="4A98EBB3" w14:textId="2DFBCA5C" w:rsidR="0047138B" w:rsidRPr="009760C3" w:rsidRDefault="00B275D2" w:rsidP="0047138B">
      <w:pPr>
        <w:pStyle w:val="Nornal"/>
        <w:spacing w:after="0" w:line="240" w:lineRule="auto"/>
        <w:rPr>
          <w:color w:val="000000" w:themeColor="text1"/>
          <w:highlight w:val="yellow"/>
        </w:rPr>
      </w:pPr>
      <w:r>
        <w:rPr>
          <w:color w:val="000000" w:themeColor="text1"/>
        </w:rPr>
        <w:t xml:space="preserve">Ultimately, the business must </w:t>
      </w:r>
      <w:r w:rsidR="00ED3D89">
        <w:rPr>
          <w:color w:val="000000" w:themeColor="text1"/>
        </w:rPr>
        <w:t xml:space="preserve">accept and </w:t>
      </w:r>
      <w:r>
        <w:rPr>
          <w:color w:val="000000" w:themeColor="text1"/>
        </w:rPr>
        <w:t>adapt to</w:t>
      </w:r>
      <w:r w:rsidR="00ED3D89">
        <w:rPr>
          <w:color w:val="000000" w:themeColor="text1"/>
        </w:rPr>
        <w:t xml:space="preserve"> </w:t>
      </w:r>
      <w:r>
        <w:rPr>
          <w:color w:val="000000" w:themeColor="text1"/>
        </w:rPr>
        <w:t xml:space="preserve">change </w:t>
      </w:r>
      <w:r w:rsidR="00C0550C">
        <w:rPr>
          <w:color w:val="000000" w:themeColor="text1"/>
        </w:rPr>
        <w:t>to</w:t>
      </w:r>
      <w:r>
        <w:rPr>
          <w:color w:val="000000" w:themeColor="text1"/>
        </w:rPr>
        <w:t xml:space="preserve"> survive, whereas it does retain an element of control over its people within, if retention trends to not improve there will be no one to carry out the core functions of the organisation, as “People are what matter most in business</w:t>
      </w:r>
      <w:r w:rsidR="001F08AB">
        <w:rPr>
          <w:color w:val="000000" w:themeColor="text1"/>
        </w:rPr>
        <w:t>”</w:t>
      </w:r>
      <w:r>
        <w:rPr>
          <w:color w:val="000000" w:themeColor="text1"/>
        </w:rPr>
        <w:t xml:space="preserve"> (Kasanoff, 2014).</w:t>
      </w:r>
    </w:p>
    <w:p w14:paraId="4D850405" w14:textId="77777777" w:rsidR="004A79F5" w:rsidRPr="00871718" w:rsidRDefault="004A79F5" w:rsidP="004A79F5">
      <w:pPr>
        <w:pStyle w:val="Nornal"/>
        <w:spacing w:after="0" w:line="240" w:lineRule="auto"/>
        <w:ind w:left="720"/>
        <w:rPr>
          <w:b/>
          <w:bCs/>
          <w:color w:val="000000" w:themeColor="text1"/>
        </w:rPr>
      </w:pPr>
    </w:p>
    <w:p w14:paraId="02F80917" w14:textId="77777777" w:rsidR="004A79F5" w:rsidRDefault="004A79F5" w:rsidP="004A79F5">
      <w:pPr>
        <w:pStyle w:val="Nornal"/>
        <w:numPr>
          <w:ilvl w:val="0"/>
          <w:numId w:val="5"/>
        </w:numPr>
        <w:spacing w:after="0" w:line="240" w:lineRule="auto"/>
        <w:rPr>
          <w:b/>
          <w:bCs/>
          <w:color w:val="000000" w:themeColor="text1"/>
        </w:rPr>
      </w:pPr>
      <w:r w:rsidRPr="00871718">
        <w:rPr>
          <w:b/>
          <w:bCs/>
          <w:color w:val="000000" w:themeColor="text1"/>
        </w:rPr>
        <w:t>Evaluate the most appropriate ways in which benchmarking data can be gathered and   measured to develop insight. (AC 3.2)</w:t>
      </w:r>
    </w:p>
    <w:p w14:paraId="092696EF" w14:textId="77777777" w:rsidR="00F43E3E" w:rsidRDefault="00F43E3E" w:rsidP="00F43E3E">
      <w:pPr>
        <w:pStyle w:val="Nornal"/>
        <w:spacing w:after="0" w:line="240" w:lineRule="auto"/>
        <w:rPr>
          <w:b/>
          <w:bCs/>
          <w:color w:val="000000" w:themeColor="text1"/>
        </w:rPr>
      </w:pPr>
    </w:p>
    <w:p w14:paraId="115C2255" w14:textId="2496AF04" w:rsidR="00F43E3E" w:rsidRDefault="00F43E3E" w:rsidP="00F43E3E">
      <w:pPr>
        <w:pStyle w:val="Nornal"/>
        <w:spacing w:after="0" w:line="240" w:lineRule="auto"/>
        <w:rPr>
          <w:color w:val="000000" w:themeColor="text1"/>
        </w:rPr>
      </w:pPr>
      <w:r w:rsidRPr="00764B6D">
        <w:rPr>
          <w:color w:val="000000" w:themeColor="text1"/>
        </w:rPr>
        <w:t xml:space="preserve">Benchmarking data is gathered in the process of reviewing </w:t>
      </w:r>
      <w:r w:rsidR="00764B6D">
        <w:rPr>
          <w:color w:val="000000" w:themeColor="text1"/>
        </w:rPr>
        <w:t xml:space="preserve">a specific element of the organisation and how it compares to another. </w:t>
      </w:r>
      <w:r w:rsidR="002464EE">
        <w:rPr>
          <w:color w:val="000000" w:themeColor="text1"/>
        </w:rPr>
        <w:t>It may be how much a sector equivalent value</w:t>
      </w:r>
      <w:r w:rsidR="00737E22">
        <w:rPr>
          <w:color w:val="000000" w:themeColor="text1"/>
        </w:rPr>
        <w:t>s</w:t>
      </w:r>
      <w:r w:rsidR="002464EE">
        <w:rPr>
          <w:color w:val="000000" w:themeColor="text1"/>
        </w:rPr>
        <w:t xml:space="preserve"> salary, or performance, to do this effectively, the data </w:t>
      </w:r>
      <w:r w:rsidR="00F2250D">
        <w:rPr>
          <w:color w:val="000000" w:themeColor="text1"/>
        </w:rPr>
        <w:t>must</w:t>
      </w:r>
      <w:r w:rsidR="002464EE">
        <w:rPr>
          <w:color w:val="000000" w:themeColor="text1"/>
        </w:rPr>
        <w:t xml:space="preserve"> be </w:t>
      </w:r>
      <w:r w:rsidR="00737E22">
        <w:rPr>
          <w:color w:val="000000" w:themeColor="text1"/>
        </w:rPr>
        <w:t>accurate,</w:t>
      </w:r>
      <w:r w:rsidR="002464EE">
        <w:rPr>
          <w:color w:val="000000" w:themeColor="text1"/>
        </w:rPr>
        <w:t xml:space="preserve"> and organisations must be prepared </w:t>
      </w:r>
    </w:p>
    <w:p w14:paraId="61F4F924" w14:textId="009163CC" w:rsidR="00B275D2" w:rsidRDefault="002464EE" w:rsidP="00F43E3E">
      <w:pPr>
        <w:pStyle w:val="Nornal"/>
        <w:spacing w:after="0" w:line="240" w:lineRule="auto"/>
        <w:rPr>
          <w:color w:val="000000" w:themeColor="text1"/>
        </w:rPr>
      </w:pPr>
      <w:r>
        <w:rPr>
          <w:color w:val="000000" w:themeColor="text1"/>
        </w:rPr>
        <w:t>to follow through with improvement</w:t>
      </w:r>
      <w:r w:rsidR="00F54837">
        <w:rPr>
          <w:color w:val="000000" w:themeColor="text1"/>
        </w:rPr>
        <w:t>s</w:t>
      </w:r>
      <w:r>
        <w:rPr>
          <w:color w:val="000000" w:themeColor="text1"/>
        </w:rPr>
        <w:t xml:space="preserve"> based on their findings to successfully undertake benchmarking analysis. </w:t>
      </w:r>
      <w:r w:rsidR="00A73941">
        <w:rPr>
          <w:color w:val="000000" w:themeColor="text1"/>
        </w:rPr>
        <w:t xml:space="preserve">Benchmarking salaries can be greatly beneficial as it provides insight into how other operating within the market are rewarding people in similar job roles (Farrand, 2023). </w:t>
      </w:r>
    </w:p>
    <w:p w14:paraId="5EF0CDCA" w14:textId="382F745D" w:rsidR="00F54837" w:rsidRDefault="00F54837" w:rsidP="00F43E3E">
      <w:pPr>
        <w:pStyle w:val="Nornal"/>
        <w:spacing w:after="0" w:line="240" w:lineRule="auto"/>
        <w:rPr>
          <w:color w:val="000000" w:themeColor="text1"/>
        </w:rPr>
      </w:pPr>
      <w:r>
        <w:rPr>
          <w:color w:val="000000" w:themeColor="text1"/>
        </w:rPr>
        <w:t xml:space="preserve">The method to follow consists of evidence-based management, which is a theme of people professionals’ activities. </w:t>
      </w:r>
      <w:r w:rsidR="00B3357A">
        <w:rPr>
          <w:color w:val="000000" w:themeColor="text1"/>
        </w:rPr>
        <w:t>First, the subject of comparison must be identified, then a target in which to benchmark against must be listed. Then, the</w:t>
      </w:r>
      <w:r>
        <w:rPr>
          <w:color w:val="000000" w:themeColor="text1"/>
        </w:rPr>
        <w:t xml:space="preserve"> data </w:t>
      </w:r>
      <w:r w:rsidR="00B3357A">
        <w:rPr>
          <w:color w:val="000000" w:themeColor="text1"/>
        </w:rPr>
        <w:t xml:space="preserve">is to be gathered and </w:t>
      </w:r>
      <w:r>
        <w:rPr>
          <w:color w:val="000000" w:themeColor="text1"/>
        </w:rPr>
        <w:t>used as source</w:t>
      </w:r>
      <w:r w:rsidR="00B3357A">
        <w:rPr>
          <w:color w:val="000000" w:themeColor="text1"/>
        </w:rPr>
        <w:t>. T</w:t>
      </w:r>
      <w:r>
        <w:rPr>
          <w:color w:val="000000" w:themeColor="text1"/>
        </w:rPr>
        <w:t xml:space="preserve">he evidence must be valid, it must also be collated free from bias, remaining objective to task. </w:t>
      </w:r>
      <w:r w:rsidR="00952230">
        <w:rPr>
          <w:color w:val="000000" w:themeColor="text1"/>
        </w:rPr>
        <w:t xml:space="preserve">It can be qualitative or quantitative research, providing more room for detail where required, if the thing in which is being measured against. </w:t>
      </w:r>
      <w:r>
        <w:rPr>
          <w:color w:val="000000" w:themeColor="text1"/>
        </w:rPr>
        <w:t xml:space="preserve">The </w:t>
      </w:r>
      <w:r w:rsidR="00952230">
        <w:rPr>
          <w:color w:val="000000" w:themeColor="text1"/>
        </w:rPr>
        <w:t xml:space="preserve">comparisons drawn and compared the original subject must be similar or as close to like for like as possible. </w:t>
      </w:r>
    </w:p>
    <w:p w14:paraId="64DB01A5" w14:textId="2D25E078" w:rsidR="00A73941" w:rsidRDefault="00952230" w:rsidP="00F43E3E">
      <w:pPr>
        <w:pStyle w:val="Nornal"/>
        <w:spacing w:after="0" w:line="240" w:lineRule="auto"/>
        <w:rPr>
          <w:color w:val="000000" w:themeColor="text1"/>
        </w:rPr>
      </w:pPr>
      <w:r>
        <w:rPr>
          <w:color w:val="000000" w:themeColor="text1"/>
        </w:rPr>
        <w:t>Then</w:t>
      </w:r>
      <w:r w:rsidR="00B3357A">
        <w:rPr>
          <w:color w:val="000000" w:themeColor="text1"/>
        </w:rPr>
        <w:t xml:space="preserve"> comes the analytical approach, scrutinising the findings and how they stack up. If comparative, the findings could be implemented with an evaluation on the effectiveness of any changes brought from the benchmarking process.  </w:t>
      </w:r>
    </w:p>
    <w:p w14:paraId="7061D051" w14:textId="6FBA276A" w:rsidR="00952230" w:rsidRPr="00764B6D" w:rsidRDefault="00952230" w:rsidP="00F43E3E">
      <w:pPr>
        <w:pStyle w:val="Nornal"/>
        <w:spacing w:after="0" w:line="240" w:lineRule="auto"/>
        <w:rPr>
          <w:color w:val="000000" w:themeColor="text1"/>
        </w:rPr>
      </w:pPr>
      <w:r>
        <w:rPr>
          <w:color w:val="000000" w:themeColor="text1"/>
        </w:rPr>
        <w:t xml:space="preserve">In relation the scenario above, benchmarking could naturally follow a job evaluation process to have a greater overview of others’ structure and how they compare to the roles within Eco-Insulate. Or it could be used to purely measure the turnover and retention rate of the organisation versus another competitor </w:t>
      </w:r>
      <w:r w:rsidR="00B3357A">
        <w:rPr>
          <w:color w:val="000000" w:themeColor="text1"/>
        </w:rPr>
        <w:t xml:space="preserve">within </w:t>
      </w:r>
      <w:r>
        <w:rPr>
          <w:color w:val="000000" w:themeColor="text1"/>
        </w:rPr>
        <w:t xml:space="preserve">the </w:t>
      </w:r>
      <w:r w:rsidR="00B3357A">
        <w:rPr>
          <w:color w:val="000000" w:themeColor="text1"/>
        </w:rPr>
        <w:t>industry</w:t>
      </w:r>
      <w:r>
        <w:rPr>
          <w:color w:val="000000" w:themeColor="text1"/>
        </w:rPr>
        <w:t xml:space="preserve"> (CIPD, 2024).</w:t>
      </w:r>
    </w:p>
    <w:p w14:paraId="3CF8E749" w14:textId="77777777" w:rsidR="00F43E3E" w:rsidRPr="00871718" w:rsidRDefault="00F43E3E" w:rsidP="00F43E3E">
      <w:pPr>
        <w:pStyle w:val="Nornal"/>
        <w:spacing w:after="0" w:line="240" w:lineRule="auto"/>
        <w:rPr>
          <w:b/>
          <w:bCs/>
          <w:color w:val="000000" w:themeColor="text1"/>
        </w:rPr>
      </w:pPr>
    </w:p>
    <w:p w14:paraId="00815F99" w14:textId="77777777" w:rsidR="004A79F5" w:rsidRPr="00871718" w:rsidRDefault="004A79F5" w:rsidP="004A79F5">
      <w:pPr>
        <w:pStyle w:val="Nornal"/>
        <w:spacing w:after="0" w:line="240" w:lineRule="auto"/>
        <w:rPr>
          <w:b/>
          <w:bCs/>
          <w:color w:val="000000" w:themeColor="text1"/>
        </w:rPr>
      </w:pPr>
    </w:p>
    <w:p w14:paraId="7E3D1273" w14:textId="77777777" w:rsidR="004A79F5" w:rsidRPr="00CF39E3" w:rsidRDefault="004A79F5" w:rsidP="004A79F5">
      <w:pPr>
        <w:pStyle w:val="Nornal"/>
        <w:numPr>
          <w:ilvl w:val="0"/>
          <w:numId w:val="5"/>
        </w:numPr>
        <w:spacing w:after="0" w:line="240" w:lineRule="auto"/>
        <w:rPr>
          <w:b/>
          <w:bCs/>
          <w:color w:val="000000"/>
        </w:rPr>
      </w:pPr>
      <w:r w:rsidRPr="00871718">
        <w:rPr>
          <w:b/>
          <w:bCs/>
          <w:color w:val="000000" w:themeColor="text1"/>
        </w:rPr>
        <w:t>Explain approaches to job evaluation. (AC 3.3)</w:t>
      </w:r>
    </w:p>
    <w:p w14:paraId="7FCA359A" w14:textId="77777777" w:rsidR="00CF39E3" w:rsidRDefault="00CF39E3" w:rsidP="00CF39E3">
      <w:pPr>
        <w:pStyle w:val="ListParagraph"/>
        <w:rPr>
          <w:b/>
          <w:bCs/>
          <w:color w:val="000000"/>
        </w:rPr>
      </w:pPr>
    </w:p>
    <w:p w14:paraId="0273188D" w14:textId="5E852900" w:rsidR="00DC1AE9" w:rsidRDefault="00CF39E3" w:rsidP="00CF39E3">
      <w:pPr>
        <w:pStyle w:val="Nornal"/>
        <w:spacing w:after="0" w:line="240" w:lineRule="auto"/>
        <w:rPr>
          <w:color w:val="000000"/>
        </w:rPr>
      </w:pPr>
      <w:r w:rsidRPr="00CF39E3">
        <w:rPr>
          <w:color w:val="000000"/>
        </w:rPr>
        <w:t xml:space="preserve">Job evaluation is </w:t>
      </w:r>
      <w:r w:rsidR="00DC1AE9" w:rsidRPr="00CF39E3">
        <w:rPr>
          <w:color w:val="000000"/>
        </w:rPr>
        <w:t>an</w:t>
      </w:r>
      <w:r w:rsidRPr="00CF39E3">
        <w:rPr>
          <w:color w:val="000000"/>
        </w:rPr>
        <w:t xml:space="preserve"> important </w:t>
      </w:r>
      <w:r w:rsidR="00DC1AE9">
        <w:rPr>
          <w:color w:val="000000"/>
        </w:rPr>
        <w:t>process undertaken</w:t>
      </w:r>
      <w:r w:rsidRPr="00CF39E3">
        <w:rPr>
          <w:color w:val="000000"/>
        </w:rPr>
        <w:t xml:space="preserve"> when determining a role within an organisation </w:t>
      </w:r>
      <w:r>
        <w:rPr>
          <w:color w:val="000000"/>
        </w:rPr>
        <w:t xml:space="preserve">and ranking it as part of </w:t>
      </w:r>
      <w:r w:rsidR="00DC1AE9">
        <w:rPr>
          <w:color w:val="000000"/>
        </w:rPr>
        <w:t>structure</w:t>
      </w:r>
      <w:r>
        <w:rPr>
          <w:color w:val="000000"/>
        </w:rPr>
        <w:t xml:space="preserve">. </w:t>
      </w:r>
      <w:r w:rsidR="00DC1AE9">
        <w:rPr>
          <w:color w:val="000000"/>
        </w:rPr>
        <w:t>The objective is to simplify a pay structure and truly evaluate a role’s standing within and how it compares with jobs of a similar nature in a similar industry. This in turn will allow for a more transparent structure to exist (Taylor &amp; Woodhams, 2022).</w:t>
      </w:r>
    </w:p>
    <w:p w14:paraId="0D83A0CE" w14:textId="64B54967" w:rsidR="00C54167" w:rsidRDefault="00DC1AE9" w:rsidP="00CF39E3">
      <w:pPr>
        <w:pStyle w:val="Nornal"/>
        <w:spacing w:after="0" w:line="240" w:lineRule="auto"/>
        <w:rPr>
          <w:color w:val="000000"/>
        </w:rPr>
      </w:pPr>
      <w:r>
        <w:rPr>
          <w:color w:val="000000"/>
        </w:rPr>
        <w:t xml:space="preserve">There are slightly differing approaches seeking similar outcomes, </w:t>
      </w:r>
      <w:r w:rsidR="00B52FA3">
        <w:rPr>
          <w:color w:val="000000"/>
        </w:rPr>
        <w:t xml:space="preserve">it is advised that caution must be applied, as it can be very costly to place a great deal of sensitivity when conducting this process, to avoid internal conflict (ACAS, 2014). </w:t>
      </w:r>
      <w:r w:rsidR="00DB5564">
        <w:rPr>
          <w:color w:val="000000"/>
        </w:rPr>
        <w:t>And i</w:t>
      </w:r>
      <w:r w:rsidR="0034591D">
        <w:rPr>
          <w:color w:val="000000"/>
        </w:rPr>
        <w:t>t ought to be conducted with</w:t>
      </w:r>
      <w:r w:rsidR="00B52FA3">
        <w:rPr>
          <w:color w:val="000000"/>
        </w:rPr>
        <w:t xml:space="preserve"> fairness an overarching </w:t>
      </w:r>
      <w:r w:rsidR="0034591D">
        <w:rPr>
          <w:color w:val="000000"/>
        </w:rPr>
        <w:t xml:space="preserve">focus to avoid falling foul of any inequality that could follow if perceived that for example, men were carrying out a role in a male dominated industry and they were to be rewarded far greater than a woman carrying out a role of an equivalent nature, this could lead to a breach of Equal Pay Law (Equality Act, 2010). </w:t>
      </w:r>
    </w:p>
    <w:p w14:paraId="30A33237" w14:textId="078E07E1" w:rsidR="00CF39E3" w:rsidRDefault="00C54167" w:rsidP="00CF39E3">
      <w:pPr>
        <w:pStyle w:val="Nornal"/>
        <w:spacing w:after="0" w:line="240" w:lineRule="auto"/>
        <w:rPr>
          <w:color w:val="000000"/>
        </w:rPr>
      </w:pPr>
      <w:r>
        <w:rPr>
          <w:color w:val="000000"/>
        </w:rPr>
        <w:t xml:space="preserve">This is usually carried out in analytical and non-analytical forms, with a more common approach being </w:t>
      </w:r>
      <w:r w:rsidR="00DB5564">
        <w:rPr>
          <w:color w:val="000000"/>
        </w:rPr>
        <w:t>market pricing</w:t>
      </w:r>
      <w:r w:rsidR="005557AE">
        <w:rPr>
          <w:color w:val="000000"/>
        </w:rPr>
        <w:t>, a typically analytical approach</w:t>
      </w:r>
      <w:r w:rsidR="00DB5564">
        <w:rPr>
          <w:color w:val="000000"/>
        </w:rPr>
        <w:t xml:space="preserve"> (Cotton, 2024). This is done through gathering data on current pay rates within a job locale and finding equivalent jobs and comparing their salary or pay offering with roles within the current structure. I</w:t>
      </w:r>
      <w:r>
        <w:rPr>
          <w:color w:val="000000"/>
        </w:rPr>
        <w:t xml:space="preserve">t is </w:t>
      </w:r>
      <w:r w:rsidR="00DB5564">
        <w:rPr>
          <w:color w:val="000000"/>
        </w:rPr>
        <w:t>an important starting point</w:t>
      </w:r>
      <w:r>
        <w:rPr>
          <w:color w:val="000000"/>
        </w:rPr>
        <w:t xml:space="preserve"> </w:t>
      </w:r>
      <w:r w:rsidR="00DB5564">
        <w:rPr>
          <w:color w:val="000000"/>
        </w:rPr>
        <w:t>in conducting</w:t>
      </w:r>
      <w:r>
        <w:rPr>
          <w:color w:val="000000"/>
        </w:rPr>
        <w:t xml:space="preserve"> a market pay analysis to verify what others are paying in the market</w:t>
      </w:r>
      <w:r w:rsidR="00A5175C">
        <w:rPr>
          <w:color w:val="000000"/>
        </w:rPr>
        <w:t xml:space="preserve"> using national surveying data available using </w:t>
      </w:r>
      <w:r w:rsidR="00A5175C">
        <w:rPr>
          <w:color w:val="000000"/>
        </w:rPr>
        <w:t xml:space="preserve">provider surveys </w:t>
      </w:r>
      <w:r w:rsidR="00A5175C">
        <w:rPr>
          <w:color w:val="000000"/>
        </w:rPr>
        <w:t xml:space="preserve">with data regarding </w:t>
      </w:r>
      <w:r w:rsidR="00A5175C">
        <w:rPr>
          <w:color w:val="000000"/>
        </w:rPr>
        <w:t>pay rates</w:t>
      </w:r>
      <w:r w:rsidR="00A5175C">
        <w:rPr>
          <w:color w:val="000000"/>
        </w:rPr>
        <w:t xml:space="preserve"> (UK National Statistics, 2024)</w:t>
      </w:r>
      <w:r>
        <w:rPr>
          <w:color w:val="000000"/>
        </w:rPr>
        <w:t xml:space="preserve">. </w:t>
      </w:r>
      <w:r w:rsidR="00A5175C">
        <w:rPr>
          <w:color w:val="000000"/>
        </w:rPr>
        <w:t xml:space="preserve">The roles are then compared and assessed accordingly to avoid </w:t>
      </w:r>
      <w:r>
        <w:rPr>
          <w:color w:val="000000"/>
        </w:rPr>
        <w:t>overpaying for labour and underpaying if failing to attract, as this may have a direct affect on recruitment of new talent.</w:t>
      </w:r>
      <w:r w:rsidR="005557AE">
        <w:rPr>
          <w:color w:val="000000"/>
        </w:rPr>
        <w:t xml:space="preserve"> </w:t>
      </w:r>
    </w:p>
    <w:p w14:paraId="2324BD83" w14:textId="4810301C" w:rsidR="005557AE" w:rsidRDefault="005557AE" w:rsidP="00CF39E3">
      <w:pPr>
        <w:pStyle w:val="Nornal"/>
        <w:spacing w:after="0" w:line="240" w:lineRule="auto"/>
        <w:rPr>
          <w:color w:val="000000"/>
        </w:rPr>
      </w:pPr>
      <w:r>
        <w:rPr>
          <w:color w:val="000000"/>
        </w:rPr>
        <w:lastRenderedPageBreak/>
        <w:t xml:space="preserve">Another form of job evaluation is through informal means, this can be non-analytical and done by ranking </w:t>
      </w:r>
      <w:r w:rsidR="00BE5047">
        <w:rPr>
          <w:color w:val="000000"/>
        </w:rPr>
        <w:t>based on</w:t>
      </w:r>
      <w:r w:rsidR="00A5175C">
        <w:rPr>
          <w:color w:val="000000"/>
        </w:rPr>
        <w:t xml:space="preserve"> how challenging the role is to undertake or to fill. This </w:t>
      </w:r>
      <w:r w:rsidR="00BE5047">
        <w:rPr>
          <w:color w:val="000000"/>
        </w:rPr>
        <w:t xml:space="preserve">is a simplified in ranking the roles within an organisational structure on a points-based system. </w:t>
      </w:r>
    </w:p>
    <w:p w14:paraId="623835C3" w14:textId="4D545242" w:rsidR="00BE5047" w:rsidRPr="00CF39E3" w:rsidRDefault="00BE5047" w:rsidP="00CF39E3">
      <w:pPr>
        <w:pStyle w:val="Nornal"/>
        <w:spacing w:after="0" w:line="240" w:lineRule="auto"/>
        <w:rPr>
          <w:color w:val="000000"/>
        </w:rPr>
      </w:pPr>
      <w:r>
        <w:rPr>
          <w:color w:val="000000"/>
        </w:rPr>
        <w:t xml:space="preserve">In Eco-Insulates case, being skilled/unskilled, desired roles which are difficult to fill may be a clear differentiator, but it would require thorough research into the roles and how they fare in the market to implement an effective job evaluation. </w:t>
      </w:r>
    </w:p>
    <w:p w14:paraId="07F9BA83" w14:textId="77777777" w:rsidR="004A79F5" w:rsidRPr="00871718" w:rsidRDefault="004A79F5" w:rsidP="00DC50FE">
      <w:pPr>
        <w:pStyle w:val="Nornal"/>
        <w:spacing w:after="0" w:line="240" w:lineRule="auto"/>
        <w:rPr>
          <w:b/>
          <w:bCs/>
          <w:color w:val="000000"/>
        </w:rPr>
      </w:pPr>
    </w:p>
    <w:p w14:paraId="1274FA40" w14:textId="77777777" w:rsidR="004A79F5" w:rsidRPr="00871718" w:rsidRDefault="004A79F5" w:rsidP="004A79F5">
      <w:pPr>
        <w:pStyle w:val="Nornal"/>
        <w:numPr>
          <w:ilvl w:val="0"/>
          <w:numId w:val="5"/>
        </w:numPr>
        <w:spacing w:after="0" w:line="240" w:lineRule="auto"/>
        <w:rPr>
          <w:b/>
          <w:bCs/>
          <w:color w:val="000000" w:themeColor="text1"/>
        </w:rPr>
      </w:pPr>
      <w:r w:rsidRPr="00871718">
        <w:rPr>
          <w:b/>
          <w:bC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ED4E14D" w14:textId="77777777" w:rsidR="00571336" w:rsidRDefault="00DC50FE" w:rsidP="004A79F5">
      <w:pPr>
        <w:pStyle w:val="Nornal"/>
        <w:spacing w:after="0" w:line="240" w:lineRule="auto"/>
        <w:rPr>
          <w:rFonts w:asciiTheme="majorHAnsi" w:hAnsiTheme="majorHAnsi" w:cstheme="majorHAnsi"/>
        </w:rPr>
      </w:pPr>
      <w:r w:rsidRPr="00DC50FE">
        <w:rPr>
          <w:rFonts w:asciiTheme="majorHAnsi" w:hAnsiTheme="majorHAnsi" w:cstheme="majorHAnsi"/>
        </w:rPr>
        <w:t xml:space="preserve">Reward practices are </w:t>
      </w:r>
      <w:r>
        <w:rPr>
          <w:rFonts w:asciiTheme="majorHAnsi" w:hAnsiTheme="majorHAnsi" w:cstheme="majorHAnsi"/>
        </w:rPr>
        <w:t xml:space="preserve">underpinned by legislative controls to prevent </w:t>
      </w:r>
      <w:r>
        <w:rPr>
          <w:rFonts w:asciiTheme="majorHAnsi" w:hAnsiTheme="majorHAnsi" w:cstheme="majorHAnsi"/>
        </w:rPr>
        <w:t>employers from</w:t>
      </w:r>
      <w:r>
        <w:rPr>
          <w:rFonts w:asciiTheme="majorHAnsi" w:hAnsiTheme="majorHAnsi" w:cstheme="majorHAnsi"/>
        </w:rPr>
        <w:t xml:space="preserve"> de-valuing or taking advantage of vulnerable people in the workplace. The minimum required reward for labour, usually in financial form i.e. a fixed salary payment stems from the Minimum Wage Act (1998), which has since developed to consist of the National Living Wage</w:t>
      </w:r>
      <w:r w:rsidR="00373B98">
        <w:rPr>
          <w:rFonts w:asciiTheme="majorHAnsi" w:hAnsiTheme="majorHAnsi" w:cstheme="majorHAnsi"/>
        </w:rPr>
        <w:t xml:space="preserve"> (NMW Amendment Regs, 2016)</w:t>
      </w:r>
      <w:r>
        <w:rPr>
          <w:rFonts w:asciiTheme="majorHAnsi" w:hAnsiTheme="majorHAnsi" w:cstheme="majorHAnsi"/>
        </w:rPr>
        <w:t xml:space="preserve">. This provides a statutory minimum </w:t>
      </w:r>
      <w:r w:rsidR="00373B98">
        <w:rPr>
          <w:rFonts w:asciiTheme="majorHAnsi" w:hAnsiTheme="majorHAnsi" w:cstheme="majorHAnsi"/>
        </w:rPr>
        <w:t>of which persons of working age are expected to be paid, dependent on their age.</w:t>
      </w:r>
      <w:r w:rsidR="00571336">
        <w:rPr>
          <w:rFonts w:asciiTheme="majorHAnsi" w:hAnsiTheme="majorHAnsi" w:cstheme="majorHAnsi"/>
        </w:rPr>
        <w:t xml:space="preserve"> </w:t>
      </w:r>
    </w:p>
    <w:p w14:paraId="19BD48C9" w14:textId="00D1A74C" w:rsidR="00807040" w:rsidRDefault="00571336" w:rsidP="004A79F5">
      <w:pPr>
        <w:pStyle w:val="Nornal"/>
        <w:spacing w:after="0" w:line="240" w:lineRule="auto"/>
        <w:rPr>
          <w:rFonts w:asciiTheme="majorHAnsi" w:hAnsiTheme="majorHAnsi" w:cstheme="majorHAnsi"/>
        </w:rPr>
      </w:pPr>
      <w:r>
        <w:rPr>
          <w:rFonts w:asciiTheme="majorHAnsi" w:hAnsiTheme="majorHAnsi" w:cstheme="majorHAnsi"/>
        </w:rPr>
        <w:t xml:space="preserve">The encompassing piece of law that unlawfully impedes employers from treating people within the workplace in a discriminatory manner, based on a range of defined protected characteristics such as: age/gender/race although this list is not exhaustive, is The Equality Act (2010). Should Eco-Insulate provide enhanced benefits, it would be ill advised to exclude anyone who falls under the </w:t>
      </w:r>
      <w:r w:rsidR="00807040">
        <w:rPr>
          <w:rFonts w:asciiTheme="majorHAnsi" w:hAnsiTheme="majorHAnsi" w:cstheme="majorHAnsi"/>
        </w:rPr>
        <w:t xml:space="preserve">prescribed definition of The </w:t>
      </w:r>
      <w:r>
        <w:rPr>
          <w:rFonts w:asciiTheme="majorHAnsi" w:hAnsiTheme="majorHAnsi" w:cstheme="majorHAnsi"/>
        </w:rPr>
        <w:t xml:space="preserve">Equality Act </w:t>
      </w:r>
      <w:r w:rsidR="00807040">
        <w:rPr>
          <w:rFonts w:asciiTheme="majorHAnsi" w:hAnsiTheme="majorHAnsi" w:cstheme="majorHAnsi"/>
        </w:rPr>
        <w:t>t</w:t>
      </w:r>
      <w:r>
        <w:rPr>
          <w:rFonts w:asciiTheme="majorHAnsi" w:hAnsiTheme="majorHAnsi" w:cstheme="majorHAnsi"/>
        </w:rPr>
        <w:t>o avoid claims of discrimination</w:t>
      </w:r>
      <w:r w:rsidR="00807040">
        <w:rPr>
          <w:rFonts w:asciiTheme="majorHAnsi" w:hAnsiTheme="majorHAnsi" w:cstheme="majorHAnsi"/>
        </w:rPr>
        <w:t xml:space="preserve"> (ACAS, 2024), as the repercussions could be detrimental to the person who is found to have acted discriminatory both financially and reputationally it could </w:t>
      </w:r>
      <w:r w:rsidR="008E5E25">
        <w:rPr>
          <w:rFonts w:asciiTheme="majorHAnsi" w:hAnsiTheme="majorHAnsi" w:cstheme="majorHAnsi"/>
        </w:rPr>
        <w:t xml:space="preserve">cause significant </w:t>
      </w:r>
      <w:r w:rsidR="00807040">
        <w:rPr>
          <w:rFonts w:asciiTheme="majorHAnsi" w:hAnsiTheme="majorHAnsi" w:cstheme="majorHAnsi"/>
        </w:rPr>
        <w:t xml:space="preserve">harm </w:t>
      </w:r>
      <w:r w:rsidR="008E5E25">
        <w:rPr>
          <w:rFonts w:asciiTheme="majorHAnsi" w:hAnsiTheme="majorHAnsi" w:cstheme="majorHAnsi"/>
        </w:rPr>
        <w:t xml:space="preserve">to </w:t>
      </w:r>
      <w:r w:rsidR="00807040">
        <w:rPr>
          <w:rFonts w:asciiTheme="majorHAnsi" w:hAnsiTheme="majorHAnsi" w:cstheme="majorHAnsi"/>
        </w:rPr>
        <w:t>the business</w:t>
      </w:r>
      <w:r>
        <w:rPr>
          <w:rFonts w:asciiTheme="majorHAnsi" w:hAnsiTheme="majorHAnsi" w:cstheme="majorHAnsi"/>
        </w:rPr>
        <w:t xml:space="preserve">. </w:t>
      </w:r>
    </w:p>
    <w:p w14:paraId="66EC8F13" w14:textId="0D910165" w:rsidR="00571336" w:rsidRDefault="00807040" w:rsidP="004A79F5">
      <w:pPr>
        <w:pStyle w:val="Nornal"/>
        <w:spacing w:after="0" w:line="240" w:lineRule="auto"/>
        <w:rPr>
          <w:rFonts w:asciiTheme="majorHAnsi" w:hAnsiTheme="majorHAnsi" w:cstheme="majorHAnsi"/>
        </w:rPr>
      </w:pPr>
      <w:r>
        <w:rPr>
          <w:rFonts w:asciiTheme="majorHAnsi" w:hAnsiTheme="majorHAnsi" w:cstheme="majorHAnsi"/>
        </w:rPr>
        <w:t xml:space="preserve">Closely linked to these key pieces of legislation are the obligations placed on employers </w:t>
      </w:r>
      <w:r w:rsidR="00A45BE7">
        <w:rPr>
          <w:rFonts w:asciiTheme="majorHAnsi" w:hAnsiTheme="majorHAnsi" w:cstheme="majorHAnsi"/>
        </w:rPr>
        <w:t xml:space="preserve">such as </w:t>
      </w:r>
      <w:r>
        <w:rPr>
          <w:rFonts w:asciiTheme="majorHAnsi" w:hAnsiTheme="majorHAnsi" w:cstheme="majorHAnsi"/>
        </w:rPr>
        <w:t>gender pay gap reporting</w:t>
      </w:r>
      <w:r w:rsidR="00A45BE7">
        <w:rPr>
          <w:rFonts w:asciiTheme="majorHAnsi" w:hAnsiTheme="majorHAnsi" w:cstheme="majorHAnsi"/>
        </w:rPr>
        <w:t xml:space="preserve"> (Gender Pay Gap Information Regs, 2017). </w:t>
      </w:r>
      <w:r w:rsidR="00A45BE7">
        <w:rPr>
          <w:rFonts w:asciiTheme="majorHAnsi" w:hAnsiTheme="majorHAnsi" w:cstheme="majorHAnsi"/>
        </w:rPr>
        <w:t xml:space="preserve">This is to ensure fairness of pay for jobs of a similar nature are the same to avoid underpaying women in the workplace. </w:t>
      </w:r>
      <w:r w:rsidR="00A45BE7">
        <w:rPr>
          <w:rFonts w:asciiTheme="majorHAnsi" w:hAnsiTheme="majorHAnsi" w:cstheme="majorHAnsi"/>
        </w:rPr>
        <w:t xml:space="preserve">This obligation must be completed by medium-large sized businesses on an annual basis. Provided Eco-Insulate do not have a headcount over 250 employees, it would not be required to report on these statistics. </w:t>
      </w:r>
    </w:p>
    <w:p w14:paraId="7CD7709B" w14:textId="502DE3EC" w:rsidR="009F392C" w:rsidRDefault="009F392C" w:rsidP="009F392C">
      <w:pPr>
        <w:pStyle w:val="Nornal"/>
        <w:spacing w:after="0" w:line="240" w:lineRule="auto"/>
        <w:rPr>
          <w:rFonts w:asciiTheme="majorHAnsi" w:hAnsiTheme="majorHAnsi" w:cstheme="majorHAnsi"/>
        </w:rPr>
      </w:pPr>
      <w:r>
        <w:rPr>
          <w:rFonts w:asciiTheme="majorHAnsi" w:hAnsiTheme="majorHAnsi" w:cstheme="majorHAnsi"/>
        </w:rPr>
        <w:t>The employment Rights Act (1996), requires employers to itemise the pay of its employees</w:t>
      </w:r>
      <w:r w:rsidR="00A8532C">
        <w:rPr>
          <w:rFonts w:asciiTheme="majorHAnsi" w:hAnsiTheme="majorHAnsi" w:cstheme="majorHAnsi"/>
        </w:rPr>
        <w:t xml:space="preserve"> by way of a statement or ‘payslip’</w:t>
      </w:r>
      <w:r>
        <w:rPr>
          <w:rFonts w:asciiTheme="majorHAnsi" w:hAnsiTheme="majorHAnsi" w:cstheme="majorHAnsi"/>
        </w:rPr>
        <w:t xml:space="preserve">, showing taxable deductions and confirmed hours if on a variable pay schedule (ACAS, 2024). This can be challenging if a company operates with employees on different terms, leading up to pay-day. </w:t>
      </w:r>
    </w:p>
    <w:p w14:paraId="60F7AFEA" w14:textId="716D3CEA" w:rsidR="00F43E3E" w:rsidRDefault="00F43E3E" w:rsidP="009F392C">
      <w:pPr>
        <w:pStyle w:val="Nornal"/>
        <w:spacing w:after="0" w:line="240" w:lineRule="auto"/>
        <w:rPr>
          <w:rFonts w:asciiTheme="majorHAnsi" w:hAnsiTheme="majorHAnsi" w:cstheme="majorHAnsi"/>
        </w:rPr>
      </w:pPr>
      <w:r>
        <w:rPr>
          <w:rFonts w:asciiTheme="majorHAnsi" w:hAnsiTheme="majorHAnsi" w:cstheme="majorHAnsi"/>
        </w:rPr>
        <w:t>There has been an increased spotlight on executives’ pay and many large organisations are required to publish how much their executives are paid on an annual basis</w:t>
      </w:r>
      <w:r w:rsidR="005F4AEE">
        <w:rPr>
          <w:rFonts w:asciiTheme="majorHAnsi" w:hAnsiTheme="majorHAnsi" w:cstheme="majorHAnsi"/>
        </w:rPr>
        <w:t xml:space="preserve"> (CIPD, 2024)</w:t>
      </w:r>
      <w:r>
        <w:rPr>
          <w:rFonts w:asciiTheme="majorHAnsi" w:hAnsiTheme="majorHAnsi" w:cstheme="majorHAnsi"/>
        </w:rPr>
        <w:t xml:space="preserve">. This can be inflammatory as it can highlight an </w:t>
      </w:r>
      <w:r w:rsidR="005F4AEE">
        <w:rPr>
          <w:rFonts w:asciiTheme="majorHAnsi" w:hAnsiTheme="majorHAnsi" w:cstheme="majorHAnsi"/>
        </w:rPr>
        <w:t>imbalance</w:t>
      </w:r>
      <w:r>
        <w:rPr>
          <w:rFonts w:asciiTheme="majorHAnsi" w:hAnsiTheme="majorHAnsi" w:cstheme="majorHAnsi"/>
        </w:rPr>
        <w:t xml:space="preserve"> between </w:t>
      </w:r>
      <w:r w:rsidR="005F4AEE">
        <w:rPr>
          <w:rFonts w:asciiTheme="majorHAnsi" w:hAnsiTheme="majorHAnsi" w:cstheme="majorHAnsi"/>
        </w:rPr>
        <w:t xml:space="preserve">people and how they are rewarded within an organisation. It </w:t>
      </w:r>
      <w:r w:rsidR="001F08AB">
        <w:rPr>
          <w:rFonts w:asciiTheme="majorHAnsi" w:hAnsiTheme="majorHAnsi" w:cstheme="majorHAnsi"/>
        </w:rPr>
        <w:t>could</w:t>
      </w:r>
      <w:r w:rsidR="005F4AEE">
        <w:rPr>
          <w:rFonts w:asciiTheme="majorHAnsi" w:hAnsiTheme="majorHAnsi" w:cstheme="majorHAnsi"/>
        </w:rPr>
        <w:t xml:space="preserve"> have a deeper effect on the culture if the values promoted by the organisation are ones of fairness. </w:t>
      </w:r>
    </w:p>
    <w:p w14:paraId="1793CB92" w14:textId="58630D0F" w:rsidR="009F392C" w:rsidRDefault="009F392C" w:rsidP="009F392C">
      <w:pPr>
        <w:pStyle w:val="Nornal"/>
        <w:spacing w:after="0" w:line="240" w:lineRule="auto"/>
        <w:rPr>
          <w:rFonts w:asciiTheme="majorHAnsi" w:hAnsiTheme="majorHAnsi" w:cstheme="majorHAnsi"/>
        </w:rPr>
      </w:pPr>
      <w:r>
        <w:rPr>
          <w:rFonts w:asciiTheme="majorHAnsi" w:hAnsiTheme="majorHAnsi" w:cstheme="majorHAnsi"/>
        </w:rPr>
        <w:t xml:space="preserve">If Eco-Insulate </w:t>
      </w:r>
      <w:r>
        <w:rPr>
          <w:rFonts w:asciiTheme="majorHAnsi" w:hAnsiTheme="majorHAnsi" w:cstheme="majorHAnsi"/>
        </w:rPr>
        <w:t>does proceed to</w:t>
      </w:r>
      <w:r>
        <w:rPr>
          <w:rFonts w:asciiTheme="majorHAnsi" w:hAnsiTheme="majorHAnsi" w:cstheme="majorHAnsi"/>
        </w:rPr>
        <w:t xml:space="preserve"> review its reward structure or benefits, it must not preclude paying the statutory minimum levels of payment</w:t>
      </w:r>
      <w:r>
        <w:rPr>
          <w:rFonts w:asciiTheme="majorHAnsi" w:hAnsiTheme="majorHAnsi" w:cstheme="majorHAnsi"/>
        </w:rPr>
        <w:t xml:space="preserve"> and it must pay </w:t>
      </w:r>
      <w:r w:rsidR="00A8532C">
        <w:rPr>
          <w:rFonts w:asciiTheme="majorHAnsi" w:hAnsiTheme="majorHAnsi" w:cstheme="majorHAnsi"/>
        </w:rPr>
        <w:t>all</w:t>
      </w:r>
      <w:r>
        <w:rPr>
          <w:rFonts w:asciiTheme="majorHAnsi" w:hAnsiTheme="majorHAnsi" w:cstheme="majorHAnsi"/>
        </w:rPr>
        <w:t xml:space="preserve"> its employees an equitable rate, to avoid discriminatory practices</w:t>
      </w:r>
      <w:r>
        <w:rPr>
          <w:rFonts w:asciiTheme="majorHAnsi" w:hAnsiTheme="majorHAnsi" w:cstheme="majorHAnsi"/>
        </w:rPr>
        <w:t xml:space="preserve">. </w:t>
      </w:r>
    </w:p>
    <w:p w14:paraId="7ED9CCAB" w14:textId="1BF552C5" w:rsidR="009F392C" w:rsidRPr="00DC50FE" w:rsidRDefault="009F392C" w:rsidP="004A79F5">
      <w:pPr>
        <w:pStyle w:val="Nornal"/>
        <w:spacing w:after="0" w:line="240" w:lineRule="auto"/>
        <w:rPr>
          <w:rFonts w:asciiTheme="majorHAnsi" w:hAnsiTheme="majorHAnsi" w:cstheme="majorHAnsi"/>
        </w:rPr>
      </w:pPr>
    </w:p>
    <w:p w14:paraId="124E3AD8" w14:textId="0A7D3458" w:rsidR="004A79F5" w:rsidRPr="00A73941" w:rsidRDefault="00A73941" w:rsidP="004A79F5">
      <w:pPr>
        <w:pStyle w:val="Nornal"/>
        <w:spacing w:after="0" w:line="240" w:lineRule="auto"/>
        <w:rPr>
          <w:rFonts w:ascii="Trebuchet MS" w:hAnsi="Trebuchet MS"/>
          <w:b/>
          <w:bCs/>
          <w:color w:val="000000"/>
        </w:rPr>
      </w:pPr>
      <w:r>
        <w:rPr>
          <w:rFonts w:ascii="Trebuchet MS" w:hAnsi="Trebuchet MS"/>
          <w:b/>
          <w:bCs/>
          <w:color w:val="000000"/>
        </w:rPr>
        <w:t xml:space="preserve">Declared Word Count: </w:t>
      </w:r>
      <w:r w:rsidRPr="00A73941">
        <w:rPr>
          <w:rFonts w:ascii="Trebuchet MS" w:hAnsi="Trebuchet MS"/>
          <w:b/>
          <w:bCs/>
          <w:color w:val="000000"/>
        </w:rPr>
        <w:t>3897</w:t>
      </w: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76E1AC89" w14:textId="11D31C4C" w:rsidR="006775C8" w:rsidRDefault="008C72FF" w:rsidP="00C14D63">
      <w:pPr>
        <w:pStyle w:val="Listparag"/>
        <w:spacing w:after="0" w:line="240" w:lineRule="auto"/>
        <w:rPr>
          <w:rFonts w:ascii="Trebuchet MS" w:hAnsi="Trebuchet MS"/>
        </w:rPr>
      </w:pPr>
      <w:r w:rsidRPr="00E446B9">
        <w:rPr>
          <w:rFonts w:ascii="Trebuchet MS" w:hAnsi="Trebuchet MS"/>
        </w:rPr>
        <w:t xml:space="preserve"> </w:t>
      </w:r>
    </w:p>
    <w:sdt>
      <w:sdtPr>
        <w:id w:val="148490257"/>
        <w:docPartObj>
          <w:docPartGallery w:val="Bibliographies"/>
          <w:docPartUnique/>
        </w:docPartObj>
      </w:sdtPr>
      <w:sdtEndPr>
        <w:rPr>
          <w:rFonts w:ascii="Arial" w:hAnsi="Arial" w:cstheme="minorBidi"/>
          <w:i w:val="0"/>
          <w:iCs w:val="0"/>
          <w:color w:val="auto"/>
          <w:sz w:val="22"/>
          <w:szCs w:val="24"/>
        </w:rPr>
      </w:sdtEndPr>
      <w:sdtContent>
        <w:p w14:paraId="1EC75F4F" w14:textId="49927F93" w:rsidR="006775C8" w:rsidRDefault="006775C8">
          <w:pPr>
            <w:pStyle w:val="Heading1"/>
          </w:pPr>
          <w:r>
            <w:t>References</w:t>
          </w:r>
        </w:p>
        <w:sdt>
          <w:sdtPr>
            <w:id w:val="-573587230"/>
            <w:bibliography/>
          </w:sdtPr>
          <w:sdtContent>
            <w:p w14:paraId="52926FFD" w14:textId="1F5D43B5" w:rsidR="00B52FA3" w:rsidRPr="00B52FA3" w:rsidRDefault="00B52FA3" w:rsidP="00946370">
              <w:pPr>
                <w:pStyle w:val="ListParagraph"/>
                <w:numPr>
                  <w:ilvl w:val="0"/>
                  <w:numId w:val="12"/>
                </w:numPr>
                <w:rPr>
                  <w:noProof/>
                  <w:lang w:val="en-US"/>
                </w:rPr>
              </w:pPr>
              <w:r>
                <w:t>ACA</w:t>
              </w:r>
              <w:r w:rsidR="00807040">
                <w:t>S</w:t>
              </w:r>
              <w:r>
                <w:t xml:space="preserve"> (2014) </w:t>
              </w:r>
              <w:r w:rsidRPr="00B52FA3">
                <w:rPr>
                  <w:i/>
                  <w:iCs/>
                </w:rPr>
                <w:t>Job evaluation: considerations and risks advice booklet</w:t>
              </w:r>
              <w:r>
                <w:rPr>
                  <w:i/>
                  <w:iCs/>
                </w:rPr>
                <w:t xml:space="preserve">. </w:t>
              </w:r>
              <w:r>
                <w:t xml:space="preserve">Available at: </w:t>
              </w:r>
              <w:hyperlink r:id="rId19" w:history="1">
                <w:r w:rsidRPr="005D7EBD">
                  <w:rPr>
                    <w:rStyle w:val="Hyperlink"/>
                  </w:rPr>
                  <w:t>https://www.acas.org.uk/job-evaluation-considerations-and-risks-advice-booklet</w:t>
                </w:r>
              </w:hyperlink>
              <w:r>
                <w:t xml:space="preserve"> (Accessed January 2025). </w:t>
              </w:r>
            </w:p>
            <w:p w14:paraId="5A7300E3" w14:textId="779021F6" w:rsidR="00807040" w:rsidRPr="00807040" w:rsidRDefault="00807040" w:rsidP="00946370">
              <w:pPr>
                <w:pStyle w:val="ListParagraph"/>
                <w:numPr>
                  <w:ilvl w:val="0"/>
                  <w:numId w:val="12"/>
                </w:numPr>
                <w:rPr>
                  <w:noProof/>
                  <w:lang w:val="en-US"/>
                </w:rPr>
              </w:pPr>
              <w:r>
                <w:rPr>
                  <w:noProof/>
                  <w:lang w:val="en-US"/>
                </w:rPr>
                <w:t xml:space="preserve">ACAS (2024) </w:t>
              </w:r>
              <w:r w:rsidRPr="00807040">
                <w:rPr>
                  <w:i/>
                  <w:iCs/>
                  <w:noProof/>
                  <w:lang w:val="en-US"/>
                </w:rPr>
                <w:t>If you've been discriminated against at work</w:t>
              </w:r>
              <w:r>
                <w:rPr>
                  <w:noProof/>
                  <w:lang w:val="en-US"/>
                </w:rPr>
                <w:t xml:space="preserve">. Available at: </w:t>
              </w:r>
              <w:hyperlink r:id="rId20" w:history="1">
                <w:r w:rsidRPr="005D7EBD">
                  <w:rPr>
                    <w:rStyle w:val="Hyperlink"/>
                    <w:noProof/>
                    <w:lang w:val="en-US"/>
                  </w:rPr>
                  <w:t>https://www.acas.org.uk/if-youve-been-discriminated-against-at-work</w:t>
                </w:r>
              </w:hyperlink>
              <w:r>
                <w:rPr>
                  <w:noProof/>
                  <w:lang w:val="en-US"/>
                </w:rPr>
                <w:t xml:space="preserve"> (Accessed February 2025). </w:t>
              </w:r>
            </w:p>
            <w:p w14:paraId="70735BDC" w14:textId="6D8D3405" w:rsidR="009F392C" w:rsidRPr="009F392C" w:rsidRDefault="009F392C" w:rsidP="00946370">
              <w:pPr>
                <w:pStyle w:val="ListParagraph"/>
                <w:numPr>
                  <w:ilvl w:val="0"/>
                  <w:numId w:val="12"/>
                </w:numPr>
                <w:rPr>
                  <w:noProof/>
                  <w:lang w:val="en-US"/>
                </w:rPr>
              </w:pPr>
              <w:r>
                <w:rPr>
                  <w:noProof/>
                  <w:lang w:val="en-US"/>
                </w:rPr>
                <w:t>ACA</w:t>
              </w:r>
              <w:r w:rsidR="005F4AEE">
                <w:rPr>
                  <w:noProof/>
                  <w:lang w:val="en-US"/>
                </w:rPr>
                <w:t>S</w:t>
              </w:r>
              <w:r>
                <w:rPr>
                  <w:noProof/>
                  <w:lang w:val="en-US"/>
                </w:rPr>
                <w:t xml:space="preserve"> (2024) </w:t>
              </w:r>
              <w:r w:rsidRPr="009F392C">
                <w:rPr>
                  <w:i/>
                  <w:iCs/>
                  <w:noProof/>
                  <w:lang w:val="en-US"/>
                </w:rPr>
                <w:t>Payslips</w:t>
              </w:r>
              <w:r>
                <w:rPr>
                  <w:noProof/>
                  <w:lang w:val="en-US"/>
                </w:rPr>
                <w:t xml:space="preserve">. Available at: </w:t>
              </w:r>
              <w:hyperlink r:id="rId21" w:history="1">
                <w:r w:rsidRPr="005D7EBD">
                  <w:rPr>
                    <w:rStyle w:val="Hyperlink"/>
                    <w:noProof/>
                    <w:lang w:val="en-US"/>
                  </w:rPr>
                  <w:t>https://www.acas.org.uk/payslips</w:t>
                </w:r>
              </w:hyperlink>
              <w:r>
                <w:rPr>
                  <w:noProof/>
                  <w:lang w:val="en-US"/>
                </w:rPr>
                <w:t xml:space="preserve"> (Accessed February 2025). </w:t>
              </w:r>
            </w:p>
            <w:p w14:paraId="59AB2969" w14:textId="60F00272" w:rsidR="00377440" w:rsidRPr="00377440" w:rsidRDefault="00377440" w:rsidP="00946370">
              <w:pPr>
                <w:pStyle w:val="ListParagraph"/>
                <w:numPr>
                  <w:ilvl w:val="0"/>
                  <w:numId w:val="12"/>
                </w:numPr>
                <w:rPr>
                  <w:noProof/>
                  <w:lang w:val="en-US"/>
                </w:rPr>
              </w:pPr>
              <w:r w:rsidRPr="00377440">
                <w:rPr>
                  <w:noProof/>
                  <w:lang w:val="en-US"/>
                </w:rPr>
                <w:t xml:space="preserve">Adams, J.S. (1963) ‘Towards an Understanding of Inequity’, The Journal of Abnormal and Social Psychology, 67(5), pp. 422–436. Available at: </w:t>
              </w:r>
              <w:hyperlink r:id="rId22" w:history="1">
                <w:r w:rsidRPr="005D7EBD">
                  <w:rPr>
                    <w:rStyle w:val="Hyperlink"/>
                    <w:noProof/>
                    <w:lang w:val="en-US"/>
                  </w:rPr>
                  <w:t>https://doi.org/10.1037/h0040968</w:t>
                </w:r>
              </w:hyperlink>
              <w:r w:rsidRPr="00377440">
                <w:rPr>
                  <w:noProof/>
                  <w:lang w:val="en-US"/>
                </w:rPr>
                <w:t>.</w:t>
              </w:r>
              <w:r>
                <w:rPr>
                  <w:noProof/>
                  <w:lang w:val="en-US"/>
                </w:rPr>
                <w:t xml:space="preserve"> (Accessed February 2025). </w:t>
              </w:r>
            </w:p>
            <w:p w14:paraId="0C2995C2" w14:textId="41223DD7" w:rsidR="008A3B50" w:rsidRPr="009B4470" w:rsidRDefault="008A3B50" w:rsidP="00946370">
              <w:pPr>
                <w:pStyle w:val="ListParagraph"/>
                <w:numPr>
                  <w:ilvl w:val="0"/>
                  <w:numId w:val="12"/>
                </w:numPr>
                <w:rPr>
                  <w:noProof/>
                  <w:lang w:val="en-US"/>
                </w:rPr>
              </w:pPr>
              <w:r w:rsidRPr="008A3B50">
                <w:t xml:space="preserve">Altrum (2024) </w:t>
              </w:r>
              <w:r w:rsidRPr="009B4470">
                <w:rPr>
                  <w:i/>
                  <w:iCs/>
                </w:rPr>
                <w:t xml:space="preserve">Formal or informal recognition: what approach should you </w:t>
              </w:r>
              <w:proofErr w:type="gramStart"/>
              <w:r w:rsidRPr="009B4470">
                <w:rPr>
                  <w:i/>
                  <w:iCs/>
                </w:rPr>
                <w:t>adopt?,</w:t>
              </w:r>
              <w:proofErr w:type="gramEnd"/>
              <w:r w:rsidRPr="008A3B50">
                <w:t xml:space="preserve"> Altrum. Available at: </w:t>
              </w:r>
              <w:hyperlink r:id="rId23" w:history="1">
                <w:r w:rsidRPr="005D7EBD">
                  <w:rPr>
                    <w:rStyle w:val="Hyperlink"/>
                  </w:rPr>
                  <w:t>https://www.altrum.com/resources/recognition/formal-or-informal-recognition/</w:t>
                </w:r>
              </w:hyperlink>
              <w:r w:rsidRPr="008A3B50">
                <w:t>.</w:t>
              </w:r>
              <w:r>
                <w:t xml:space="preserve"> (Accessed February 2025). </w:t>
              </w:r>
            </w:p>
            <w:p w14:paraId="7F63CF29" w14:textId="0E0D457D" w:rsidR="0076416E" w:rsidRDefault="0076416E" w:rsidP="0076416E">
              <w:pPr>
                <w:pStyle w:val="ListParagraph"/>
                <w:numPr>
                  <w:ilvl w:val="0"/>
                  <w:numId w:val="12"/>
                </w:numPr>
                <w:rPr>
                  <w:noProof/>
                  <w:lang w:val="en-US"/>
                </w:rPr>
              </w:pPr>
              <w:r w:rsidRPr="00E238C2">
                <w:t>Armstrong, M. and Brown, D. (2024) </w:t>
              </w:r>
              <w:r w:rsidRPr="00E238C2">
                <w:rPr>
                  <w:i/>
                  <w:iCs/>
                </w:rPr>
                <w:t>Armstrong’s handbook of reward management practice: improving performance through reward.</w:t>
              </w:r>
              <w:r w:rsidRPr="00E238C2">
                <w:t xml:space="preserve"> Seventh edition / Michael Armstrong with Duncan Brown. London: </w:t>
              </w:r>
              <w:r w:rsidR="00807040" w:rsidRPr="00E238C2">
                <w:t>Kogan Page</w:t>
              </w:r>
              <w:r w:rsidRPr="00E238C2">
                <w:t>.</w:t>
              </w:r>
              <w:r w:rsidRPr="00E238C2">
                <w:rPr>
                  <w:lang w:val="en-US"/>
                </w:rPr>
                <w:t xml:space="preserve"> </w:t>
              </w:r>
              <w:r>
                <w:rPr>
                  <w:lang w:val="en-US"/>
                </w:rPr>
                <w:t>Available at:</w:t>
              </w:r>
            </w:p>
            <w:p w14:paraId="330F5E64" w14:textId="77777777" w:rsidR="0076416E" w:rsidRDefault="0076416E" w:rsidP="0076416E">
              <w:pPr>
                <w:pStyle w:val="ListParagraph"/>
                <w:rPr>
                  <w:noProof/>
                  <w:lang w:val="en-US"/>
                </w:rPr>
              </w:pPr>
              <w:hyperlink r:id="rId24" w:history="1">
                <w:r w:rsidRPr="005D7EBD">
                  <w:rPr>
                    <w:rStyle w:val="Hyperlink"/>
                    <w:lang w:val="en-US"/>
                  </w:rPr>
                  <w:t>https://read.kortext.com/reader/pdf/1127708/236</w:t>
                </w:r>
              </w:hyperlink>
              <w:r>
                <w:rPr>
                  <w:lang w:val="en-US"/>
                </w:rPr>
                <w:t xml:space="preserve"> (Accessed January 2025).</w:t>
              </w:r>
            </w:p>
            <w:p w14:paraId="4D6FE579" w14:textId="2A69C166" w:rsidR="0042522D" w:rsidRPr="0042522D" w:rsidRDefault="0042522D" w:rsidP="0042522D">
              <w:pPr>
                <w:pStyle w:val="ListParagraph"/>
                <w:numPr>
                  <w:ilvl w:val="0"/>
                  <w:numId w:val="12"/>
                </w:numPr>
                <w:rPr>
                  <w:noProof/>
                </w:rPr>
              </w:pPr>
              <w:r>
                <w:rPr>
                  <w:noProof/>
                </w:rPr>
                <w:t xml:space="preserve">Boys, J. (2024) </w:t>
              </w:r>
              <w:r w:rsidRPr="0042522D">
                <w:rPr>
                  <w:i/>
                  <w:iCs/>
                  <w:noProof/>
                </w:rPr>
                <w:t>Understanding the economy and labour market</w:t>
              </w:r>
              <w:r>
                <w:rPr>
                  <w:i/>
                  <w:iCs/>
                  <w:noProof/>
                </w:rPr>
                <w:t>.</w:t>
              </w:r>
              <w:r w:rsidRPr="0042522D">
                <w:t xml:space="preserve"> </w:t>
              </w:r>
              <w:r w:rsidRPr="0042522D">
                <w:rPr>
                  <w:noProof/>
                </w:rPr>
                <w:t>Factsheet. London: Chartered Institute of Personnel and Development.</w:t>
              </w:r>
              <w:r>
                <w:rPr>
                  <w:noProof/>
                </w:rPr>
                <w:t xml:space="preserve"> Available at: </w:t>
              </w:r>
              <w:hyperlink r:id="rId25" w:history="1">
                <w:r w:rsidRPr="005D7EBD">
                  <w:rPr>
                    <w:rStyle w:val="Hyperlink"/>
                    <w:noProof/>
                  </w:rPr>
                  <w:t>https://www.cipd.org/uk/knowledge/factsheets/economy-labour-market-factsheet/#:~:text=In%20periods%20of%20relatively%20high,vacancies%20and%20lots%20of%20jobseekers</w:t>
                </w:r>
              </w:hyperlink>
              <w:r w:rsidRPr="0042522D">
                <w:rPr>
                  <w:noProof/>
                </w:rPr>
                <w:t>.</w:t>
              </w:r>
              <w:r>
                <w:rPr>
                  <w:noProof/>
                </w:rPr>
                <w:t xml:space="preserve"> (Accessed January 2025).</w:t>
              </w:r>
            </w:p>
            <w:p w14:paraId="66470507" w14:textId="6C5FDAC9" w:rsidR="00556CD1" w:rsidRPr="00556CD1" w:rsidRDefault="00556CD1" w:rsidP="00B2394C">
              <w:pPr>
                <w:pStyle w:val="ListParagraph"/>
                <w:numPr>
                  <w:ilvl w:val="0"/>
                  <w:numId w:val="12"/>
                </w:numPr>
                <w:rPr>
                  <w:i/>
                  <w:iCs/>
                  <w:noProof/>
                </w:rPr>
              </w:pPr>
              <w:r>
                <w:rPr>
                  <w:noProof/>
                </w:rPr>
                <w:t xml:space="preserve">CIPD (2022), </w:t>
              </w:r>
              <w:r w:rsidRPr="00556CD1">
                <w:rPr>
                  <w:i/>
                  <w:iCs/>
                  <w:noProof/>
                </w:rPr>
                <w:t>Incentives and recognition: An evidence review</w:t>
              </w:r>
              <w:r>
                <w:rPr>
                  <w:i/>
                  <w:iCs/>
                  <w:noProof/>
                </w:rPr>
                <w:t xml:space="preserve">. Avaiable at: </w:t>
              </w:r>
              <w:hyperlink r:id="rId26" w:history="1">
                <w:r w:rsidRPr="005D7EBD">
                  <w:rPr>
                    <w:rStyle w:val="Hyperlink"/>
                    <w:i/>
                    <w:iCs/>
                    <w:noProof/>
                  </w:rPr>
                  <w:t>https://www.cipd.org/uk/knowledge/evidence-reviews/evidence-financial-incentives/</w:t>
                </w:r>
              </w:hyperlink>
              <w:r>
                <w:rPr>
                  <w:i/>
                  <w:iCs/>
                  <w:noProof/>
                </w:rPr>
                <w:t xml:space="preserve"> </w:t>
              </w:r>
              <w:r w:rsidRPr="00556CD1">
                <w:rPr>
                  <w:noProof/>
                </w:rPr>
                <w:t>(Accessed Feburary 2025).</w:t>
              </w:r>
              <w:r>
                <w:rPr>
                  <w:i/>
                  <w:iCs/>
                  <w:noProof/>
                </w:rPr>
                <w:t xml:space="preserve"> </w:t>
              </w:r>
            </w:p>
            <w:p w14:paraId="13C19487" w14:textId="2BCE4853" w:rsidR="00C0550C" w:rsidRPr="00C0550C" w:rsidRDefault="00C0550C" w:rsidP="00C0550C">
              <w:pPr>
                <w:pStyle w:val="ListParagraph"/>
                <w:numPr>
                  <w:ilvl w:val="0"/>
                  <w:numId w:val="12"/>
                </w:numPr>
                <w:rPr>
                  <w:i/>
                  <w:iCs/>
                  <w:noProof/>
                </w:rPr>
              </w:pPr>
              <w:r>
                <w:rPr>
                  <w:noProof/>
                </w:rPr>
                <w:t xml:space="preserve">CIPD (2022) </w:t>
              </w:r>
              <w:r w:rsidRPr="00C0550C">
                <w:rPr>
                  <w:i/>
                  <w:iCs/>
                  <w:noProof/>
                </w:rPr>
                <w:t>Post-pandemic economic growth: UK Labour</w:t>
              </w:r>
              <w:r w:rsidRPr="00C0550C">
                <w:rPr>
                  <w:i/>
                  <w:iCs/>
                  <w:noProof/>
                </w:rPr>
                <w:t xml:space="preserve"> </w:t>
              </w:r>
              <w:r w:rsidRPr="00C0550C">
                <w:rPr>
                  <w:i/>
                  <w:iCs/>
                  <w:noProof/>
                </w:rPr>
                <w:t>Markets</w:t>
              </w:r>
              <w:r>
                <w:rPr>
                  <w:i/>
                  <w:iCs/>
                  <w:noProof/>
                </w:rPr>
                <w:t xml:space="preserve">. </w:t>
              </w:r>
              <w:r>
                <w:rPr>
                  <w:noProof/>
                </w:rPr>
                <w:t xml:space="preserve">Available at: </w:t>
              </w:r>
              <w:hyperlink r:id="rId27" w:history="1">
                <w:r w:rsidRPr="005D7EBD">
                  <w:rPr>
                    <w:rStyle w:val="Hyperlink"/>
                    <w:noProof/>
                  </w:rPr>
                  <w:t>https://committees.parliament.uk/writtenevidence/109904/pdf/#:~:text=The%20latest%20labour%20market%20outlook,is%20experienced%20across%20most%20sectors</w:t>
                </w:r>
              </w:hyperlink>
              <w:r w:rsidRPr="00C0550C">
                <w:rPr>
                  <w:noProof/>
                </w:rPr>
                <w:t>.</w:t>
              </w:r>
              <w:r>
                <w:rPr>
                  <w:noProof/>
                </w:rPr>
                <w:t xml:space="preserve"> (Accessed February 2025). </w:t>
              </w:r>
            </w:p>
            <w:p w14:paraId="090A82C7" w14:textId="12E26ECE" w:rsidR="005F4AEE" w:rsidRDefault="005F4AEE" w:rsidP="00B2394C">
              <w:pPr>
                <w:pStyle w:val="ListParagraph"/>
                <w:numPr>
                  <w:ilvl w:val="0"/>
                  <w:numId w:val="12"/>
                </w:numPr>
                <w:rPr>
                  <w:noProof/>
                </w:rPr>
              </w:pPr>
              <w:r w:rsidRPr="005F4AEE">
                <w:rPr>
                  <w:noProof/>
                </w:rPr>
                <w:t xml:space="preserve">CIPD (2023) CIPD | Pay Fairness &amp; Pay Reporting | Factsheets, CIPD. Available at: </w:t>
              </w:r>
              <w:hyperlink r:id="rId28" w:history="1">
                <w:r w:rsidRPr="005D7EBD">
                  <w:rPr>
                    <w:rStyle w:val="Hyperlink"/>
                    <w:noProof/>
                  </w:rPr>
                  <w:t>https://www.cipd.org/uk/knowledge/factsheets/pay-fairness-reporting-factsheet/</w:t>
                </w:r>
              </w:hyperlink>
              <w:r w:rsidRPr="005F4AEE">
                <w:rPr>
                  <w:noProof/>
                </w:rPr>
                <w:t>.</w:t>
              </w:r>
              <w:r>
                <w:rPr>
                  <w:noProof/>
                </w:rPr>
                <w:t xml:space="preserve"> (Accessed February 2025).</w:t>
              </w:r>
            </w:p>
            <w:p w14:paraId="68E0315A" w14:textId="6F55BF0E" w:rsidR="00952230" w:rsidRDefault="00952230" w:rsidP="00B2394C">
              <w:pPr>
                <w:pStyle w:val="ListParagraph"/>
                <w:numPr>
                  <w:ilvl w:val="0"/>
                  <w:numId w:val="12"/>
                </w:numPr>
                <w:rPr>
                  <w:noProof/>
                </w:rPr>
              </w:pPr>
              <w:r w:rsidRPr="00952230">
                <w:rPr>
                  <w:noProof/>
                </w:rPr>
                <w:t xml:space="preserve">CIPD (2024) Benchmarking Employee turnover: What Are the Latest Trends and insights?, CIPD. Available at: </w:t>
              </w:r>
              <w:hyperlink r:id="rId29" w:history="1">
                <w:r w:rsidRPr="005D7EBD">
                  <w:rPr>
                    <w:rStyle w:val="Hyperlink"/>
                    <w:noProof/>
                  </w:rPr>
                  <w:t>https://www.cipd.org/uk/views-and-insights/thought-leadership/cipd-voice/benchmarking-employee-turnover/</w:t>
                </w:r>
              </w:hyperlink>
              <w:r w:rsidRPr="00952230">
                <w:rPr>
                  <w:noProof/>
                </w:rPr>
                <w:t>.</w:t>
              </w:r>
              <w:r>
                <w:rPr>
                  <w:noProof/>
                </w:rPr>
                <w:t xml:space="preserve"> (Accessed February 2025). </w:t>
              </w:r>
            </w:p>
            <w:p w14:paraId="47DB2342" w14:textId="4DC710E6" w:rsidR="00C01B10" w:rsidRPr="00C01B10" w:rsidRDefault="00C01B10" w:rsidP="00B2394C">
              <w:pPr>
                <w:pStyle w:val="ListParagraph"/>
                <w:numPr>
                  <w:ilvl w:val="0"/>
                  <w:numId w:val="12"/>
                </w:numPr>
                <w:rPr>
                  <w:noProof/>
                </w:rPr>
              </w:pPr>
              <w:r>
                <w:rPr>
                  <w:noProof/>
                </w:rPr>
                <w:t xml:space="preserve">CIPD (2024), </w:t>
              </w:r>
              <w:r w:rsidRPr="00C01B10">
                <w:rPr>
                  <w:i/>
                  <w:iCs/>
                  <w:noProof/>
                </w:rPr>
                <w:t>Competence and competency frameworks</w:t>
              </w:r>
              <w:r>
                <w:rPr>
                  <w:i/>
                  <w:iCs/>
                  <w:noProof/>
                </w:rPr>
                <w:t xml:space="preserve">. </w:t>
              </w:r>
              <w:r w:rsidRPr="00C01B10">
                <w:rPr>
                  <w:noProof/>
                </w:rPr>
                <w:t xml:space="preserve">Available at: </w:t>
              </w:r>
              <w:hyperlink r:id="rId30" w:history="1">
                <w:r w:rsidRPr="005D7EBD">
                  <w:rPr>
                    <w:rStyle w:val="Hyperlink"/>
                    <w:noProof/>
                  </w:rPr>
                  <w:t>https://www.cipd.org/uk/knowledge/factsheets/competency-factsheet/</w:t>
                </w:r>
              </w:hyperlink>
              <w:r>
                <w:rPr>
                  <w:noProof/>
                </w:rPr>
                <w:t xml:space="preserve"> (Accessed January 2025). </w:t>
              </w:r>
            </w:p>
            <w:p w14:paraId="3306238C" w14:textId="645C66A8" w:rsidR="00B2394C" w:rsidRPr="00B2394C" w:rsidRDefault="00B2394C" w:rsidP="00B2394C">
              <w:pPr>
                <w:pStyle w:val="ListParagraph"/>
                <w:numPr>
                  <w:ilvl w:val="0"/>
                  <w:numId w:val="12"/>
                </w:numPr>
                <w:rPr>
                  <w:noProof/>
                </w:rPr>
              </w:pPr>
              <w:r>
                <w:rPr>
                  <w:noProof/>
                  <w:lang w:val="en-US"/>
                </w:rPr>
                <w:t xml:space="preserve">CIPD (2024), </w:t>
              </w:r>
              <w:r w:rsidRPr="00B2394C">
                <w:rPr>
                  <w:i/>
                  <w:iCs/>
                  <w:noProof/>
                </w:rPr>
                <w:t>Performance-related pay</w:t>
              </w:r>
              <w:r>
                <w:rPr>
                  <w:noProof/>
                </w:rPr>
                <w:t xml:space="preserve">. Available at: </w:t>
              </w:r>
              <w:hyperlink r:id="rId31" w:history="1">
                <w:r w:rsidRPr="005D7EBD">
                  <w:rPr>
                    <w:rStyle w:val="Hyperlink"/>
                    <w:noProof/>
                  </w:rPr>
                  <w:t>https://www.cipd.org/uk/knowledge/factsheets/pay-performance-factsheet/</w:t>
                </w:r>
              </w:hyperlink>
              <w:r>
                <w:rPr>
                  <w:noProof/>
                </w:rPr>
                <w:t xml:space="preserve"> (Accessed January 2025). </w:t>
              </w:r>
            </w:p>
            <w:p w14:paraId="17A3AED2" w14:textId="6DA6CCA7" w:rsidR="0076416E" w:rsidRPr="0076416E" w:rsidRDefault="0076416E" w:rsidP="003B0B8B">
              <w:pPr>
                <w:pStyle w:val="ListParagraph"/>
                <w:numPr>
                  <w:ilvl w:val="0"/>
                  <w:numId w:val="12"/>
                </w:numPr>
                <w:rPr>
                  <w:noProof/>
                  <w:lang w:val="en-US"/>
                </w:rPr>
              </w:pPr>
              <w:r w:rsidRPr="0076416E">
                <w:rPr>
                  <w:noProof/>
                  <w:lang w:val="en-US"/>
                </w:rPr>
                <w:t>CIPD (2024),</w:t>
              </w:r>
              <w:r w:rsidRPr="0076416E">
                <w:rPr>
                  <w:rFonts w:eastAsia="Times New Roman" w:cs="Arial"/>
                  <w:i/>
                  <w:iCs/>
                  <w:color w:val="FFFFFF"/>
                  <w:kern w:val="36"/>
                  <w:lang w:eastAsia="en-GB"/>
                </w:rPr>
                <w:t xml:space="preserve"> </w:t>
              </w:r>
              <w:r w:rsidRPr="0076416E">
                <w:rPr>
                  <w:i/>
                  <w:iCs/>
                  <w:noProof/>
                </w:rPr>
                <w:t>Pay structures and pay progression</w:t>
              </w:r>
              <w:r>
                <w:rPr>
                  <w:noProof/>
                  <w:lang w:val="en-US"/>
                </w:rPr>
                <w:t>. Available at:</w:t>
              </w:r>
              <w:r w:rsidRPr="0076416E">
                <w:rPr>
                  <w:noProof/>
                  <w:lang w:val="en-US"/>
                </w:rPr>
                <w:t xml:space="preserve">  </w:t>
              </w:r>
              <w:hyperlink r:id="rId32" w:history="1">
                <w:r w:rsidRPr="0076416E">
                  <w:rPr>
                    <w:rStyle w:val="Hyperlink"/>
                    <w:noProof/>
                    <w:lang w:val="en-US"/>
                  </w:rPr>
                  <w:t>https://www.cipd.org/uk/knowledge/factsheets/pay-structures-factsheet/#what-is-pay-structure</w:t>
                </w:r>
              </w:hyperlink>
              <w:r w:rsidRPr="0076416E">
                <w:rPr>
                  <w:noProof/>
                  <w:lang w:val="en-US"/>
                </w:rPr>
                <w:t xml:space="preserve"> </w:t>
              </w:r>
              <w:r>
                <w:rPr>
                  <w:noProof/>
                  <w:lang w:val="en-US"/>
                </w:rPr>
                <w:t xml:space="preserve">(Accessed January 2025). </w:t>
              </w:r>
            </w:p>
            <w:p w14:paraId="2F98C7CE" w14:textId="3BB652B3" w:rsidR="003B60DF" w:rsidRPr="003B60DF" w:rsidRDefault="003B60DF" w:rsidP="0076416E">
              <w:pPr>
                <w:pStyle w:val="ListParagraph"/>
                <w:numPr>
                  <w:ilvl w:val="0"/>
                  <w:numId w:val="12"/>
                </w:numPr>
                <w:rPr>
                  <w:noProof/>
                  <w:lang w:val="en-US"/>
                </w:rPr>
              </w:pPr>
              <w:r w:rsidRPr="003B60DF">
                <w:rPr>
                  <w:noProof/>
                  <w:lang w:val="en-US"/>
                </w:rPr>
                <w:t xml:space="preserve">CIPD (2024) Psychological Contract, CIPD. Available at: </w:t>
              </w:r>
              <w:hyperlink r:id="rId33" w:history="1">
                <w:r w:rsidRPr="005D7EBD">
                  <w:rPr>
                    <w:rStyle w:val="Hyperlink"/>
                    <w:noProof/>
                    <w:lang w:val="en-US"/>
                  </w:rPr>
                  <w:t>https://www.cipd.org/uk/knowledge/factsheets/psychological-factsheet/</w:t>
                </w:r>
              </w:hyperlink>
              <w:r w:rsidRPr="003B60DF">
                <w:rPr>
                  <w:noProof/>
                  <w:lang w:val="en-US"/>
                </w:rPr>
                <w:t>.</w:t>
              </w:r>
              <w:r>
                <w:rPr>
                  <w:noProof/>
                  <w:lang w:val="en-US"/>
                </w:rPr>
                <w:t xml:space="preserve"> (Accessed February 2025). </w:t>
              </w:r>
            </w:p>
            <w:p w14:paraId="485F543C" w14:textId="26233443" w:rsidR="0076416E" w:rsidRPr="006775C8" w:rsidRDefault="0076416E" w:rsidP="0076416E">
              <w:pPr>
                <w:pStyle w:val="ListParagraph"/>
                <w:numPr>
                  <w:ilvl w:val="0"/>
                  <w:numId w:val="12"/>
                </w:numPr>
                <w:rPr>
                  <w:noProof/>
                  <w:lang w:val="en-US"/>
                </w:rPr>
              </w:pPr>
              <w:r>
                <w:lastRenderedPageBreak/>
                <w:t xml:space="preserve">CIPD (2025), </w:t>
              </w:r>
              <w:r w:rsidRPr="006775C8">
                <w:rPr>
                  <w:i/>
                  <w:iCs/>
                </w:rPr>
                <w:t>Reward: an introduction</w:t>
              </w:r>
              <w:r>
                <w:t xml:space="preserve">. Available at: </w:t>
              </w:r>
              <w:hyperlink r:id="rId34" w:history="1">
                <w:r w:rsidRPr="005D7EBD">
                  <w:rPr>
                    <w:rStyle w:val="Hyperlink"/>
                  </w:rPr>
                  <w:t>https://www.cipd.org/uk/knowledge/factsheets/reward-factsheet/</w:t>
                </w:r>
              </w:hyperlink>
              <w:r>
                <w:t xml:space="preserve"> (Accessed January 2025). </w:t>
              </w:r>
            </w:p>
            <w:p w14:paraId="3A160502" w14:textId="30ED38AA" w:rsidR="00DB717E" w:rsidRPr="00DB717E" w:rsidRDefault="00DB717E" w:rsidP="006775C8">
              <w:pPr>
                <w:pStyle w:val="ListParagraph"/>
                <w:numPr>
                  <w:ilvl w:val="0"/>
                  <w:numId w:val="12"/>
                </w:numPr>
                <w:rPr>
                  <w:noProof/>
                  <w:lang w:val="en-US"/>
                </w:rPr>
              </w:pPr>
              <w:r w:rsidRPr="00DB717E">
                <w:rPr>
                  <w:noProof/>
                </w:rPr>
                <w:t>Collinson, C. (2023) ‘</w:t>
              </w:r>
              <w:r w:rsidRPr="00DB717E">
                <w:rPr>
                  <w:i/>
                  <w:iCs/>
                  <w:noProof/>
                </w:rPr>
                <w:t>The Future of Employee Benefits: Five Opportunities for Employers Amid the Evolving Workforce’</w:t>
              </w:r>
              <w:r w:rsidRPr="00DB717E">
                <w:rPr>
                  <w:noProof/>
                </w:rPr>
                <w:t>, </w:t>
              </w:r>
              <w:r w:rsidRPr="00DB717E">
                <w:rPr>
                  <w:i/>
                  <w:iCs/>
                  <w:noProof/>
                </w:rPr>
                <w:t>Benefits quarterly</w:t>
              </w:r>
              <w:r w:rsidRPr="00DB717E">
                <w:rPr>
                  <w:noProof/>
                </w:rPr>
                <w:t>, 39(1), pp. 35–41.</w:t>
              </w:r>
            </w:p>
            <w:p w14:paraId="202F163C" w14:textId="5ABFA13B" w:rsidR="004E14A5" w:rsidRPr="004E14A5" w:rsidRDefault="004E14A5" w:rsidP="006775C8">
              <w:pPr>
                <w:pStyle w:val="ListParagraph"/>
                <w:numPr>
                  <w:ilvl w:val="0"/>
                  <w:numId w:val="12"/>
                </w:numPr>
                <w:rPr>
                  <w:noProof/>
                  <w:lang w:val="en-US"/>
                </w:rPr>
              </w:pPr>
              <w:r w:rsidRPr="004E14A5">
                <w:rPr>
                  <w:noProof/>
                </w:rPr>
                <w:t xml:space="preserve">Cotton, C. (2022) </w:t>
              </w:r>
              <w:r w:rsidRPr="0042522D">
                <w:rPr>
                  <w:i/>
                  <w:iCs/>
                  <w:noProof/>
                </w:rPr>
                <w:t>Reward management survey: focus on employee benefits</w:t>
              </w:r>
              <w:r w:rsidRPr="004E14A5">
                <w:rPr>
                  <w:noProof/>
                </w:rPr>
                <w:t xml:space="preserve">. Survey report. London: Chartered Institute of Personnel and Development. Available at: </w:t>
              </w:r>
              <w:hyperlink r:id="rId35" w:history="1">
                <w:r w:rsidRPr="005D7EBD">
                  <w:rPr>
                    <w:rStyle w:val="Hyperlink"/>
                    <w:noProof/>
                  </w:rPr>
                  <w:t>https://www.cipd.org/uk/knowledge/reports/reward-surveys/</w:t>
                </w:r>
              </w:hyperlink>
              <w:r>
                <w:rPr>
                  <w:noProof/>
                </w:rPr>
                <w:t xml:space="preserve"> (Accessed January 2025). </w:t>
              </w:r>
            </w:p>
            <w:p w14:paraId="75C92286" w14:textId="749F593B" w:rsidR="00F913F7" w:rsidRDefault="00F913F7" w:rsidP="006775C8">
              <w:pPr>
                <w:pStyle w:val="ListParagraph"/>
                <w:numPr>
                  <w:ilvl w:val="0"/>
                  <w:numId w:val="12"/>
                </w:numPr>
                <w:rPr>
                  <w:noProof/>
                  <w:lang w:val="en-US"/>
                </w:rPr>
              </w:pPr>
              <w:r w:rsidRPr="00F913F7">
                <w:rPr>
                  <w:noProof/>
                </w:rPr>
                <w:t>Cotton, C. (202</w:t>
              </w:r>
              <w:r>
                <w:rPr>
                  <w:noProof/>
                </w:rPr>
                <w:t>4</w:t>
              </w:r>
              <w:r w:rsidRPr="00F913F7">
                <w:rPr>
                  <w:noProof/>
                </w:rPr>
                <w:t xml:space="preserve">) </w:t>
              </w:r>
              <w:r w:rsidRPr="00A434B5">
                <w:rPr>
                  <w:i/>
                  <w:iCs/>
                  <w:noProof/>
                </w:rPr>
                <w:t>Employee benefits: an introduction</w:t>
              </w:r>
              <w:r w:rsidRPr="00F913F7">
                <w:rPr>
                  <w:noProof/>
                </w:rPr>
                <w:t xml:space="preserve">. Factsheet. London: Chartered Institute of Personnel and Development. Available at: </w:t>
              </w:r>
              <w:hyperlink r:id="rId36" w:history="1">
                <w:r w:rsidRPr="005D7EBD">
                  <w:rPr>
                    <w:rStyle w:val="Hyperlink"/>
                    <w:noProof/>
                  </w:rPr>
                  <w:t>https://www.cipd.org/uk/knowledge/factsheets/benefits-factsheet/</w:t>
                </w:r>
              </w:hyperlink>
              <w:r>
                <w:rPr>
                  <w:noProof/>
                </w:rPr>
                <w:t xml:space="preserve"> (Accessed Janaury 2025).</w:t>
              </w:r>
            </w:p>
            <w:p w14:paraId="3EC9A12B" w14:textId="638245F8" w:rsidR="00DB5564" w:rsidRPr="00DB5564" w:rsidRDefault="00DB5564" w:rsidP="006775C8">
              <w:pPr>
                <w:pStyle w:val="ListParagraph"/>
                <w:numPr>
                  <w:ilvl w:val="0"/>
                  <w:numId w:val="12"/>
                </w:numPr>
                <w:rPr>
                  <w:noProof/>
                  <w:lang w:val="en-US"/>
                </w:rPr>
              </w:pPr>
              <w:r>
                <w:t>Cotton, C. (202</w:t>
              </w:r>
              <w:r>
                <w:t>4</w:t>
              </w:r>
              <w:r>
                <w:t xml:space="preserve">) </w:t>
              </w:r>
              <w:r w:rsidRPr="00DB5564">
                <w:rPr>
                  <w:i/>
                  <w:iCs/>
                </w:rPr>
                <w:t>Job evaluation and market pricing</w:t>
              </w:r>
              <w:r>
                <w:t xml:space="preserve">. Factsheet. London: Chartered Institute of Personnel and Development. Available at: </w:t>
              </w:r>
              <w:hyperlink r:id="rId37" w:history="1">
                <w:r w:rsidRPr="005D7EBD">
                  <w:rPr>
                    <w:rStyle w:val="Hyperlink"/>
                  </w:rPr>
                  <w:t>https://www.cipd.org/uk/knowledge/factsheets/market-pricing-factsheet/#marketpricing</w:t>
                </w:r>
              </w:hyperlink>
              <w:r>
                <w:t xml:space="preserve"> (Accessed February 2025).</w:t>
              </w:r>
            </w:p>
            <w:p w14:paraId="64AE5848" w14:textId="740D56D8" w:rsidR="00340E70" w:rsidRPr="00F811E9" w:rsidRDefault="00340E70" w:rsidP="006775C8">
              <w:pPr>
                <w:pStyle w:val="ListParagraph"/>
                <w:numPr>
                  <w:ilvl w:val="0"/>
                  <w:numId w:val="12"/>
                </w:numPr>
                <w:rPr>
                  <w:noProof/>
                  <w:lang w:val="en-US"/>
                </w:rPr>
              </w:pPr>
              <w:r w:rsidRPr="00F913F7">
                <w:rPr>
                  <w:noProof/>
                </w:rPr>
                <w:t>Cotton, C. (202</w:t>
              </w:r>
              <w:r>
                <w:rPr>
                  <w:noProof/>
                </w:rPr>
                <w:t>4</w:t>
              </w:r>
              <w:r w:rsidRPr="00F913F7">
                <w:rPr>
                  <w:noProof/>
                </w:rPr>
                <w:t xml:space="preserve">) </w:t>
              </w:r>
              <w:r>
                <w:rPr>
                  <w:i/>
                  <w:iCs/>
                  <w:noProof/>
                </w:rPr>
                <w:t>Workplace pensions.</w:t>
              </w:r>
              <w:r w:rsidRPr="00F913F7">
                <w:rPr>
                  <w:noProof/>
                </w:rPr>
                <w:t xml:space="preserve"> Factsheet. London: Chartered Institute of Personnel and Development. Available at: </w:t>
              </w:r>
              <w:hyperlink r:id="rId38" w:history="1">
                <w:r w:rsidRPr="005D7EBD">
                  <w:rPr>
                    <w:rStyle w:val="Hyperlink"/>
                    <w:noProof/>
                  </w:rPr>
                  <w:t>https://www.cipd.org/uk/knowledge/factsheets/workplace-pensions-factsheet/#one</w:t>
                </w:r>
              </w:hyperlink>
              <w:r>
                <w:rPr>
                  <w:noProof/>
                </w:rPr>
                <w:t xml:space="preserve"> </w:t>
              </w:r>
              <w:r>
                <w:rPr>
                  <w:noProof/>
                </w:rPr>
                <w:t>(Accessed Janaury 2025).</w:t>
              </w:r>
            </w:p>
            <w:p w14:paraId="3061B7A8" w14:textId="536A72EE" w:rsidR="00F811E9" w:rsidRPr="00340E70" w:rsidRDefault="00F811E9" w:rsidP="006775C8">
              <w:pPr>
                <w:pStyle w:val="ListParagraph"/>
                <w:numPr>
                  <w:ilvl w:val="0"/>
                  <w:numId w:val="12"/>
                </w:numPr>
                <w:rPr>
                  <w:noProof/>
                  <w:lang w:val="en-US"/>
                </w:rPr>
              </w:pPr>
              <w:r w:rsidRPr="00F811E9">
                <w:rPr>
                  <w:noProof/>
                </w:rPr>
                <w:t xml:space="preserve">Cotton, C., Gifford, J. and Young, J. (2022) </w:t>
              </w:r>
              <w:r w:rsidRPr="00F811E9">
                <w:rPr>
                  <w:i/>
                  <w:iCs/>
                  <w:noProof/>
                </w:rPr>
                <w:t>Incentives and recognition: an evidence review. Practice summary and recommendations</w:t>
              </w:r>
              <w:r w:rsidRPr="00F811E9">
                <w:rPr>
                  <w:noProof/>
                </w:rPr>
                <w:t>. London: Chartered Institute of Personnel and Development.</w:t>
              </w:r>
              <w:r>
                <w:rPr>
                  <w:noProof/>
                </w:rPr>
                <w:t xml:space="preserve"> Available at: </w:t>
              </w:r>
              <w:hyperlink r:id="rId39" w:history="1">
                <w:r w:rsidRPr="005D7EBD">
                  <w:rPr>
                    <w:rStyle w:val="Hyperlink"/>
                    <w:noProof/>
                  </w:rPr>
                  <w:t>https://www.cipd.org/globalassets/media/knowledge/knowledge-hub/evidence-reviews/incentives-recognition-practice-summary_tcm18-105466.pdf</w:t>
                </w:r>
              </w:hyperlink>
              <w:r>
                <w:rPr>
                  <w:noProof/>
                </w:rPr>
                <w:t xml:space="preserve"> (Accessed February 2025). </w:t>
              </w:r>
            </w:p>
            <w:p w14:paraId="674B9A60" w14:textId="1872859F" w:rsidR="003D5D14" w:rsidRDefault="003D5D14" w:rsidP="006775C8">
              <w:pPr>
                <w:pStyle w:val="ListParagraph"/>
                <w:numPr>
                  <w:ilvl w:val="0"/>
                  <w:numId w:val="12"/>
                </w:numPr>
                <w:rPr>
                  <w:noProof/>
                  <w:lang w:val="en-US"/>
                </w:rPr>
              </w:pPr>
              <w:r w:rsidRPr="003D5D14">
                <w:rPr>
                  <w:noProof/>
                  <w:lang w:val="en-US"/>
                </w:rPr>
                <w:t xml:space="preserve">Employment Rights Act </w:t>
              </w:r>
              <w:r>
                <w:rPr>
                  <w:noProof/>
                  <w:lang w:val="en-US"/>
                </w:rPr>
                <w:t>(</w:t>
              </w:r>
              <w:r w:rsidRPr="003D5D14">
                <w:rPr>
                  <w:noProof/>
                  <w:lang w:val="en-US"/>
                </w:rPr>
                <w:t>1996</w:t>
              </w:r>
              <w:r>
                <w:rPr>
                  <w:noProof/>
                  <w:lang w:val="en-US"/>
                </w:rPr>
                <w:t xml:space="preserve">) c.18. Available at: </w:t>
              </w:r>
              <w:hyperlink r:id="rId40" w:history="1">
                <w:r w:rsidRPr="005D7EBD">
                  <w:rPr>
                    <w:rStyle w:val="Hyperlink"/>
                    <w:noProof/>
                    <w:lang w:val="en-US"/>
                  </w:rPr>
                  <w:t>https://www.legislation.gov.uk/ukpga/1996/18/section/8</w:t>
                </w:r>
              </w:hyperlink>
              <w:r>
                <w:rPr>
                  <w:noProof/>
                  <w:lang w:val="en-US"/>
                </w:rPr>
                <w:t xml:space="preserve"> (Accessed February 2025).</w:t>
              </w:r>
            </w:p>
            <w:p w14:paraId="7068495E" w14:textId="0809493F" w:rsidR="00AE5EC2" w:rsidRDefault="008F3A5E" w:rsidP="006775C8">
              <w:pPr>
                <w:pStyle w:val="ListParagraph"/>
                <w:numPr>
                  <w:ilvl w:val="0"/>
                  <w:numId w:val="12"/>
                </w:numPr>
                <w:rPr>
                  <w:noProof/>
                  <w:lang w:val="en-US"/>
                </w:rPr>
              </w:pPr>
              <w:r>
                <w:rPr>
                  <w:noProof/>
                  <w:lang w:val="en-US"/>
                </w:rPr>
                <w:t>Equality Act (2010)</w:t>
              </w:r>
              <w:r w:rsidR="00AE5EC2">
                <w:rPr>
                  <w:noProof/>
                  <w:lang w:val="en-US"/>
                </w:rPr>
                <w:t xml:space="preserve"> c.15.</w:t>
              </w:r>
              <w:r>
                <w:rPr>
                  <w:noProof/>
                  <w:lang w:val="en-US"/>
                </w:rPr>
                <w:t xml:space="preserve"> Available at:</w:t>
              </w:r>
            </w:p>
            <w:p w14:paraId="34E2435A" w14:textId="6BD389AA" w:rsidR="008F3A5E" w:rsidRPr="008F3A5E" w:rsidRDefault="00AE5EC2" w:rsidP="00AE5EC2">
              <w:pPr>
                <w:pStyle w:val="ListParagraph"/>
                <w:rPr>
                  <w:noProof/>
                  <w:lang w:val="en-US"/>
                </w:rPr>
              </w:pPr>
              <w:hyperlink r:id="rId41" w:history="1">
                <w:r w:rsidRPr="005D7EBD">
                  <w:rPr>
                    <w:rStyle w:val="Hyperlink"/>
                    <w:noProof/>
                    <w:lang w:val="en-US"/>
                  </w:rPr>
                  <w:t>https://www.legislation.gov.uk/ukpga/2010/15/contents</w:t>
                </w:r>
              </w:hyperlink>
              <w:r>
                <w:rPr>
                  <w:noProof/>
                  <w:lang w:val="en-US"/>
                </w:rPr>
                <w:t xml:space="preserve"> </w:t>
              </w:r>
              <w:r w:rsidR="008F3A5E">
                <w:rPr>
                  <w:noProof/>
                  <w:lang w:val="en-US"/>
                </w:rPr>
                <w:t xml:space="preserve"> (Accessed January 2025). </w:t>
              </w:r>
            </w:p>
            <w:p w14:paraId="3ED9C782" w14:textId="38BF1BE5" w:rsidR="0034591D" w:rsidRDefault="0034591D" w:rsidP="006775C8">
              <w:pPr>
                <w:pStyle w:val="ListParagraph"/>
                <w:numPr>
                  <w:ilvl w:val="0"/>
                  <w:numId w:val="12"/>
                </w:numPr>
                <w:rPr>
                  <w:noProof/>
                  <w:lang w:val="en-US"/>
                </w:rPr>
              </w:pPr>
              <w:r>
                <w:rPr>
                  <w:noProof/>
                  <w:lang w:val="en-US"/>
                </w:rPr>
                <w:t>Equal Pay Act (1970) c.41. Available at:</w:t>
              </w:r>
              <w:r w:rsidRPr="0034591D">
                <w:t xml:space="preserve"> </w:t>
              </w:r>
              <w:hyperlink r:id="rId42" w:history="1">
                <w:r w:rsidRPr="005D7EBD">
                  <w:rPr>
                    <w:rStyle w:val="Hyperlink"/>
                    <w:noProof/>
                    <w:lang w:val="en-US"/>
                  </w:rPr>
                  <w:t>https://www.legislation.gov.uk/ukpga/1970/41/enacted</w:t>
                </w:r>
              </w:hyperlink>
              <w:r>
                <w:rPr>
                  <w:noProof/>
                  <w:lang w:val="en-US"/>
                </w:rPr>
                <w:t xml:space="preserve"> (Accessed February 2025). </w:t>
              </w:r>
            </w:p>
            <w:p w14:paraId="0A06C74D" w14:textId="009AFFED" w:rsidR="00A73941" w:rsidRDefault="00A73941" w:rsidP="006775C8">
              <w:pPr>
                <w:pStyle w:val="ListParagraph"/>
                <w:numPr>
                  <w:ilvl w:val="0"/>
                  <w:numId w:val="12"/>
                </w:numPr>
                <w:rPr>
                  <w:noProof/>
                  <w:lang w:val="en-US"/>
                </w:rPr>
              </w:pPr>
              <w:r w:rsidRPr="00A73941">
                <w:rPr>
                  <w:noProof/>
                  <w:lang w:val="en-US"/>
                </w:rPr>
                <w:t xml:space="preserve">Farrand, L. (2023) Is pay benchmarking working? An interactive report for HR professionals, People Management. Available at: </w:t>
              </w:r>
              <w:hyperlink r:id="rId43" w:history="1">
                <w:r w:rsidRPr="005D7EBD">
                  <w:rPr>
                    <w:rStyle w:val="Hyperlink"/>
                    <w:noProof/>
                    <w:lang w:val="en-US"/>
                  </w:rPr>
                  <w:t>https://www.peoplemanagement.co.uk/article/1830913/pay-benchmarking-working-interactive-report-hr-professionals</w:t>
                </w:r>
              </w:hyperlink>
              <w:r w:rsidRPr="00A73941">
                <w:rPr>
                  <w:noProof/>
                  <w:lang w:val="en-US"/>
                </w:rPr>
                <w:t>.</w:t>
              </w:r>
              <w:r>
                <w:rPr>
                  <w:noProof/>
                  <w:lang w:val="en-US"/>
                </w:rPr>
                <w:t xml:space="preserve"> (Accessed February 2025). </w:t>
              </w:r>
            </w:p>
            <w:p w14:paraId="5D0C1A37" w14:textId="64AE33D1" w:rsidR="009B4470" w:rsidRDefault="009B4470" w:rsidP="006775C8">
              <w:pPr>
                <w:pStyle w:val="ListParagraph"/>
                <w:numPr>
                  <w:ilvl w:val="0"/>
                  <w:numId w:val="12"/>
                </w:numPr>
                <w:rPr>
                  <w:noProof/>
                  <w:lang w:val="en-US"/>
                </w:rPr>
              </w:pPr>
              <w:r>
                <w:rPr>
                  <w:noProof/>
                  <w:lang w:val="en-US"/>
                </w:rPr>
                <w:t xml:space="preserve">GOV.UK (2024) </w:t>
              </w:r>
              <w:r w:rsidRPr="009B4470">
                <w:rPr>
                  <w:i/>
                  <w:iCs/>
                  <w:noProof/>
                  <w:lang w:val="en-US"/>
                </w:rPr>
                <w:t>Holiday entitlement</w:t>
              </w:r>
              <w:r>
                <w:rPr>
                  <w:noProof/>
                  <w:lang w:val="en-US"/>
                </w:rPr>
                <w:t xml:space="preserve">. Avaiable at: </w:t>
              </w:r>
              <w:hyperlink r:id="rId44" w:history="1">
                <w:r w:rsidRPr="005D7EBD">
                  <w:rPr>
                    <w:rStyle w:val="Hyperlink"/>
                    <w:noProof/>
                    <w:lang w:val="en-US"/>
                  </w:rPr>
                  <w:t>https://www.gov.uk/holiday-entitlement-rights</w:t>
                </w:r>
              </w:hyperlink>
              <w:r>
                <w:rPr>
                  <w:noProof/>
                  <w:lang w:val="en-US"/>
                </w:rPr>
                <w:t xml:space="preserve"> (Accessed January 2025). </w:t>
              </w:r>
            </w:p>
            <w:p w14:paraId="63EC71D8" w14:textId="49DBB6AF" w:rsidR="00A5175C" w:rsidRDefault="00A5175C" w:rsidP="006775C8">
              <w:pPr>
                <w:pStyle w:val="ListParagraph"/>
                <w:numPr>
                  <w:ilvl w:val="0"/>
                  <w:numId w:val="12"/>
                </w:numPr>
                <w:rPr>
                  <w:noProof/>
                  <w:lang w:val="en-US"/>
                </w:rPr>
              </w:pPr>
              <w:r>
                <w:rPr>
                  <w:noProof/>
                  <w:lang w:val="en-US"/>
                </w:rPr>
                <w:t xml:space="preserve">GOV.UK (2024) </w:t>
              </w:r>
              <w:r w:rsidRPr="00A5175C">
                <w:rPr>
                  <w:i/>
                  <w:iCs/>
                  <w:noProof/>
                  <w:lang w:val="en-US"/>
                </w:rPr>
                <w:t>Research and stastics</w:t>
              </w:r>
              <w:r>
                <w:rPr>
                  <w:noProof/>
                  <w:lang w:val="en-US"/>
                </w:rPr>
                <w:t xml:space="preserve">. Available at: </w:t>
              </w:r>
              <w:hyperlink r:id="rId45" w:history="1">
                <w:r w:rsidRPr="005D7EBD">
                  <w:rPr>
                    <w:rStyle w:val="Hyperlink"/>
                    <w:noProof/>
                    <w:lang w:val="en-US"/>
                  </w:rPr>
                  <w:t>https://www.gov.uk/search/research-and-statistics?content_store_document_type=upcoming_statistics&amp;public_timestamp%5Bfrom%5D=&amp;public_timestamp%5Bto%5D=</w:t>
                </w:r>
              </w:hyperlink>
              <w:r>
                <w:rPr>
                  <w:noProof/>
                  <w:lang w:val="en-US"/>
                </w:rPr>
                <w:t xml:space="preserve"> (Accessed February 2025). </w:t>
              </w:r>
            </w:p>
            <w:p w14:paraId="36A47DFF" w14:textId="46F99941" w:rsidR="008A4BCE" w:rsidRDefault="008A4BCE" w:rsidP="006775C8">
              <w:pPr>
                <w:pStyle w:val="ListParagraph"/>
                <w:numPr>
                  <w:ilvl w:val="0"/>
                  <w:numId w:val="12"/>
                </w:numPr>
                <w:rPr>
                  <w:noProof/>
                  <w:lang w:val="en-US"/>
                </w:rPr>
              </w:pPr>
              <w:r w:rsidRPr="008A4BCE">
                <w:rPr>
                  <w:noProof/>
                  <w:lang w:val="en-US"/>
                </w:rPr>
                <w:t>Herzberg, F. (1959) The Motivation to Work. 2nd edn. John Wiley &amp; Sons.</w:t>
              </w:r>
            </w:p>
            <w:p w14:paraId="396C7E9E" w14:textId="70E5B02C" w:rsidR="00803B06" w:rsidRDefault="00803B06" w:rsidP="006775C8">
              <w:pPr>
                <w:pStyle w:val="ListParagraph"/>
                <w:numPr>
                  <w:ilvl w:val="0"/>
                  <w:numId w:val="12"/>
                </w:numPr>
                <w:rPr>
                  <w:noProof/>
                  <w:lang w:val="en-US"/>
                </w:rPr>
              </w:pPr>
              <w:r w:rsidRPr="00803B06">
                <w:rPr>
                  <w:noProof/>
                  <w:lang w:val="en-US"/>
                </w:rPr>
                <w:t>Kalev, A. and Dobbin, F. (2022) ‘</w:t>
              </w:r>
              <w:r w:rsidRPr="00803B06">
                <w:rPr>
                  <w:i/>
                  <w:iCs/>
                  <w:noProof/>
                  <w:lang w:val="en-US"/>
                </w:rPr>
                <w:t>The Surprising Benefits of Work/Life Support’</w:t>
              </w:r>
              <w:r w:rsidRPr="00803B06">
                <w:rPr>
                  <w:noProof/>
                  <w:lang w:val="en-US"/>
                </w:rPr>
                <w:t xml:space="preserve">, Harvard Business Review, September. Available at: </w:t>
              </w:r>
              <w:hyperlink r:id="rId46" w:history="1">
                <w:r w:rsidRPr="005D7EBD">
                  <w:rPr>
                    <w:rStyle w:val="Hyperlink"/>
                    <w:noProof/>
                    <w:lang w:val="en-US"/>
                  </w:rPr>
                  <w:t>https://hbr.org/2022/09/the-surprising-benefits-of-work-life-support</w:t>
                </w:r>
              </w:hyperlink>
              <w:r w:rsidRPr="00803B06">
                <w:rPr>
                  <w:noProof/>
                  <w:lang w:val="en-US"/>
                </w:rPr>
                <w:t>.</w:t>
              </w:r>
              <w:r>
                <w:rPr>
                  <w:noProof/>
                  <w:lang w:val="en-US"/>
                </w:rPr>
                <w:t xml:space="preserve"> (Accessed January 2025).</w:t>
              </w:r>
            </w:p>
            <w:p w14:paraId="20C0EB1C" w14:textId="0C2FCF4E" w:rsidR="001F08AB" w:rsidRDefault="001F08AB" w:rsidP="006775C8">
              <w:pPr>
                <w:pStyle w:val="ListParagraph"/>
                <w:numPr>
                  <w:ilvl w:val="0"/>
                  <w:numId w:val="12"/>
                </w:numPr>
                <w:rPr>
                  <w:noProof/>
                  <w:lang w:val="en-US"/>
                </w:rPr>
              </w:pPr>
              <w:r w:rsidRPr="001F08AB">
                <w:rPr>
                  <w:noProof/>
                  <w:lang w:val="en-US"/>
                </w:rPr>
                <w:t xml:space="preserve">Kasanoff, B. (2014) People Are What Matter Most In Business, Forbes. Available at: </w:t>
              </w:r>
              <w:hyperlink r:id="rId47" w:history="1">
                <w:r w:rsidRPr="005D7EBD">
                  <w:rPr>
                    <w:rStyle w:val="Hyperlink"/>
                    <w:noProof/>
                    <w:lang w:val="en-US"/>
                  </w:rPr>
                  <w:t>https://www.forbes.com/sites/brucekasanoff/2014/07/21/people-are-what-matter-most-in-business/</w:t>
                </w:r>
              </w:hyperlink>
              <w:r w:rsidRPr="001F08AB">
                <w:rPr>
                  <w:noProof/>
                  <w:lang w:val="en-US"/>
                </w:rPr>
                <w:t>.</w:t>
              </w:r>
              <w:r>
                <w:rPr>
                  <w:noProof/>
                  <w:lang w:val="en-US"/>
                </w:rPr>
                <w:t xml:space="preserve"> (Accessed February 2025). </w:t>
              </w:r>
            </w:p>
            <w:p w14:paraId="774F9287" w14:textId="724373DD" w:rsidR="0057100F" w:rsidRDefault="0057100F" w:rsidP="006775C8">
              <w:pPr>
                <w:pStyle w:val="ListParagraph"/>
                <w:numPr>
                  <w:ilvl w:val="0"/>
                  <w:numId w:val="12"/>
                </w:numPr>
                <w:rPr>
                  <w:noProof/>
                  <w:lang w:val="en-US"/>
                </w:rPr>
              </w:pPr>
              <w:r w:rsidRPr="0057100F">
                <w:rPr>
                  <w:noProof/>
                  <w:lang w:val="en-US"/>
                </w:rPr>
                <w:t>Liegel, N. et al. (2024) ‘</w:t>
              </w:r>
              <w:r w:rsidRPr="0057100F">
                <w:rPr>
                  <w:i/>
                  <w:iCs/>
                  <w:noProof/>
                  <w:lang w:val="en-US"/>
                </w:rPr>
                <w:t>The effect of performance contingent reward prospects flexibly adapts to more versus less specific task goals’</w:t>
              </w:r>
              <w:r w:rsidRPr="0057100F">
                <w:rPr>
                  <w:noProof/>
                  <w:lang w:val="en-US"/>
                </w:rPr>
                <w:t xml:space="preserve">, Psychophysiology [Preprint]. Available at: </w:t>
              </w:r>
              <w:hyperlink r:id="rId48" w:history="1">
                <w:r w:rsidRPr="005D7EBD">
                  <w:rPr>
                    <w:rStyle w:val="Hyperlink"/>
                    <w:noProof/>
                    <w:lang w:val="en-US"/>
                  </w:rPr>
                  <w:t>https://doi.org/10.1111/psyp.14678</w:t>
                </w:r>
              </w:hyperlink>
              <w:r w:rsidRPr="0057100F">
                <w:rPr>
                  <w:noProof/>
                  <w:lang w:val="en-US"/>
                </w:rPr>
                <w:t>.</w:t>
              </w:r>
              <w:r>
                <w:rPr>
                  <w:noProof/>
                  <w:lang w:val="en-US"/>
                </w:rPr>
                <w:t xml:space="preserve"> (Access Feburayr 2025). </w:t>
              </w:r>
            </w:p>
            <w:p w14:paraId="06FD3DDF" w14:textId="79F64204" w:rsidR="007C03C1" w:rsidRPr="007C03C1" w:rsidRDefault="007C03C1" w:rsidP="006775C8">
              <w:pPr>
                <w:pStyle w:val="ListParagraph"/>
                <w:numPr>
                  <w:ilvl w:val="0"/>
                  <w:numId w:val="12"/>
                </w:numPr>
                <w:rPr>
                  <w:noProof/>
                  <w:lang w:val="en-US"/>
                </w:rPr>
              </w:pPr>
              <w:r w:rsidRPr="007C03C1">
                <w:rPr>
                  <w:noProof/>
                  <w:lang w:val="en-US"/>
                </w:rPr>
                <w:t>Lin, C. (Veronica) et al. (2022) ‘</w:t>
              </w:r>
              <w:r w:rsidRPr="00B345C1">
                <w:rPr>
                  <w:i/>
                  <w:iCs/>
                  <w:noProof/>
                  <w:lang w:val="en-US"/>
                </w:rPr>
                <w:t>Sparking creativity using extrinsic rewards: A self</w:t>
              </w:r>
              <w:r w:rsidRPr="00B345C1">
                <w:rPr>
                  <w:rFonts w:ascii="Cambria Math" w:hAnsi="Cambria Math" w:cs="Cambria Math"/>
                  <w:i/>
                  <w:iCs/>
                  <w:noProof/>
                  <w:lang w:val="en-US"/>
                </w:rPr>
                <w:t>‐</w:t>
              </w:r>
              <w:r w:rsidRPr="00B345C1">
                <w:rPr>
                  <w:i/>
                  <w:iCs/>
                  <w:noProof/>
                  <w:lang w:val="en-US"/>
                </w:rPr>
                <w:t>determination theory perspective</w:t>
              </w:r>
              <w:r w:rsidRPr="007C03C1">
                <w:rPr>
                  <w:rFonts w:cs="Arial"/>
                  <w:noProof/>
                  <w:lang w:val="en-US"/>
                </w:rPr>
                <w:t>’</w:t>
              </w:r>
              <w:r w:rsidRPr="007C03C1">
                <w:rPr>
                  <w:noProof/>
                  <w:lang w:val="en-US"/>
                </w:rPr>
                <w:t>, Human resource management, 61(6), pp. 723</w:t>
              </w:r>
              <w:r w:rsidRPr="007C03C1">
                <w:rPr>
                  <w:rFonts w:cs="Arial"/>
                  <w:noProof/>
                  <w:lang w:val="en-US"/>
                </w:rPr>
                <w:t>–</w:t>
              </w:r>
              <w:r w:rsidRPr="007C03C1">
                <w:rPr>
                  <w:noProof/>
                  <w:lang w:val="en-US"/>
                </w:rPr>
                <w:t xml:space="preserve">735. Available at: </w:t>
              </w:r>
              <w:hyperlink r:id="rId49" w:history="1">
                <w:r w:rsidRPr="005D7EBD">
                  <w:rPr>
                    <w:rStyle w:val="Hyperlink"/>
                    <w:noProof/>
                    <w:lang w:val="en-US"/>
                  </w:rPr>
                  <w:t>https://doi.org/10.1002/hrm.22128</w:t>
                </w:r>
              </w:hyperlink>
              <w:r w:rsidRPr="007C03C1">
                <w:rPr>
                  <w:noProof/>
                  <w:lang w:val="en-US"/>
                </w:rPr>
                <w:t>.</w:t>
              </w:r>
              <w:r>
                <w:rPr>
                  <w:noProof/>
                  <w:lang w:val="en-US"/>
                </w:rPr>
                <w:t xml:space="preserve"> (Accessed January 2025). </w:t>
              </w:r>
            </w:p>
            <w:p w14:paraId="280578EA" w14:textId="2B0F5A05" w:rsidR="00067035" w:rsidRPr="00067035" w:rsidRDefault="00067035" w:rsidP="006775C8">
              <w:pPr>
                <w:pStyle w:val="ListParagraph"/>
                <w:numPr>
                  <w:ilvl w:val="0"/>
                  <w:numId w:val="12"/>
                </w:numPr>
                <w:rPr>
                  <w:noProof/>
                  <w:lang w:val="en-US"/>
                </w:rPr>
              </w:pPr>
              <w:r w:rsidRPr="00067035">
                <w:rPr>
                  <w:noProof/>
                </w:rPr>
                <w:lastRenderedPageBreak/>
                <w:t xml:space="preserve">Lupton, B., Rowe, A. and Whittle, R. (2015) </w:t>
              </w:r>
              <w:r w:rsidRPr="00067035">
                <w:rPr>
                  <w:i/>
                  <w:iCs/>
                  <w:noProof/>
                </w:rPr>
                <w:t>Show me the money: the behavioural science of reward</w:t>
              </w:r>
              <w:r w:rsidRPr="00067035">
                <w:rPr>
                  <w:noProof/>
                </w:rPr>
                <w:t xml:space="preserve">. Research report. London: Chartered Institute of Personnel and Development. Available at: </w:t>
              </w:r>
              <w:hyperlink r:id="rId50" w:history="1">
                <w:r w:rsidRPr="005D7EBD">
                  <w:rPr>
                    <w:rStyle w:val="Hyperlink"/>
                    <w:noProof/>
                  </w:rPr>
                  <w:t>https://www.cipd.org/globalassets/media/knowledge/knowledge-hub/reports/show-me-the-money_2015-behavioural-science-of-reward_tcm18-9560.pdf</w:t>
                </w:r>
              </w:hyperlink>
              <w:r>
                <w:rPr>
                  <w:noProof/>
                </w:rPr>
                <w:t xml:space="preserve"> (Accessed January 2025).</w:t>
              </w:r>
            </w:p>
            <w:p w14:paraId="4700F934" w14:textId="4A61E11A" w:rsidR="0011234C" w:rsidRPr="0011234C" w:rsidRDefault="0011234C" w:rsidP="006775C8">
              <w:pPr>
                <w:pStyle w:val="ListParagraph"/>
                <w:numPr>
                  <w:ilvl w:val="0"/>
                  <w:numId w:val="12"/>
                </w:numPr>
                <w:rPr>
                  <w:noProof/>
                  <w:lang w:val="en-US"/>
                </w:rPr>
              </w:pPr>
              <w:r w:rsidRPr="0011234C">
                <w:rPr>
                  <w:noProof/>
                  <w:lang w:val="en-US"/>
                </w:rPr>
                <w:t>National Minimum Wage Act 1998</w:t>
              </w:r>
              <w:r>
                <w:rPr>
                  <w:noProof/>
                  <w:lang w:val="en-US"/>
                </w:rPr>
                <w:t xml:space="preserve"> c.39 Available at: </w:t>
              </w:r>
              <w:hyperlink r:id="rId51" w:history="1">
                <w:r w:rsidRPr="005D7EBD">
                  <w:rPr>
                    <w:rStyle w:val="Hyperlink"/>
                    <w:noProof/>
                    <w:lang w:val="en-US"/>
                  </w:rPr>
                  <w:t>https://www.legislation.gov.uk/ukpga/1998/39/contents</w:t>
                </w:r>
              </w:hyperlink>
              <w:r>
                <w:rPr>
                  <w:noProof/>
                  <w:lang w:val="en-US"/>
                </w:rPr>
                <w:t xml:space="preserve"> (Accesed January 2025).</w:t>
              </w:r>
            </w:p>
            <w:p w14:paraId="417E1508" w14:textId="1E7B38F5" w:rsidR="00A434B5" w:rsidRPr="00A434B5" w:rsidRDefault="00A434B5" w:rsidP="00A434B5">
              <w:pPr>
                <w:pStyle w:val="ListParagraph"/>
                <w:numPr>
                  <w:ilvl w:val="0"/>
                  <w:numId w:val="12"/>
                </w:numPr>
                <w:rPr>
                  <w:noProof/>
                  <w:lang w:val="en-US"/>
                </w:rPr>
              </w:pPr>
              <w:r>
                <w:rPr>
                  <w:noProof/>
                </w:rPr>
                <w:t>Peters, R</w:t>
              </w:r>
              <w:r w:rsidRPr="00F913F7">
                <w:rPr>
                  <w:noProof/>
                </w:rPr>
                <w:t>. (202</w:t>
              </w:r>
              <w:r>
                <w:rPr>
                  <w:noProof/>
                </w:rPr>
                <w:t>4</w:t>
              </w:r>
              <w:r w:rsidRPr="00F913F7">
                <w:rPr>
                  <w:noProof/>
                </w:rPr>
                <w:t>)</w:t>
              </w:r>
              <w:r>
                <w:rPr>
                  <w:noProof/>
                </w:rPr>
                <w:t xml:space="preserve"> </w:t>
              </w:r>
              <w:r w:rsidRPr="00A434B5">
                <w:rPr>
                  <w:i/>
                  <w:iCs/>
                  <w:noProof/>
                </w:rPr>
                <w:t>The pshycological contract</w:t>
              </w:r>
              <w:r w:rsidRPr="00F913F7">
                <w:rPr>
                  <w:noProof/>
                </w:rPr>
                <w:t xml:space="preserve">. Factsheet. London: Chartered Institute of Personnel and Development. Available at: </w:t>
              </w:r>
              <w:hyperlink r:id="rId52" w:history="1">
                <w:r w:rsidRPr="005D7EBD">
                  <w:rPr>
                    <w:rStyle w:val="Hyperlink"/>
                    <w:noProof/>
                  </w:rPr>
                  <w:t>https://www.cipd.org/uk/knowledge/factsheets/psychological-factsheet/</w:t>
                </w:r>
              </w:hyperlink>
              <w:r>
                <w:rPr>
                  <w:noProof/>
                </w:rPr>
                <w:t xml:space="preserve">  </w:t>
              </w:r>
              <w:r>
                <w:rPr>
                  <w:noProof/>
                </w:rPr>
                <w:t>(Accessed Janaury 2025).</w:t>
              </w:r>
            </w:p>
            <w:p w14:paraId="3CBD6BFA" w14:textId="23C9508F" w:rsidR="003C0D56" w:rsidRDefault="003C0D56" w:rsidP="006775C8">
              <w:pPr>
                <w:pStyle w:val="ListParagraph"/>
                <w:numPr>
                  <w:ilvl w:val="0"/>
                  <w:numId w:val="12"/>
                </w:numPr>
                <w:rPr>
                  <w:noProof/>
                  <w:lang w:val="en-US"/>
                </w:rPr>
              </w:pPr>
              <w:r w:rsidRPr="003C0D56">
                <w:rPr>
                  <w:noProof/>
                  <w:lang w:val="en-US"/>
                </w:rPr>
                <w:t xml:space="preserve">Place, S.J. (2024) </w:t>
              </w:r>
              <w:r w:rsidRPr="003C0D56">
                <w:rPr>
                  <w:i/>
                  <w:iCs/>
                  <w:noProof/>
                  <w:lang w:val="en-US"/>
                </w:rPr>
                <w:t>What you need to know about receiving share options as an employment benefit, St. James’s Place</w:t>
              </w:r>
              <w:r w:rsidRPr="003C0D56">
                <w:rPr>
                  <w:noProof/>
                  <w:lang w:val="en-US"/>
                </w:rPr>
                <w:t xml:space="preserve">. St James’s Place. Available at: </w:t>
              </w:r>
              <w:hyperlink r:id="rId53" w:history="1">
                <w:r w:rsidRPr="005D7EBD">
                  <w:rPr>
                    <w:rStyle w:val="Hyperlink"/>
                    <w:noProof/>
                    <w:lang w:val="en-US"/>
                  </w:rPr>
                  <w:t>https://www.sjp.co.uk/individuals/news/what-you-need-to-know-about-receiving-share-options-as-an-employment-benefit</w:t>
                </w:r>
              </w:hyperlink>
              <w:r>
                <w:rPr>
                  <w:noProof/>
                  <w:lang w:val="en-US"/>
                </w:rPr>
                <w:t xml:space="preserve"> </w:t>
              </w:r>
              <w:r w:rsidRPr="003C0D56">
                <w:rPr>
                  <w:noProof/>
                  <w:lang w:val="en-US"/>
                </w:rPr>
                <w:t>(Accessed</w:t>
              </w:r>
              <w:r>
                <w:rPr>
                  <w:noProof/>
                  <w:lang w:val="en-US"/>
                </w:rPr>
                <w:t xml:space="preserve"> </w:t>
              </w:r>
              <w:r w:rsidRPr="003C0D56">
                <w:rPr>
                  <w:noProof/>
                  <w:lang w:val="en-US"/>
                </w:rPr>
                <w:t>February 2025).</w:t>
              </w:r>
              <w:r>
                <w:rPr>
                  <w:noProof/>
                  <w:lang w:val="en-US"/>
                </w:rPr>
                <w:t xml:space="preserve"> </w:t>
              </w:r>
            </w:p>
            <w:p w14:paraId="13441EA2" w14:textId="701DA7DB" w:rsidR="009E6C5F" w:rsidRPr="009E6C5F" w:rsidRDefault="009E6C5F" w:rsidP="006775C8">
              <w:pPr>
                <w:pStyle w:val="ListParagraph"/>
                <w:numPr>
                  <w:ilvl w:val="0"/>
                  <w:numId w:val="12"/>
                </w:numPr>
                <w:rPr>
                  <w:noProof/>
                  <w:lang w:val="en-US"/>
                </w:rPr>
              </w:pPr>
              <w:r>
                <w:rPr>
                  <w:noProof/>
                  <w:lang w:val="en-US"/>
                </w:rPr>
                <w:t>Sullivan</w:t>
              </w:r>
              <w:r w:rsidRPr="009E6C5F">
                <w:rPr>
                  <w:noProof/>
                  <w:lang w:val="en-US"/>
                </w:rPr>
                <w:t xml:space="preserve">, N., 2010. </w:t>
              </w:r>
              <w:r w:rsidRPr="009E6C5F">
                <w:rPr>
                  <w:i/>
                  <w:iCs/>
                  <w:noProof/>
                  <w:lang w:val="en-US"/>
                </w:rPr>
                <w:t>Pay &amp; Bonuses</w:t>
              </w:r>
              <w:r w:rsidRPr="009E6C5F">
                <w:rPr>
                  <w:i/>
                  <w:iCs/>
                  <w:noProof/>
                  <w:lang w:val="en-US"/>
                </w:rPr>
                <w:t>: Serco introduces pay grade structure for senior staff</w:t>
              </w:r>
              <w:r w:rsidRPr="009E6C5F">
                <w:rPr>
                  <w:noProof/>
                  <w:lang w:val="en-US"/>
                </w:rPr>
                <w:t>. Employee Benefits, , p</w:t>
              </w:r>
              <w:r w:rsidR="00B345C1">
                <w:rPr>
                  <w:noProof/>
                  <w:lang w:val="en-US"/>
                </w:rPr>
                <w:t>p</w:t>
              </w:r>
              <w:r w:rsidRPr="009E6C5F">
                <w:rPr>
                  <w:noProof/>
                  <w:lang w:val="en-US"/>
                </w:rPr>
                <w:t>. 5</w:t>
              </w:r>
              <w:r w:rsidR="00B345C1">
                <w:rPr>
                  <w:noProof/>
                  <w:lang w:val="en-US"/>
                </w:rPr>
                <w:t>-6</w:t>
              </w:r>
              <w:r w:rsidRPr="009E6C5F">
                <w:rPr>
                  <w:noProof/>
                  <w:lang w:val="en-US"/>
                </w:rPr>
                <w:t>.</w:t>
              </w:r>
              <w:r>
                <w:rPr>
                  <w:noProof/>
                  <w:lang w:val="en-US"/>
                </w:rPr>
                <w:t xml:space="preserve"> Available at: </w:t>
              </w:r>
              <w:hyperlink r:id="rId54" w:history="1">
                <w:r w:rsidRPr="005D7EBD">
                  <w:rPr>
                    <w:rStyle w:val="Hyperlink"/>
                    <w:noProof/>
                    <w:lang w:val="en-US"/>
                  </w:rPr>
                  <w:t>https://www.proquest.com/docview/578569335?accountid=130472&amp;parentSessionId=VMbwLcy4xzee%2BRufI1SY8QmvvICh%2FwTjNOcVyxReErU%3D&amp;pq-origsite=primo&amp;sourcetype=Trade%20Journals</w:t>
                </w:r>
              </w:hyperlink>
              <w:r>
                <w:rPr>
                  <w:noProof/>
                  <w:lang w:val="en-US"/>
                </w:rPr>
                <w:t xml:space="preserve"> (Accessed January 2025). </w:t>
              </w:r>
            </w:p>
            <w:p w14:paraId="41D1B5FE" w14:textId="3D313A15" w:rsidR="003C7045" w:rsidRPr="003C7045" w:rsidRDefault="003C7045" w:rsidP="006775C8">
              <w:pPr>
                <w:pStyle w:val="ListParagraph"/>
                <w:numPr>
                  <w:ilvl w:val="0"/>
                  <w:numId w:val="12"/>
                </w:numPr>
                <w:rPr>
                  <w:noProof/>
                  <w:lang w:val="en-US"/>
                </w:rPr>
              </w:pPr>
              <w:r w:rsidRPr="003C7045">
                <w:t>Taylor, S. and Chartered Institute of Personnel and Development. (2022) </w:t>
              </w:r>
              <w:r w:rsidRPr="003C7045">
                <w:rPr>
                  <w:i/>
                  <w:iCs/>
                </w:rPr>
                <w:t xml:space="preserve">Resourcing and talent </w:t>
              </w:r>
              <w:proofErr w:type="gramStart"/>
              <w:r w:rsidRPr="003C7045">
                <w:rPr>
                  <w:i/>
                  <w:iCs/>
                </w:rPr>
                <w:t>management :</w:t>
              </w:r>
              <w:proofErr w:type="gramEnd"/>
              <w:r w:rsidRPr="003C7045">
                <w:rPr>
                  <w:i/>
                  <w:iCs/>
                </w:rPr>
                <w:t xml:space="preserve"> the theory and practice of recruiting and developing a workforce</w:t>
              </w:r>
              <w:r w:rsidRPr="003C7045">
                <w:t xml:space="preserve">. 8th ed. London: </w:t>
              </w:r>
              <w:r w:rsidR="00D67561" w:rsidRPr="003C7045">
                <w:t>Kogan Page</w:t>
              </w:r>
              <w:r w:rsidRPr="003C7045">
                <w:t>.</w:t>
              </w:r>
              <w:r w:rsidRPr="006775C8">
                <w:t xml:space="preserve"> </w:t>
              </w:r>
              <w:r>
                <w:t xml:space="preserve">pp. 234-237 Available at: </w:t>
              </w:r>
              <w:hyperlink r:id="rId55" w:history="1">
                <w:r w:rsidRPr="005D7EBD">
                  <w:rPr>
                    <w:rStyle w:val="Hyperlink"/>
                  </w:rPr>
                  <w:t>https://read.kortext.com/reader/pdf/1127708/235</w:t>
                </w:r>
              </w:hyperlink>
              <w:r>
                <w:t xml:space="preserve"> (Accessed January 2025). </w:t>
              </w:r>
            </w:p>
            <w:p w14:paraId="507B77B3" w14:textId="4D4A98B8" w:rsidR="006775C8" w:rsidRPr="006775C8" w:rsidRDefault="006775C8" w:rsidP="006775C8">
              <w:pPr>
                <w:pStyle w:val="ListParagraph"/>
                <w:numPr>
                  <w:ilvl w:val="0"/>
                  <w:numId w:val="12"/>
                </w:numPr>
                <w:rPr>
                  <w:noProof/>
                  <w:lang w:val="en-US"/>
                </w:rPr>
              </w:pPr>
              <w:r w:rsidRPr="006775C8">
                <w:fldChar w:fldCharType="begin"/>
              </w:r>
              <w:r w:rsidRPr="006775C8">
                <w:instrText xml:space="preserve"> BIBLIOGRAPHY </w:instrText>
              </w:r>
              <w:r w:rsidRPr="006775C8">
                <w:fldChar w:fldCharType="separate"/>
              </w:r>
              <w:r w:rsidRPr="006775C8">
                <w:rPr>
                  <w:noProof/>
                </w:rPr>
                <w:fldChar w:fldCharType="end"/>
              </w:r>
              <w:r w:rsidRPr="006775C8">
                <w:rPr>
                  <w:noProof/>
                  <w:lang w:val="en-US"/>
                </w:rPr>
                <w:t xml:space="preserve">Taylor, S and Woodhams, C (2022). </w:t>
              </w:r>
              <w:r w:rsidRPr="006775C8">
                <w:rPr>
                  <w:i/>
                  <w:noProof/>
                  <w:lang w:val="en-US"/>
                </w:rPr>
                <w:t>Human Resource Management: people and organisations</w:t>
              </w:r>
              <w:r w:rsidRPr="006775C8">
                <w:rPr>
                  <w:noProof/>
                  <w:lang w:val="en-US"/>
                </w:rPr>
                <w:t>. 3</w:t>
              </w:r>
              <w:r w:rsidRPr="006775C8">
                <w:rPr>
                  <w:noProof/>
                  <w:vertAlign w:val="superscript"/>
                  <w:lang w:val="en-US"/>
                </w:rPr>
                <w:t>rd</w:t>
              </w:r>
              <w:r w:rsidRPr="006775C8">
                <w:rPr>
                  <w:noProof/>
                  <w:lang w:val="en-US"/>
                </w:rPr>
                <w:t xml:space="preserve"> Ed. CIPD. Chapter </w:t>
              </w:r>
              <w:r>
                <w:rPr>
                  <w:noProof/>
                  <w:lang w:val="en-US"/>
                </w:rPr>
                <w:t>1</w:t>
              </w:r>
              <w:r w:rsidRPr="006775C8">
                <w:rPr>
                  <w:noProof/>
                  <w:lang w:val="en-US"/>
                </w:rPr>
                <w:t>.</w:t>
              </w:r>
            </w:p>
            <w:p w14:paraId="09A88C7C" w14:textId="11C2CBA8" w:rsidR="00BE03A3" w:rsidRDefault="006775C8" w:rsidP="00B345C1">
              <w:pPr>
                <w:pStyle w:val="ListParagraph"/>
                <w:numPr>
                  <w:ilvl w:val="0"/>
                  <w:numId w:val="12"/>
                </w:numPr>
              </w:pPr>
              <w:r w:rsidRPr="006775C8">
                <w:t xml:space="preserve">Taylor, S and Woodhams, C (2022). Human Resource Management: people and organisations. 3rd Ed. CIPD. </w:t>
              </w:r>
              <w:r w:rsidR="001214EE">
                <w:t>pp 78-</w:t>
              </w:r>
              <w:r w:rsidR="00DC1AE9">
                <w:t>7</w:t>
              </w:r>
              <w:r w:rsidR="001214EE">
                <w:t>9</w:t>
              </w:r>
              <w:r w:rsidRPr="006775C8">
                <w:t>.</w:t>
              </w:r>
            </w:p>
            <w:p w14:paraId="7AB25A18" w14:textId="5982FE16" w:rsidR="00A45BE7" w:rsidRDefault="00A45BE7" w:rsidP="00B345C1">
              <w:pPr>
                <w:pStyle w:val="ListParagraph"/>
                <w:numPr>
                  <w:ilvl w:val="0"/>
                  <w:numId w:val="12"/>
                </w:numPr>
              </w:pPr>
              <w:r w:rsidRPr="00A45BE7">
                <w:t xml:space="preserve">The Equality Act 2010 (Gender Pay Gap Information) Regulations </w:t>
              </w:r>
              <w:r>
                <w:t>(</w:t>
              </w:r>
              <w:r w:rsidRPr="00A45BE7">
                <w:t>2017</w:t>
              </w:r>
              <w:r>
                <w:t>)</w:t>
              </w:r>
              <w:r w:rsidR="00812B96">
                <w:t xml:space="preserve">. Available at: </w:t>
              </w:r>
              <w:hyperlink r:id="rId56" w:history="1">
                <w:r w:rsidR="00812B96" w:rsidRPr="005D7EBD">
                  <w:rPr>
                    <w:rStyle w:val="Hyperlink"/>
                  </w:rPr>
                  <w:t>https://www.legislation.gov.uk/ukdsi/2017/9780111152010</w:t>
                </w:r>
              </w:hyperlink>
              <w:r w:rsidR="00812B96">
                <w:t xml:space="preserve"> (Accessed February 2025). </w:t>
              </w:r>
            </w:p>
            <w:p w14:paraId="2530A7E6" w14:textId="50B63F97" w:rsidR="00373B98" w:rsidRPr="00373B98" w:rsidRDefault="00373B98" w:rsidP="00B345C1">
              <w:pPr>
                <w:pStyle w:val="ListParagraph"/>
                <w:numPr>
                  <w:ilvl w:val="0"/>
                  <w:numId w:val="12"/>
                </w:numPr>
              </w:pPr>
              <w:r w:rsidRPr="00373B98">
                <w:t xml:space="preserve">The National Minimum Wage (Amendment) Regulations </w:t>
              </w:r>
              <w:r>
                <w:t>(</w:t>
              </w:r>
              <w:r w:rsidRPr="00373B98">
                <w:t>2016</w:t>
              </w:r>
              <w:r>
                <w:t xml:space="preserve">) No. 68. Available at: </w:t>
              </w:r>
              <w:hyperlink r:id="rId57" w:history="1">
                <w:r w:rsidRPr="005D7EBD">
                  <w:rPr>
                    <w:rStyle w:val="Hyperlink"/>
                  </w:rPr>
                  <w:t>https://www.legislation.gov.uk/uksi/2016/68/contents/made</w:t>
                </w:r>
              </w:hyperlink>
              <w:r>
                <w:t xml:space="preserve"> (Accessed February 2025).</w:t>
              </w:r>
            </w:p>
            <w:p w14:paraId="61A01DF5" w14:textId="6E49EDB2" w:rsidR="006775C8" w:rsidRDefault="00BE03A3" w:rsidP="00B345C1">
              <w:pPr>
                <w:pStyle w:val="ListParagraph"/>
                <w:numPr>
                  <w:ilvl w:val="0"/>
                  <w:numId w:val="12"/>
                </w:numPr>
              </w:pPr>
              <w:r w:rsidRPr="00BE03A3">
                <w:rPr>
                  <w:i/>
                  <w:iCs/>
                </w:rPr>
                <w:t xml:space="preserve">Workers Expect Employers to Care About Their Lives </w:t>
              </w:r>
              <w:proofErr w:type="gramStart"/>
              <w:r w:rsidRPr="00BE03A3">
                <w:rPr>
                  <w:i/>
                  <w:iCs/>
                </w:rPr>
                <w:t>At</w:t>
              </w:r>
              <w:proofErr w:type="gramEnd"/>
              <w:r w:rsidRPr="00BE03A3">
                <w:rPr>
                  <w:i/>
                  <w:iCs/>
                </w:rPr>
                <w:t xml:space="preserve"> and Outside of Work Amid a State of Permacrisis</w:t>
              </w:r>
              <w:r w:rsidRPr="00BE03A3">
                <w:t> (2024) </w:t>
              </w:r>
              <w:r w:rsidRPr="00BE03A3">
                <w:rPr>
                  <w:i/>
                  <w:iCs/>
                </w:rPr>
                <w:t>Metlife.com</w:t>
              </w:r>
              <w:r w:rsidRPr="00BE03A3">
                <w:t xml:space="preserve">. Available at: </w:t>
              </w:r>
              <w:hyperlink r:id="rId58" w:history="1">
                <w:r w:rsidRPr="005D7EBD">
                  <w:rPr>
                    <w:rStyle w:val="Hyperlink"/>
                  </w:rPr>
                  <w:t>https://www.metlife.com/about-us/newsroom/2024/march/workers-expect-employers-to-care-about-their-lives-at-and-outside-of-work-amid-a-state-of-permacrisis/</w:t>
                </w:r>
              </w:hyperlink>
              <w:r w:rsidRPr="00BE03A3">
                <w:t>.</w:t>
              </w:r>
              <w:r>
                <w:t xml:space="preserve"> (Accessed January 2025). </w:t>
              </w:r>
            </w:p>
          </w:sdtContent>
        </w:sdt>
      </w:sdtContent>
    </w:sdt>
    <w:p w14:paraId="38C12BC1" w14:textId="77777777" w:rsidR="006775C8" w:rsidRDefault="006775C8">
      <w:pPr>
        <w:spacing w:line="240" w:lineRule="auto"/>
        <w:rPr>
          <w:rFonts w:ascii="Trebuchet MS" w:hAnsi="Trebuchet MS"/>
        </w:rPr>
      </w:pPr>
    </w:p>
    <w:p w14:paraId="6E02D670" w14:textId="77777777" w:rsidR="006775C8" w:rsidRDefault="006775C8">
      <w:pPr>
        <w:spacing w:line="240" w:lineRule="auto"/>
        <w:rPr>
          <w:rFonts w:ascii="Trebuchet MS" w:hAnsi="Trebuchet MS"/>
        </w:rPr>
      </w:pPr>
    </w:p>
    <w:p w14:paraId="0375842B" w14:textId="77777777" w:rsidR="006775C8" w:rsidRDefault="006775C8">
      <w:pPr>
        <w:spacing w:line="240" w:lineRule="auto"/>
        <w:rPr>
          <w:rFonts w:ascii="Trebuchet MS" w:hAnsi="Trebuchet MS"/>
        </w:rPr>
      </w:pPr>
    </w:p>
    <w:p w14:paraId="3CA937DC" w14:textId="77777777" w:rsidR="006775C8" w:rsidRDefault="006775C8">
      <w:pPr>
        <w:spacing w:line="240" w:lineRule="auto"/>
        <w:rPr>
          <w:rFonts w:ascii="Trebuchet MS" w:hAnsi="Trebuchet MS"/>
        </w:rPr>
      </w:pPr>
    </w:p>
    <w:p w14:paraId="5F7464B3" w14:textId="77777777" w:rsidR="006775C8" w:rsidRDefault="006775C8">
      <w:pPr>
        <w:spacing w:line="240" w:lineRule="auto"/>
        <w:rPr>
          <w:rFonts w:ascii="Trebuchet MS" w:hAnsi="Trebuchet MS"/>
        </w:rPr>
      </w:pPr>
    </w:p>
    <w:p w14:paraId="5B1EF63F" w14:textId="77777777" w:rsidR="006775C8" w:rsidRDefault="006775C8">
      <w:pPr>
        <w:spacing w:line="240" w:lineRule="auto"/>
        <w:rPr>
          <w:rFonts w:ascii="Trebuchet MS" w:hAnsi="Trebuchet MS"/>
        </w:rPr>
      </w:pPr>
    </w:p>
    <w:p w14:paraId="342A6239" w14:textId="77777777" w:rsidR="006775C8" w:rsidRDefault="006775C8">
      <w:pPr>
        <w:spacing w:line="240" w:lineRule="auto"/>
        <w:rPr>
          <w:rFonts w:ascii="Trebuchet MS" w:hAnsi="Trebuchet MS"/>
        </w:rPr>
      </w:pPr>
    </w:p>
    <w:p w14:paraId="7B9C9B52" w14:textId="77777777" w:rsidR="006775C8" w:rsidRDefault="006775C8">
      <w:pPr>
        <w:spacing w:line="240" w:lineRule="auto"/>
        <w:rPr>
          <w:rFonts w:ascii="Trebuchet MS" w:hAnsi="Trebuchet MS"/>
        </w:rPr>
      </w:pPr>
    </w:p>
    <w:p w14:paraId="074C46A0" w14:textId="77777777" w:rsidR="006775C8" w:rsidRDefault="006775C8">
      <w:pPr>
        <w:spacing w:line="240" w:lineRule="auto"/>
        <w:rPr>
          <w:rFonts w:ascii="Trebuchet MS" w:hAnsi="Trebuchet MS"/>
        </w:rPr>
      </w:pPr>
    </w:p>
    <w:p w14:paraId="2E0910DE" w14:textId="77777777" w:rsidR="006775C8" w:rsidRDefault="006775C8">
      <w:pPr>
        <w:spacing w:line="240" w:lineRule="auto"/>
        <w:rPr>
          <w:rFonts w:ascii="Trebuchet MS" w:hAnsi="Trebuchet MS"/>
        </w:rPr>
      </w:pPr>
    </w:p>
    <w:p w14:paraId="18872B7E" w14:textId="77777777" w:rsidR="006775C8" w:rsidRDefault="006775C8">
      <w:pPr>
        <w:spacing w:line="240" w:lineRule="auto"/>
        <w:rPr>
          <w:rFonts w:ascii="Trebuchet MS" w:hAnsi="Trebuchet MS"/>
        </w:rPr>
      </w:pPr>
    </w:p>
    <w:p w14:paraId="47622EDD" w14:textId="77777777" w:rsidR="006775C8" w:rsidRDefault="006775C8">
      <w:pPr>
        <w:spacing w:line="240" w:lineRule="auto"/>
        <w:rPr>
          <w:rFonts w:ascii="Trebuchet MS" w:hAnsi="Trebuchet MS"/>
        </w:rPr>
      </w:pPr>
    </w:p>
    <w:p w14:paraId="25538DD0" w14:textId="77777777" w:rsidR="006775C8" w:rsidRDefault="006775C8">
      <w:pPr>
        <w:spacing w:line="240" w:lineRule="auto"/>
        <w:rPr>
          <w:rFonts w:ascii="Trebuchet MS" w:hAnsi="Trebuchet MS"/>
        </w:rPr>
      </w:pPr>
    </w:p>
    <w:p w14:paraId="4D6FA372" w14:textId="77777777" w:rsidR="00A73941" w:rsidRPr="00E446B9" w:rsidRDefault="00A73941">
      <w:pPr>
        <w:spacing w:line="240" w:lineRule="auto"/>
        <w:rPr>
          <w:rFonts w:ascii="Trebuchet MS" w:eastAsia="Times New Roman" w:hAnsi="Trebuchet MS" w:cstheme="minorHAnsi"/>
          <w:color w:val="000000"/>
          <w:szCs w:val="22"/>
          <w:lang w:eastAsia="en-GB"/>
        </w:rPr>
      </w:pP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E446B9">
        <w:rPr>
          <w:rFonts w:ascii="Trebuchet MS" w:eastAsia="Times New Roman" w:hAnsi="Trebuchet MS"/>
          <w:lang w:eastAsia="en-GB"/>
        </w:rPr>
        <w:t>as long as</w:t>
      </w:r>
      <w:proofErr w:type="gramEnd"/>
      <w:r w:rsidRPr="00E446B9">
        <w:rPr>
          <w:rFonts w:ascii="Trebuchet MS" w:eastAsia="Times New Roman" w:hAnsi="Trebuchet MS"/>
          <w:lang w:eastAsia="en-GB"/>
        </w:rPr>
        <w:t xml:space="preserve">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 xml:space="preserve">Explain differences between types of </w:t>
            </w:r>
            <w:proofErr w:type="gramStart"/>
            <w:r w:rsidRPr="00235F79">
              <w:rPr>
                <w:rFonts w:ascii="Trebuchet MS" w:eastAsia="Arial" w:hAnsi="Trebuchet MS"/>
                <w:color w:val="004147"/>
              </w:rPr>
              <w:t>grade</w:t>
            </w:r>
            <w:proofErr w:type="gramEnd"/>
            <w:r w:rsidRPr="00235F79">
              <w:rPr>
                <w:rFonts w:ascii="Trebuchet MS" w:eastAsia="Arial" w:hAnsi="Trebuchet MS"/>
                <w:color w:val="004147"/>
              </w:rPr>
              <w:t xml:space="preserv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59"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A404A95" w14:textId="77777777" w:rsidR="007E18B7" w:rsidRDefault="007E18B7" w:rsidP="00005EB5">
            <w:pPr>
              <w:pStyle w:val="NormalWeb"/>
              <w:rPr>
                <w:rFonts w:ascii="Trebuchet MS" w:hAnsi="Trebuchet MS"/>
                <w:szCs w:val="22"/>
              </w:rPr>
            </w:pPr>
            <w:r w:rsidRPr="00082B31">
              <w:rPr>
                <w:rFonts w:ascii="Trebuchet MS" w:hAnsi="Trebuchet MS"/>
                <w:b/>
                <w:bCs/>
                <w:szCs w:val="22"/>
              </w:rPr>
              <w:t>Learner name:</w:t>
            </w:r>
            <w:r w:rsidRPr="00082B31">
              <w:rPr>
                <w:rFonts w:ascii="Trebuchet MS" w:hAnsi="Trebuchet MS"/>
                <w:szCs w:val="22"/>
              </w:rPr>
              <w:t> </w:t>
            </w:r>
          </w:p>
          <w:p w14:paraId="6D7B27F8" w14:textId="305FE13F" w:rsidR="00871718" w:rsidRPr="00082B31" w:rsidRDefault="00871718" w:rsidP="00005EB5">
            <w:pPr>
              <w:pStyle w:val="NormalWeb"/>
              <w:rPr>
                <w:rFonts w:ascii="Trebuchet MS" w:hAnsi="Trebuchet MS"/>
              </w:rPr>
            </w:pPr>
            <w:r>
              <w:rPr>
                <w:rFonts w:ascii="Trebuchet MS" w:hAnsi="Trebuchet MS"/>
              </w:rPr>
              <w:t>Thomas Jones</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63324CCB" w14:textId="77777777" w:rsidR="007E18B7" w:rsidRDefault="007E18B7" w:rsidP="00005EB5">
            <w:pPr>
              <w:pStyle w:val="NormalWeb"/>
              <w:rPr>
                <w:rFonts w:ascii="Trebuchet MS" w:hAnsi="Trebuchet MS"/>
                <w:szCs w:val="22"/>
              </w:rPr>
            </w:pPr>
            <w:r w:rsidRPr="00082B31">
              <w:rPr>
                <w:rFonts w:ascii="Trebuchet MS" w:hAnsi="Trebuchet MS"/>
                <w:b/>
                <w:bCs/>
                <w:szCs w:val="22"/>
              </w:rPr>
              <w:t>Learner signature:</w:t>
            </w:r>
            <w:r w:rsidRPr="00082B31">
              <w:rPr>
                <w:rFonts w:ascii="Trebuchet MS" w:hAnsi="Trebuchet MS"/>
                <w:szCs w:val="22"/>
              </w:rPr>
              <w:t> </w:t>
            </w:r>
          </w:p>
          <w:p w14:paraId="37F9A07C" w14:textId="3B408AD7" w:rsidR="00871718" w:rsidRPr="00082B31" w:rsidRDefault="00871718" w:rsidP="00005EB5">
            <w:pPr>
              <w:pStyle w:val="NormalWeb"/>
              <w:rPr>
                <w:rFonts w:ascii="Trebuchet MS" w:hAnsi="Trebuchet MS"/>
              </w:rPr>
            </w:pPr>
            <w:r>
              <w:rPr>
                <w:rFonts w:ascii="Trebuchet MS" w:hAnsi="Trebuchet MS"/>
                <w:noProof/>
              </w:rPr>
              <w:drawing>
                <wp:inline distT="0" distB="0" distL="0" distR="0" wp14:anchorId="667C89EB" wp14:editId="679ADDEC">
                  <wp:extent cx="1408430" cy="542290"/>
                  <wp:effectExtent l="0" t="0" r="1270" b="0"/>
                  <wp:docPr id="19295352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408430" cy="542290"/>
                          </a:xfrm>
                          <a:prstGeom prst="rect">
                            <a:avLst/>
                          </a:prstGeom>
                          <a:noFill/>
                        </pic:spPr>
                      </pic:pic>
                    </a:graphicData>
                  </a:graphic>
                </wp:inline>
              </w:drawing>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68EC6172" w:rsidR="007E18B7" w:rsidRPr="00082B31" w:rsidRDefault="007E18B7" w:rsidP="00005EB5">
            <w:pPr>
              <w:pStyle w:val="NormalWeb"/>
              <w:rPr>
                <w:rFonts w:ascii="Trebuchet MS" w:hAnsi="Trebuchet MS"/>
              </w:rPr>
            </w:pPr>
            <w:r w:rsidRPr="00082B31">
              <w:rPr>
                <w:rFonts w:ascii="Trebuchet MS" w:hAnsi="Trebuchet MS"/>
                <w:b/>
                <w:bCs/>
                <w:szCs w:val="22"/>
              </w:rPr>
              <w:t>Date</w:t>
            </w:r>
            <w:r w:rsidR="00871718">
              <w:rPr>
                <w:rFonts w:ascii="Trebuchet MS" w:hAnsi="Trebuchet MS"/>
                <w:b/>
                <w:bCs/>
                <w:szCs w:val="22"/>
              </w:rPr>
              <w:t>: 10/02/2025</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6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shd w:val="clear" w:color="auto" w:fill="auto"/>
          </w:tcPr>
          <w:p w14:paraId="71AE8FA9" w14:textId="1BE038EE" w:rsidR="00A30CEF" w:rsidRPr="00E446B9" w:rsidRDefault="002D64F4" w:rsidP="008047E6">
            <w:pPr>
              <w:rPr>
                <w:rFonts w:ascii="Trebuchet MS" w:eastAsia="Arial" w:hAnsi="Trebuchet MS" w:cs="Arial"/>
                <w:i/>
                <w:iCs/>
                <w:color w:val="004147"/>
              </w:rPr>
            </w:pPr>
            <w:r>
              <w:rPr>
                <w:rFonts w:ascii="Trebuchet MS" w:eastAsia="Arial" w:hAnsi="Trebuchet MS" w:cs="Arial"/>
                <w:i/>
                <w:iCs/>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shd w:val="clear" w:color="auto" w:fill="auto"/>
          </w:tcPr>
          <w:p w14:paraId="7D46B1A5" w14:textId="38897CD1" w:rsidR="00A30CEF" w:rsidRPr="00E446B9" w:rsidRDefault="002D64F4" w:rsidP="008047E6">
            <w:pPr>
              <w:rPr>
                <w:rFonts w:ascii="Trebuchet MS" w:eastAsia="Arial" w:hAnsi="Trebuchet MS" w:cs="Arial"/>
                <w:color w:val="004147"/>
              </w:rPr>
            </w:pPr>
            <w:r>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shd w:val="clear" w:color="auto" w:fill="auto"/>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shd w:val="clear" w:color="auto" w:fill="auto"/>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shd w:val="clear" w:color="auto" w:fill="auto"/>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 xml:space="preserve">Explain differences between types of </w:t>
            </w:r>
            <w:proofErr w:type="gramStart"/>
            <w:r w:rsidRPr="0017183C">
              <w:rPr>
                <w:rFonts w:ascii="Trebuchet MS" w:eastAsia="Arial" w:hAnsi="Trebuchet MS"/>
                <w:color w:val="004147"/>
              </w:rPr>
              <w:t>grade</w:t>
            </w:r>
            <w:proofErr w:type="gramEnd"/>
            <w:r w:rsidRPr="0017183C">
              <w:rPr>
                <w:rFonts w:ascii="Trebuchet MS" w:eastAsia="Arial" w:hAnsi="Trebuchet MS"/>
                <w:color w:val="004147"/>
              </w:rPr>
              <w:t xml:space="preserv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shd w:val="clear" w:color="auto" w:fill="auto"/>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shd w:val="clear" w:color="auto" w:fill="auto"/>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shd w:val="clear" w:color="auto" w:fill="auto"/>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shd w:val="clear" w:color="auto" w:fill="auto"/>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shd w:val="clear" w:color="auto" w:fill="auto"/>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shd w:val="clear" w:color="auto" w:fill="auto"/>
          </w:tcPr>
          <w:p w14:paraId="32D70A22" w14:textId="77777777" w:rsidR="00592FD9" w:rsidRDefault="00592FD9">
            <w:pPr>
              <w:spacing w:line="240" w:lineRule="auto"/>
              <w:rPr>
                <w:rFonts w:ascii="Trebuchet MS" w:eastAsia="Arial" w:hAnsi="Trebuchet MS" w:cs="Arial"/>
                <w:b/>
                <w:bCs/>
                <w:color w:val="004147"/>
              </w:rPr>
            </w:pPr>
          </w:p>
        </w:tc>
        <w:tc>
          <w:tcPr>
            <w:tcW w:w="1870" w:type="dxa"/>
            <w:shd w:val="clear" w:color="auto" w:fill="auto"/>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shd w:val="clear" w:color="auto" w:fill="auto"/>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17AFCDBA" w14:textId="0A8B8384" w:rsidR="006B3D98" w:rsidRPr="005D0A62" w:rsidRDefault="006B3D98" w:rsidP="008047E6">
            <w:pPr>
              <w:rPr>
                <w:rFonts w:ascii="Trebuchet MS" w:eastAsia="Arial" w:hAnsi="Trebuchet MS" w:cs="Arial"/>
                <w:i/>
                <w:iCs/>
                <w:color w:val="004147"/>
              </w:rPr>
            </w:pPr>
          </w:p>
        </w:tc>
        <w:tc>
          <w:tcPr>
            <w:tcW w:w="1870" w:type="dxa"/>
            <w:shd w:val="clear" w:color="auto" w:fill="auto"/>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39B86A82" w14:textId="25411773" w:rsidR="006B3D98" w:rsidRPr="005D0A62" w:rsidRDefault="006B3D98" w:rsidP="008047E6">
            <w:pPr>
              <w:rPr>
                <w:rFonts w:ascii="Trebuchet MS" w:eastAsia="Arial" w:hAnsi="Trebuchet MS" w:cs="Arial"/>
                <w:i/>
                <w:iCs/>
                <w:color w:val="004147"/>
              </w:rPr>
            </w:pPr>
          </w:p>
        </w:tc>
        <w:tc>
          <w:tcPr>
            <w:tcW w:w="1870" w:type="dxa"/>
            <w:shd w:val="clear" w:color="auto" w:fill="auto"/>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6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A3CE7" w14:textId="77777777" w:rsidR="001F6221" w:rsidRDefault="001F6221" w:rsidP="00CB3ADD">
      <w:pPr>
        <w:spacing w:line="240" w:lineRule="auto"/>
      </w:pPr>
      <w:r>
        <w:separator/>
      </w:r>
    </w:p>
  </w:endnote>
  <w:endnote w:type="continuationSeparator" w:id="0">
    <w:p w14:paraId="04BC277F" w14:textId="77777777" w:rsidR="001F6221" w:rsidRDefault="001F6221" w:rsidP="00CB3ADD">
      <w:pPr>
        <w:spacing w:line="240" w:lineRule="auto"/>
      </w:pPr>
      <w:r>
        <w:continuationSeparator/>
      </w:r>
    </w:p>
  </w:endnote>
  <w:endnote w:type="continuationNotice" w:id="1">
    <w:p w14:paraId="63047CF3" w14:textId="77777777" w:rsidR="001F6221" w:rsidRDefault="001F62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3C7E565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Version 1</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June</w:t>
    </w:r>
    <w:r w:rsidR="00175761" w:rsidRPr="00A9038D">
      <w:rPr>
        <w:rFonts w:ascii="Trebuchet MS" w:hAnsi="Trebuchet MS"/>
        <w:color w:val="004146"/>
      </w:rPr>
      <w:t xml:space="preserve"> 202</w:t>
    </w:r>
    <w:r w:rsidR="00D154BE" w:rsidRPr="00A9038D">
      <w:rPr>
        <w:rFonts w:ascii="Trebuchet MS" w:hAnsi="Trebuchet MS"/>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0A6D" w14:textId="77777777"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Version 1 – Released June 2024</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F99F3" w14:textId="77777777" w:rsidR="001F6221" w:rsidRDefault="001F6221" w:rsidP="00CB3ADD">
      <w:pPr>
        <w:spacing w:line="240" w:lineRule="auto"/>
      </w:pPr>
      <w:r>
        <w:separator/>
      </w:r>
    </w:p>
  </w:footnote>
  <w:footnote w:type="continuationSeparator" w:id="0">
    <w:p w14:paraId="1897BAE5" w14:textId="77777777" w:rsidR="001F6221" w:rsidRDefault="001F6221" w:rsidP="00CB3ADD">
      <w:pPr>
        <w:spacing w:line="240" w:lineRule="auto"/>
      </w:pPr>
      <w:r>
        <w:continuationSeparator/>
      </w:r>
    </w:p>
  </w:footnote>
  <w:footnote w:type="continuationNotice" w:id="1">
    <w:p w14:paraId="125F4C1A" w14:textId="77777777" w:rsidR="001F6221" w:rsidRDefault="001F622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F3CE3"/>
    <w:multiLevelType w:val="hybridMultilevel"/>
    <w:tmpl w:val="A5FE6E76"/>
    <w:lvl w:ilvl="0" w:tplc="B47A3E70">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6"/>
  </w:num>
  <w:num w:numId="2" w16cid:durableId="1610429741">
    <w:abstractNumId w:val="9"/>
  </w:num>
  <w:num w:numId="3" w16cid:durableId="985203680">
    <w:abstractNumId w:val="7"/>
  </w:num>
  <w:num w:numId="4" w16cid:durableId="1306933392">
    <w:abstractNumId w:val="5"/>
  </w:num>
  <w:num w:numId="5" w16cid:durableId="1020356007">
    <w:abstractNumId w:val="4"/>
  </w:num>
  <w:num w:numId="6" w16cid:durableId="2044673759">
    <w:abstractNumId w:val="3"/>
  </w:num>
  <w:num w:numId="7" w16cid:durableId="1157455954">
    <w:abstractNumId w:val="11"/>
  </w:num>
  <w:num w:numId="8" w16cid:durableId="929629316">
    <w:abstractNumId w:val="10"/>
  </w:num>
  <w:num w:numId="9" w16cid:durableId="228077164">
    <w:abstractNumId w:val="2"/>
  </w:num>
  <w:num w:numId="10" w16cid:durableId="525679807">
    <w:abstractNumId w:val="1"/>
  </w:num>
  <w:num w:numId="11" w16cid:durableId="8864535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36735073">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DateAndTime/>
  <w:proofState w:spelling="clean" w:grammar="clean"/>
  <w:documentProtection w:edit="readOnly" w:formatting="1" w:enforcement="0"/>
  <w:defaultTabStop w:val="720"/>
  <w:characterSpacingControl w:val="doNotCompress"/>
  <w:hdrShapeDefaults>
    <o:shapedefaults v:ext="edit" spidmax="2052"/>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065"/>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35"/>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9676C"/>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350"/>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08D"/>
    <w:rsid w:val="001064DF"/>
    <w:rsid w:val="00106959"/>
    <w:rsid w:val="001108BC"/>
    <w:rsid w:val="00111723"/>
    <w:rsid w:val="00111F93"/>
    <w:rsid w:val="001122BB"/>
    <w:rsid w:val="0011234C"/>
    <w:rsid w:val="00112539"/>
    <w:rsid w:val="00112B96"/>
    <w:rsid w:val="001156C4"/>
    <w:rsid w:val="00115E0A"/>
    <w:rsid w:val="001160A9"/>
    <w:rsid w:val="00117A1D"/>
    <w:rsid w:val="00117E38"/>
    <w:rsid w:val="001214EE"/>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4951"/>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C6644"/>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02A2"/>
    <w:rsid w:val="001F08AB"/>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4EE"/>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580"/>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40C2"/>
    <w:rsid w:val="002D5374"/>
    <w:rsid w:val="002D5484"/>
    <w:rsid w:val="002D64F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49"/>
    <w:rsid w:val="002F6AB9"/>
    <w:rsid w:val="002F6BBA"/>
    <w:rsid w:val="003013AE"/>
    <w:rsid w:val="00302132"/>
    <w:rsid w:val="0030394A"/>
    <w:rsid w:val="003043B1"/>
    <w:rsid w:val="003049AA"/>
    <w:rsid w:val="00310552"/>
    <w:rsid w:val="00311E56"/>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0E70"/>
    <w:rsid w:val="00341431"/>
    <w:rsid w:val="00342397"/>
    <w:rsid w:val="00342AB2"/>
    <w:rsid w:val="00343612"/>
    <w:rsid w:val="003447E5"/>
    <w:rsid w:val="0034591D"/>
    <w:rsid w:val="00345985"/>
    <w:rsid w:val="003504EF"/>
    <w:rsid w:val="00350F2C"/>
    <w:rsid w:val="0035372B"/>
    <w:rsid w:val="00353C15"/>
    <w:rsid w:val="00353EE1"/>
    <w:rsid w:val="00354521"/>
    <w:rsid w:val="00354F67"/>
    <w:rsid w:val="00355E75"/>
    <w:rsid w:val="00356D8A"/>
    <w:rsid w:val="0036056D"/>
    <w:rsid w:val="00360793"/>
    <w:rsid w:val="0036325B"/>
    <w:rsid w:val="00363742"/>
    <w:rsid w:val="003639D1"/>
    <w:rsid w:val="00363D3C"/>
    <w:rsid w:val="00366E51"/>
    <w:rsid w:val="0036767F"/>
    <w:rsid w:val="0037202B"/>
    <w:rsid w:val="00372708"/>
    <w:rsid w:val="00372A52"/>
    <w:rsid w:val="003738A1"/>
    <w:rsid w:val="00373B98"/>
    <w:rsid w:val="003741F6"/>
    <w:rsid w:val="00374986"/>
    <w:rsid w:val="0037743C"/>
    <w:rsid w:val="00377440"/>
    <w:rsid w:val="00380170"/>
    <w:rsid w:val="00381ED9"/>
    <w:rsid w:val="00383272"/>
    <w:rsid w:val="003833D1"/>
    <w:rsid w:val="00383668"/>
    <w:rsid w:val="00385124"/>
    <w:rsid w:val="00386814"/>
    <w:rsid w:val="0038716F"/>
    <w:rsid w:val="003875D9"/>
    <w:rsid w:val="00387640"/>
    <w:rsid w:val="00391264"/>
    <w:rsid w:val="0039172C"/>
    <w:rsid w:val="00393666"/>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0DF"/>
    <w:rsid w:val="003B6A2C"/>
    <w:rsid w:val="003B703E"/>
    <w:rsid w:val="003C0D56"/>
    <w:rsid w:val="003C0EA5"/>
    <w:rsid w:val="003C440C"/>
    <w:rsid w:val="003C46B4"/>
    <w:rsid w:val="003C5730"/>
    <w:rsid w:val="003C5FEB"/>
    <w:rsid w:val="003C64C9"/>
    <w:rsid w:val="003C7045"/>
    <w:rsid w:val="003D0C08"/>
    <w:rsid w:val="003D1792"/>
    <w:rsid w:val="003D1892"/>
    <w:rsid w:val="003D2E41"/>
    <w:rsid w:val="003D4F79"/>
    <w:rsid w:val="003D5D14"/>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4F65"/>
    <w:rsid w:val="00415E0F"/>
    <w:rsid w:val="00415FA4"/>
    <w:rsid w:val="00420079"/>
    <w:rsid w:val="00421F36"/>
    <w:rsid w:val="0042507B"/>
    <w:rsid w:val="0042522D"/>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361E"/>
    <w:rsid w:val="004638C8"/>
    <w:rsid w:val="00466CA7"/>
    <w:rsid w:val="0047138B"/>
    <w:rsid w:val="004723DF"/>
    <w:rsid w:val="00473885"/>
    <w:rsid w:val="00474724"/>
    <w:rsid w:val="00477AF1"/>
    <w:rsid w:val="0048076B"/>
    <w:rsid w:val="004815AF"/>
    <w:rsid w:val="00482CA3"/>
    <w:rsid w:val="00483E7B"/>
    <w:rsid w:val="00485119"/>
    <w:rsid w:val="004852E5"/>
    <w:rsid w:val="00485D59"/>
    <w:rsid w:val="004901DF"/>
    <w:rsid w:val="00492263"/>
    <w:rsid w:val="00494725"/>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215"/>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4A5"/>
    <w:rsid w:val="004E178B"/>
    <w:rsid w:val="004E2980"/>
    <w:rsid w:val="004E3E2A"/>
    <w:rsid w:val="004E5FCD"/>
    <w:rsid w:val="004F1146"/>
    <w:rsid w:val="004F1156"/>
    <w:rsid w:val="004F35E3"/>
    <w:rsid w:val="004F54D4"/>
    <w:rsid w:val="004F5C54"/>
    <w:rsid w:val="004F5DD7"/>
    <w:rsid w:val="004F7504"/>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17426"/>
    <w:rsid w:val="005200EE"/>
    <w:rsid w:val="00520AC1"/>
    <w:rsid w:val="00520F9A"/>
    <w:rsid w:val="00520FB7"/>
    <w:rsid w:val="0052200B"/>
    <w:rsid w:val="005234F9"/>
    <w:rsid w:val="005257DE"/>
    <w:rsid w:val="005258B3"/>
    <w:rsid w:val="00526299"/>
    <w:rsid w:val="005303A1"/>
    <w:rsid w:val="00531528"/>
    <w:rsid w:val="005318E6"/>
    <w:rsid w:val="00532EFC"/>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7AE"/>
    <w:rsid w:val="00555F12"/>
    <w:rsid w:val="00556CD1"/>
    <w:rsid w:val="00557F51"/>
    <w:rsid w:val="005625CE"/>
    <w:rsid w:val="00562A6C"/>
    <w:rsid w:val="0056311B"/>
    <w:rsid w:val="00563BF6"/>
    <w:rsid w:val="00563DC4"/>
    <w:rsid w:val="005647C2"/>
    <w:rsid w:val="00564D16"/>
    <w:rsid w:val="005670A3"/>
    <w:rsid w:val="005704ED"/>
    <w:rsid w:val="0057100F"/>
    <w:rsid w:val="00571336"/>
    <w:rsid w:val="00573D64"/>
    <w:rsid w:val="005766D9"/>
    <w:rsid w:val="00577DBE"/>
    <w:rsid w:val="00584410"/>
    <w:rsid w:val="00590DC5"/>
    <w:rsid w:val="00590DE8"/>
    <w:rsid w:val="005926BD"/>
    <w:rsid w:val="00592FD9"/>
    <w:rsid w:val="00594BC3"/>
    <w:rsid w:val="00594CAE"/>
    <w:rsid w:val="00595206"/>
    <w:rsid w:val="00595FE9"/>
    <w:rsid w:val="005A0191"/>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4AEE"/>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11E6"/>
    <w:rsid w:val="00622DB1"/>
    <w:rsid w:val="0062439D"/>
    <w:rsid w:val="006243B2"/>
    <w:rsid w:val="006259DA"/>
    <w:rsid w:val="00630481"/>
    <w:rsid w:val="00634151"/>
    <w:rsid w:val="0063614D"/>
    <w:rsid w:val="006367AF"/>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5C8"/>
    <w:rsid w:val="00677847"/>
    <w:rsid w:val="00680FB8"/>
    <w:rsid w:val="00681537"/>
    <w:rsid w:val="00682463"/>
    <w:rsid w:val="00683281"/>
    <w:rsid w:val="006847E5"/>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1D43"/>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0305"/>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37E22"/>
    <w:rsid w:val="00740853"/>
    <w:rsid w:val="00740D87"/>
    <w:rsid w:val="0074165E"/>
    <w:rsid w:val="00741F2C"/>
    <w:rsid w:val="00742E74"/>
    <w:rsid w:val="00743C23"/>
    <w:rsid w:val="00744B45"/>
    <w:rsid w:val="007453B8"/>
    <w:rsid w:val="00751689"/>
    <w:rsid w:val="00753630"/>
    <w:rsid w:val="00753D34"/>
    <w:rsid w:val="007548C7"/>
    <w:rsid w:val="00755E9D"/>
    <w:rsid w:val="007611D7"/>
    <w:rsid w:val="00763200"/>
    <w:rsid w:val="007634AE"/>
    <w:rsid w:val="0076416E"/>
    <w:rsid w:val="00764B6D"/>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3C1"/>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3B06"/>
    <w:rsid w:val="008042D4"/>
    <w:rsid w:val="008047E6"/>
    <w:rsid w:val="00804E35"/>
    <w:rsid w:val="00805B47"/>
    <w:rsid w:val="00805F91"/>
    <w:rsid w:val="00806EF0"/>
    <w:rsid w:val="00807040"/>
    <w:rsid w:val="00807490"/>
    <w:rsid w:val="00807C91"/>
    <w:rsid w:val="008111FC"/>
    <w:rsid w:val="00812B96"/>
    <w:rsid w:val="00812BDA"/>
    <w:rsid w:val="00812E80"/>
    <w:rsid w:val="008130E7"/>
    <w:rsid w:val="0081326B"/>
    <w:rsid w:val="00814061"/>
    <w:rsid w:val="00815739"/>
    <w:rsid w:val="008157DA"/>
    <w:rsid w:val="00815A89"/>
    <w:rsid w:val="00815CD9"/>
    <w:rsid w:val="00817343"/>
    <w:rsid w:val="00817A30"/>
    <w:rsid w:val="00820E68"/>
    <w:rsid w:val="00821712"/>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9C7"/>
    <w:rsid w:val="00862EE5"/>
    <w:rsid w:val="0086602B"/>
    <w:rsid w:val="00867B34"/>
    <w:rsid w:val="00870A67"/>
    <w:rsid w:val="0087114F"/>
    <w:rsid w:val="00871718"/>
    <w:rsid w:val="00872CE4"/>
    <w:rsid w:val="00873A20"/>
    <w:rsid w:val="00873B96"/>
    <w:rsid w:val="00874B81"/>
    <w:rsid w:val="00875B1D"/>
    <w:rsid w:val="00880139"/>
    <w:rsid w:val="00880AD1"/>
    <w:rsid w:val="008832F0"/>
    <w:rsid w:val="00883855"/>
    <w:rsid w:val="008838F9"/>
    <w:rsid w:val="00884500"/>
    <w:rsid w:val="008845A2"/>
    <w:rsid w:val="00884C28"/>
    <w:rsid w:val="0088534E"/>
    <w:rsid w:val="00886363"/>
    <w:rsid w:val="00887BB4"/>
    <w:rsid w:val="00890CD4"/>
    <w:rsid w:val="00892EED"/>
    <w:rsid w:val="008948AF"/>
    <w:rsid w:val="00895376"/>
    <w:rsid w:val="008957E9"/>
    <w:rsid w:val="008971B0"/>
    <w:rsid w:val="008A146C"/>
    <w:rsid w:val="008A1949"/>
    <w:rsid w:val="008A3B50"/>
    <w:rsid w:val="008A4BCE"/>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5E25"/>
    <w:rsid w:val="008E758A"/>
    <w:rsid w:val="008E75CF"/>
    <w:rsid w:val="008E7892"/>
    <w:rsid w:val="008F002C"/>
    <w:rsid w:val="008F0255"/>
    <w:rsid w:val="008F0D9D"/>
    <w:rsid w:val="008F1EDC"/>
    <w:rsid w:val="008F3368"/>
    <w:rsid w:val="008F34F9"/>
    <w:rsid w:val="008F3A5E"/>
    <w:rsid w:val="008F3E9F"/>
    <w:rsid w:val="008F5041"/>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5C54"/>
    <w:rsid w:val="00937657"/>
    <w:rsid w:val="009400A9"/>
    <w:rsid w:val="00940D8B"/>
    <w:rsid w:val="00943A55"/>
    <w:rsid w:val="00943D5F"/>
    <w:rsid w:val="009445DF"/>
    <w:rsid w:val="00945603"/>
    <w:rsid w:val="00946B11"/>
    <w:rsid w:val="009476AA"/>
    <w:rsid w:val="009502D0"/>
    <w:rsid w:val="0095126E"/>
    <w:rsid w:val="0095142A"/>
    <w:rsid w:val="00952230"/>
    <w:rsid w:val="0095279A"/>
    <w:rsid w:val="0095366D"/>
    <w:rsid w:val="00954929"/>
    <w:rsid w:val="0095508F"/>
    <w:rsid w:val="00956003"/>
    <w:rsid w:val="009568A7"/>
    <w:rsid w:val="00956973"/>
    <w:rsid w:val="00956E79"/>
    <w:rsid w:val="00957C73"/>
    <w:rsid w:val="009636E9"/>
    <w:rsid w:val="00964A2B"/>
    <w:rsid w:val="00965DD2"/>
    <w:rsid w:val="00965E0E"/>
    <w:rsid w:val="00966BA7"/>
    <w:rsid w:val="00967D45"/>
    <w:rsid w:val="00967EDA"/>
    <w:rsid w:val="00970C63"/>
    <w:rsid w:val="009718D8"/>
    <w:rsid w:val="00973456"/>
    <w:rsid w:val="00973F97"/>
    <w:rsid w:val="00974A2C"/>
    <w:rsid w:val="009750A4"/>
    <w:rsid w:val="009760C3"/>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97E51"/>
    <w:rsid w:val="009A06DD"/>
    <w:rsid w:val="009A0708"/>
    <w:rsid w:val="009A1055"/>
    <w:rsid w:val="009A1AFB"/>
    <w:rsid w:val="009A1C85"/>
    <w:rsid w:val="009A1FE7"/>
    <w:rsid w:val="009A4791"/>
    <w:rsid w:val="009A63A0"/>
    <w:rsid w:val="009A6611"/>
    <w:rsid w:val="009A7F42"/>
    <w:rsid w:val="009B00EA"/>
    <w:rsid w:val="009B2001"/>
    <w:rsid w:val="009B275F"/>
    <w:rsid w:val="009B4470"/>
    <w:rsid w:val="009B4725"/>
    <w:rsid w:val="009B538C"/>
    <w:rsid w:val="009B6526"/>
    <w:rsid w:val="009B7198"/>
    <w:rsid w:val="009B74F2"/>
    <w:rsid w:val="009C0E74"/>
    <w:rsid w:val="009C19EF"/>
    <w:rsid w:val="009C2A34"/>
    <w:rsid w:val="009C3E7B"/>
    <w:rsid w:val="009C41D1"/>
    <w:rsid w:val="009C5E03"/>
    <w:rsid w:val="009C75FB"/>
    <w:rsid w:val="009D07C6"/>
    <w:rsid w:val="009D0C35"/>
    <w:rsid w:val="009D28B6"/>
    <w:rsid w:val="009D404E"/>
    <w:rsid w:val="009D4299"/>
    <w:rsid w:val="009D50B1"/>
    <w:rsid w:val="009D5135"/>
    <w:rsid w:val="009D5C02"/>
    <w:rsid w:val="009D6C5F"/>
    <w:rsid w:val="009D6CA1"/>
    <w:rsid w:val="009E2912"/>
    <w:rsid w:val="009E3F81"/>
    <w:rsid w:val="009E5153"/>
    <w:rsid w:val="009E5AB6"/>
    <w:rsid w:val="009E6C5F"/>
    <w:rsid w:val="009E7840"/>
    <w:rsid w:val="009F0376"/>
    <w:rsid w:val="009F0436"/>
    <w:rsid w:val="009F0B2F"/>
    <w:rsid w:val="009F17DB"/>
    <w:rsid w:val="009F2A45"/>
    <w:rsid w:val="009F392C"/>
    <w:rsid w:val="009F4350"/>
    <w:rsid w:val="009F4455"/>
    <w:rsid w:val="009F5EB6"/>
    <w:rsid w:val="009F60C2"/>
    <w:rsid w:val="009F63CF"/>
    <w:rsid w:val="009F750D"/>
    <w:rsid w:val="009F7D0C"/>
    <w:rsid w:val="00A001FF"/>
    <w:rsid w:val="00A017B4"/>
    <w:rsid w:val="00A02A1E"/>
    <w:rsid w:val="00A03D0F"/>
    <w:rsid w:val="00A05700"/>
    <w:rsid w:val="00A05776"/>
    <w:rsid w:val="00A06F8E"/>
    <w:rsid w:val="00A07CDD"/>
    <w:rsid w:val="00A10346"/>
    <w:rsid w:val="00A1133C"/>
    <w:rsid w:val="00A113B1"/>
    <w:rsid w:val="00A12E3E"/>
    <w:rsid w:val="00A15ADE"/>
    <w:rsid w:val="00A179EA"/>
    <w:rsid w:val="00A21D7D"/>
    <w:rsid w:val="00A224CD"/>
    <w:rsid w:val="00A247AD"/>
    <w:rsid w:val="00A25344"/>
    <w:rsid w:val="00A259EA"/>
    <w:rsid w:val="00A25B5F"/>
    <w:rsid w:val="00A25DD5"/>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4B5"/>
    <w:rsid w:val="00A438EC"/>
    <w:rsid w:val="00A4569E"/>
    <w:rsid w:val="00A45BE7"/>
    <w:rsid w:val="00A45FB5"/>
    <w:rsid w:val="00A47682"/>
    <w:rsid w:val="00A47CD3"/>
    <w:rsid w:val="00A51546"/>
    <w:rsid w:val="00A5175C"/>
    <w:rsid w:val="00A56D04"/>
    <w:rsid w:val="00A57E1D"/>
    <w:rsid w:val="00A603DE"/>
    <w:rsid w:val="00A6068A"/>
    <w:rsid w:val="00A610B3"/>
    <w:rsid w:val="00A62D59"/>
    <w:rsid w:val="00A7103C"/>
    <w:rsid w:val="00A72C4F"/>
    <w:rsid w:val="00A7312A"/>
    <w:rsid w:val="00A73941"/>
    <w:rsid w:val="00A73959"/>
    <w:rsid w:val="00A7401F"/>
    <w:rsid w:val="00A75077"/>
    <w:rsid w:val="00A75E7A"/>
    <w:rsid w:val="00A765B6"/>
    <w:rsid w:val="00A76BC2"/>
    <w:rsid w:val="00A76E51"/>
    <w:rsid w:val="00A77BE8"/>
    <w:rsid w:val="00A81F90"/>
    <w:rsid w:val="00A82B21"/>
    <w:rsid w:val="00A8532C"/>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5EC2"/>
    <w:rsid w:val="00AE61DE"/>
    <w:rsid w:val="00AE6F50"/>
    <w:rsid w:val="00AE70A4"/>
    <w:rsid w:val="00AF00A2"/>
    <w:rsid w:val="00AF1555"/>
    <w:rsid w:val="00AF1A13"/>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94C"/>
    <w:rsid w:val="00B23CE2"/>
    <w:rsid w:val="00B24ADA"/>
    <w:rsid w:val="00B275D2"/>
    <w:rsid w:val="00B3193A"/>
    <w:rsid w:val="00B31A86"/>
    <w:rsid w:val="00B3350A"/>
    <w:rsid w:val="00B3357A"/>
    <w:rsid w:val="00B33DA8"/>
    <w:rsid w:val="00B33E32"/>
    <w:rsid w:val="00B34523"/>
    <w:rsid w:val="00B345C1"/>
    <w:rsid w:val="00B34D31"/>
    <w:rsid w:val="00B353E0"/>
    <w:rsid w:val="00B36434"/>
    <w:rsid w:val="00B36EB0"/>
    <w:rsid w:val="00B433A8"/>
    <w:rsid w:val="00B43B77"/>
    <w:rsid w:val="00B451B1"/>
    <w:rsid w:val="00B45C20"/>
    <w:rsid w:val="00B46121"/>
    <w:rsid w:val="00B51E29"/>
    <w:rsid w:val="00B52405"/>
    <w:rsid w:val="00B52FA3"/>
    <w:rsid w:val="00B53853"/>
    <w:rsid w:val="00B54CE7"/>
    <w:rsid w:val="00B609E3"/>
    <w:rsid w:val="00B60C4D"/>
    <w:rsid w:val="00B617AE"/>
    <w:rsid w:val="00B61F48"/>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03A3"/>
    <w:rsid w:val="00BE1CF4"/>
    <w:rsid w:val="00BE3ACD"/>
    <w:rsid w:val="00BE5047"/>
    <w:rsid w:val="00BE51B1"/>
    <w:rsid w:val="00BF03E1"/>
    <w:rsid w:val="00BF1978"/>
    <w:rsid w:val="00BF300D"/>
    <w:rsid w:val="00BF3225"/>
    <w:rsid w:val="00BF3B30"/>
    <w:rsid w:val="00BF56A9"/>
    <w:rsid w:val="00BF6F1A"/>
    <w:rsid w:val="00BF7592"/>
    <w:rsid w:val="00BF79BD"/>
    <w:rsid w:val="00C0038F"/>
    <w:rsid w:val="00C00F21"/>
    <w:rsid w:val="00C01689"/>
    <w:rsid w:val="00C01B10"/>
    <w:rsid w:val="00C01FBA"/>
    <w:rsid w:val="00C02FB1"/>
    <w:rsid w:val="00C03279"/>
    <w:rsid w:val="00C0550C"/>
    <w:rsid w:val="00C11C4D"/>
    <w:rsid w:val="00C14D63"/>
    <w:rsid w:val="00C16045"/>
    <w:rsid w:val="00C1612F"/>
    <w:rsid w:val="00C20158"/>
    <w:rsid w:val="00C205BF"/>
    <w:rsid w:val="00C233AA"/>
    <w:rsid w:val="00C24B61"/>
    <w:rsid w:val="00C26025"/>
    <w:rsid w:val="00C26771"/>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4167"/>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487B"/>
    <w:rsid w:val="00CB5378"/>
    <w:rsid w:val="00CB587F"/>
    <w:rsid w:val="00CB58B0"/>
    <w:rsid w:val="00CB5CFB"/>
    <w:rsid w:val="00CB60B0"/>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39E3"/>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206"/>
    <w:rsid w:val="00D17452"/>
    <w:rsid w:val="00D20992"/>
    <w:rsid w:val="00D20E21"/>
    <w:rsid w:val="00D2164A"/>
    <w:rsid w:val="00D21E9B"/>
    <w:rsid w:val="00D233AF"/>
    <w:rsid w:val="00D238C3"/>
    <w:rsid w:val="00D23DD5"/>
    <w:rsid w:val="00D27A06"/>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4C8"/>
    <w:rsid w:val="00D51E87"/>
    <w:rsid w:val="00D53256"/>
    <w:rsid w:val="00D53D10"/>
    <w:rsid w:val="00D54D65"/>
    <w:rsid w:val="00D56832"/>
    <w:rsid w:val="00D57231"/>
    <w:rsid w:val="00D57799"/>
    <w:rsid w:val="00D610B8"/>
    <w:rsid w:val="00D62CDE"/>
    <w:rsid w:val="00D633A3"/>
    <w:rsid w:val="00D63ADB"/>
    <w:rsid w:val="00D64809"/>
    <w:rsid w:val="00D64BEB"/>
    <w:rsid w:val="00D65459"/>
    <w:rsid w:val="00D67232"/>
    <w:rsid w:val="00D67561"/>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2894"/>
    <w:rsid w:val="00DA5CD9"/>
    <w:rsid w:val="00DA5F2D"/>
    <w:rsid w:val="00DA6841"/>
    <w:rsid w:val="00DA6B29"/>
    <w:rsid w:val="00DA7A89"/>
    <w:rsid w:val="00DB04F6"/>
    <w:rsid w:val="00DB063D"/>
    <w:rsid w:val="00DB0750"/>
    <w:rsid w:val="00DB1489"/>
    <w:rsid w:val="00DB1A7A"/>
    <w:rsid w:val="00DB2827"/>
    <w:rsid w:val="00DB3287"/>
    <w:rsid w:val="00DB3A9D"/>
    <w:rsid w:val="00DB5064"/>
    <w:rsid w:val="00DB5564"/>
    <w:rsid w:val="00DB5F66"/>
    <w:rsid w:val="00DB717E"/>
    <w:rsid w:val="00DC1AE9"/>
    <w:rsid w:val="00DC2FDA"/>
    <w:rsid w:val="00DC3338"/>
    <w:rsid w:val="00DC50FE"/>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0181"/>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38C2"/>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6D85"/>
    <w:rsid w:val="00E6710C"/>
    <w:rsid w:val="00E67B82"/>
    <w:rsid w:val="00E714CE"/>
    <w:rsid w:val="00E71863"/>
    <w:rsid w:val="00E7209E"/>
    <w:rsid w:val="00E743E4"/>
    <w:rsid w:val="00E751A2"/>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7119"/>
    <w:rsid w:val="00EB7FEE"/>
    <w:rsid w:val="00EC1E69"/>
    <w:rsid w:val="00EC38A8"/>
    <w:rsid w:val="00EC3E42"/>
    <w:rsid w:val="00EC4030"/>
    <w:rsid w:val="00EC4A0C"/>
    <w:rsid w:val="00EC4FE4"/>
    <w:rsid w:val="00EC58F9"/>
    <w:rsid w:val="00EC5AE6"/>
    <w:rsid w:val="00EC6000"/>
    <w:rsid w:val="00EC66DE"/>
    <w:rsid w:val="00EC687D"/>
    <w:rsid w:val="00EC6900"/>
    <w:rsid w:val="00EC7FF4"/>
    <w:rsid w:val="00ED0030"/>
    <w:rsid w:val="00ED0298"/>
    <w:rsid w:val="00ED0EB9"/>
    <w:rsid w:val="00ED3887"/>
    <w:rsid w:val="00ED3D89"/>
    <w:rsid w:val="00ED4A4E"/>
    <w:rsid w:val="00ED5DF5"/>
    <w:rsid w:val="00ED5F50"/>
    <w:rsid w:val="00ED7518"/>
    <w:rsid w:val="00EE033A"/>
    <w:rsid w:val="00EE1355"/>
    <w:rsid w:val="00EE1E6D"/>
    <w:rsid w:val="00EE4C7B"/>
    <w:rsid w:val="00EE61B2"/>
    <w:rsid w:val="00EE753A"/>
    <w:rsid w:val="00EF03F1"/>
    <w:rsid w:val="00EF0A1E"/>
    <w:rsid w:val="00EF1456"/>
    <w:rsid w:val="00EF170B"/>
    <w:rsid w:val="00EF4578"/>
    <w:rsid w:val="00EF47A6"/>
    <w:rsid w:val="00EF4D30"/>
    <w:rsid w:val="00EF55A3"/>
    <w:rsid w:val="00EF56CC"/>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1DFD"/>
    <w:rsid w:val="00F2250D"/>
    <w:rsid w:val="00F233CF"/>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3E3E"/>
    <w:rsid w:val="00F4428F"/>
    <w:rsid w:val="00F45258"/>
    <w:rsid w:val="00F461B0"/>
    <w:rsid w:val="00F475B2"/>
    <w:rsid w:val="00F519F2"/>
    <w:rsid w:val="00F52FC4"/>
    <w:rsid w:val="00F53FBB"/>
    <w:rsid w:val="00F54837"/>
    <w:rsid w:val="00F55D62"/>
    <w:rsid w:val="00F56F8C"/>
    <w:rsid w:val="00F608F8"/>
    <w:rsid w:val="00F612E5"/>
    <w:rsid w:val="00F62267"/>
    <w:rsid w:val="00F6239C"/>
    <w:rsid w:val="00F62D41"/>
    <w:rsid w:val="00F64772"/>
    <w:rsid w:val="00F652B9"/>
    <w:rsid w:val="00F6559D"/>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1E9"/>
    <w:rsid w:val="00F812F5"/>
    <w:rsid w:val="00F819F6"/>
    <w:rsid w:val="00F83BF6"/>
    <w:rsid w:val="00F8491A"/>
    <w:rsid w:val="00F852C4"/>
    <w:rsid w:val="00F868D5"/>
    <w:rsid w:val="00F87181"/>
    <w:rsid w:val="00F913F7"/>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2F2F"/>
    <w:rsid w:val="00FD3F00"/>
    <w:rsid w:val="00FD3F3C"/>
    <w:rsid w:val="00FD4BE3"/>
    <w:rsid w:val="00FD5259"/>
    <w:rsid w:val="00FD5FCF"/>
    <w:rsid w:val="00FE0F46"/>
    <w:rsid w:val="00FE1993"/>
    <w:rsid w:val="00FE2A35"/>
    <w:rsid w:val="00FE3432"/>
    <w:rsid w:val="00FE6C93"/>
    <w:rsid w:val="00FE7921"/>
    <w:rsid w:val="00FF19FD"/>
    <w:rsid w:val="00FF20CA"/>
    <w:rsid w:val="00FF361C"/>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75CC5939"/>
  <w14:defaultImageDpi w14:val="32767"/>
  <w15:docId w15:val="{02CD064A-4A62-4E27-9B94-50273ECC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106586080">
      <w:bodyDiv w:val="1"/>
      <w:marLeft w:val="0"/>
      <w:marRight w:val="0"/>
      <w:marTop w:val="0"/>
      <w:marBottom w:val="0"/>
      <w:divBdr>
        <w:top w:val="none" w:sz="0" w:space="0" w:color="auto"/>
        <w:left w:val="none" w:sz="0" w:space="0" w:color="auto"/>
        <w:bottom w:val="none" w:sz="0" w:space="0" w:color="auto"/>
        <w:right w:val="none" w:sz="0" w:space="0" w:color="auto"/>
      </w:divBdr>
    </w:div>
    <w:div w:id="186060738">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95752595">
      <w:bodyDiv w:val="1"/>
      <w:marLeft w:val="0"/>
      <w:marRight w:val="0"/>
      <w:marTop w:val="0"/>
      <w:marBottom w:val="0"/>
      <w:divBdr>
        <w:top w:val="none" w:sz="0" w:space="0" w:color="auto"/>
        <w:left w:val="none" w:sz="0" w:space="0" w:color="auto"/>
        <w:bottom w:val="none" w:sz="0" w:space="0" w:color="auto"/>
        <w:right w:val="none" w:sz="0" w:space="0" w:color="auto"/>
      </w:divBdr>
    </w:div>
    <w:div w:id="713040221">
      <w:bodyDiv w:val="1"/>
      <w:marLeft w:val="0"/>
      <w:marRight w:val="0"/>
      <w:marTop w:val="0"/>
      <w:marBottom w:val="0"/>
      <w:divBdr>
        <w:top w:val="none" w:sz="0" w:space="0" w:color="auto"/>
        <w:left w:val="none" w:sz="0" w:space="0" w:color="auto"/>
        <w:bottom w:val="none" w:sz="0" w:space="0" w:color="auto"/>
        <w:right w:val="none" w:sz="0" w:space="0" w:color="auto"/>
      </w:divBdr>
    </w:div>
    <w:div w:id="736905072">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344421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017003143">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240410487">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12454675">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92734307">
      <w:bodyDiv w:val="1"/>
      <w:marLeft w:val="0"/>
      <w:marRight w:val="0"/>
      <w:marTop w:val="0"/>
      <w:marBottom w:val="0"/>
      <w:divBdr>
        <w:top w:val="none" w:sz="0" w:space="0" w:color="auto"/>
        <w:left w:val="none" w:sz="0" w:space="0" w:color="auto"/>
        <w:bottom w:val="none" w:sz="0" w:space="0" w:color="auto"/>
        <w:right w:val="none" w:sz="0" w:space="0" w:color="auto"/>
      </w:divBdr>
    </w:div>
    <w:div w:id="1653634461">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org/uk/knowledge/evidence-reviews/evidence-financial-incentives/" TargetMode="External"/><Relationship Id="rId21" Type="http://schemas.openxmlformats.org/officeDocument/2006/relationships/hyperlink" Target="https://www.acas.org.uk/payslips" TargetMode="External"/><Relationship Id="rId34" Type="http://schemas.openxmlformats.org/officeDocument/2006/relationships/hyperlink" Target="https://www.cipd.org/uk/knowledge/factsheets/reward-factsheet/" TargetMode="External"/><Relationship Id="rId42" Type="http://schemas.openxmlformats.org/officeDocument/2006/relationships/hyperlink" Target="https://www.legislation.gov.uk/ukpga/1970/41/enacted" TargetMode="External"/><Relationship Id="rId47" Type="http://schemas.openxmlformats.org/officeDocument/2006/relationships/hyperlink" Target="https://www.forbes.com/sites/brucekasanoff/2014/07/21/people-are-what-matter-most-in-business/" TargetMode="External"/><Relationship Id="rId50" Type="http://schemas.openxmlformats.org/officeDocument/2006/relationships/hyperlink" Target="https://www.cipd.org/globalassets/media/knowledge/knowledge-hub/reports/show-me-the-money_2015-behavioural-science-of-reward_tcm18-9560.pdf" TargetMode="External"/><Relationship Id="rId55" Type="http://schemas.openxmlformats.org/officeDocument/2006/relationships/hyperlink" Target="https://read.kortext.com/reader/pdf/1127708/235"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9" Type="http://schemas.openxmlformats.org/officeDocument/2006/relationships/hyperlink" Target="https://www.cipd.org/uk/views-and-insights/thought-leadership/cipd-voice/benchmarking-employee-turnover/" TargetMode="External"/><Relationship Id="rId11" Type="http://schemas.openxmlformats.org/officeDocument/2006/relationships/header" Target="header1.xml"/><Relationship Id="rId24" Type="http://schemas.openxmlformats.org/officeDocument/2006/relationships/hyperlink" Target="https://read.kortext.com/reader/pdf/1127708/236" TargetMode="External"/><Relationship Id="rId32" Type="http://schemas.openxmlformats.org/officeDocument/2006/relationships/hyperlink" Target="https://www.cipd.org/uk/knowledge/factsheets/pay-structures-factsheet/#what-is-pay-structure" TargetMode="External"/><Relationship Id="rId37" Type="http://schemas.openxmlformats.org/officeDocument/2006/relationships/hyperlink" Target="https://www.cipd.org/uk/knowledge/factsheets/market-pricing-factsheet/#marketpricing" TargetMode="External"/><Relationship Id="rId40" Type="http://schemas.openxmlformats.org/officeDocument/2006/relationships/hyperlink" Target="https://www.legislation.gov.uk/ukpga/1996/18/section/8" TargetMode="External"/><Relationship Id="rId45" Type="http://schemas.openxmlformats.org/officeDocument/2006/relationships/hyperlink" Target="https://www.gov.uk/search/research-and-statistics?content_store_document_type=upcoming_statistics&amp;public_timestamp%5Bfrom%5D=&amp;public_timestamp%5Bto%5D=" TargetMode="External"/><Relationship Id="rId53" Type="http://schemas.openxmlformats.org/officeDocument/2006/relationships/hyperlink" Target="https://www.sjp.co.uk/individuals/news/what-you-need-to-know-about-receiving-share-options-as-an-employment-benefit" TargetMode="External"/><Relationship Id="rId58" Type="http://schemas.openxmlformats.org/officeDocument/2006/relationships/hyperlink" Target="https://www.metlife.com/about-us/newsroom/2024/march/workers-expect-employers-to-care-about-their-lives-at-and-outside-of-work-amid-a-state-of-permacrisis/" TargetMode="External"/><Relationship Id="rId5" Type="http://schemas.openxmlformats.org/officeDocument/2006/relationships/numbering" Target="numbering.xml"/><Relationship Id="rId61" Type="http://schemas.openxmlformats.org/officeDocument/2006/relationships/image" Target="media/image6.png"/><Relationship Id="rId19" Type="http://schemas.openxmlformats.org/officeDocument/2006/relationships/hyperlink" Target="https://www.acas.org.uk/job-evaluation-considerations-and-risks-advice-booklet" TargetMode="External"/><Relationship Id="rId14" Type="http://schemas.openxmlformats.org/officeDocument/2006/relationships/footer" Target="footer2.xml"/><Relationship Id="rId22" Type="http://schemas.openxmlformats.org/officeDocument/2006/relationships/hyperlink" Target="https://doi.org/10.1037/h0040968" TargetMode="External"/><Relationship Id="rId27" Type="http://schemas.openxmlformats.org/officeDocument/2006/relationships/hyperlink" Target="https://committees.parliament.uk/writtenevidence/109904/pdf/#:~:text=The%20latest%20labour%20market%20outlook,is%20experienced%20across%20most%20sectors" TargetMode="External"/><Relationship Id="rId30" Type="http://schemas.openxmlformats.org/officeDocument/2006/relationships/hyperlink" Target="https://www.cipd.org/uk/knowledge/factsheets/competency-factsheet/" TargetMode="External"/><Relationship Id="rId35" Type="http://schemas.openxmlformats.org/officeDocument/2006/relationships/hyperlink" Target="https://www.cipd.org/uk/knowledge/reports/reward-surveys/" TargetMode="External"/><Relationship Id="rId43" Type="http://schemas.openxmlformats.org/officeDocument/2006/relationships/hyperlink" Target="https://www.peoplemanagement.co.uk/article/1830913/pay-benchmarking-working-interactive-report-hr-professionals" TargetMode="External"/><Relationship Id="rId48" Type="http://schemas.openxmlformats.org/officeDocument/2006/relationships/hyperlink" Target="https://doi.org/10.1111/psyp.14678" TargetMode="External"/><Relationship Id="rId56" Type="http://schemas.openxmlformats.org/officeDocument/2006/relationships/hyperlink" Target="https://www.legislation.gov.uk/ukdsi/2017/9780111152010"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legislation.gov.uk/ukpga/1998/39/contents"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5" Type="http://schemas.openxmlformats.org/officeDocument/2006/relationships/hyperlink" Target="https://www.cipd.org/uk/knowledge/factsheets/economy-labour-market-factsheet/#:~:text=In%20periods%20of%20relatively%20high,vacancies%20and%20lots%20of%20jobseekers" TargetMode="External"/><Relationship Id="rId33" Type="http://schemas.openxmlformats.org/officeDocument/2006/relationships/hyperlink" Target="https://www.cipd.org/uk/knowledge/factsheets/psychological-factsheet/" TargetMode="External"/><Relationship Id="rId38" Type="http://schemas.openxmlformats.org/officeDocument/2006/relationships/hyperlink" Target="https://www.cipd.org/uk/knowledge/factsheets/workplace-pensions-factsheet/#one" TargetMode="External"/><Relationship Id="rId46" Type="http://schemas.openxmlformats.org/officeDocument/2006/relationships/hyperlink" Target="https://hbr.org/2022/09/the-surprising-benefits-of-work-life-support" TargetMode="External"/><Relationship Id="rId59" Type="http://schemas.openxmlformats.org/officeDocument/2006/relationships/hyperlink" Target="https://www.cipd.org/uk/learning/qualifications/policies/" TargetMode="External"/><Relationship Id="rId20" Type="http://schemas.openxmlformats.org/officeDocument/2006/relationships/hyperlink" Target="https://www.acas.org.uk/if-youve-been-discriminated-against-at-work" TargetMode="External"/><Relationship Id="rId41" Type="http://schemas.openxmlformats.org/officeDocument/2006/relationships/hyperlink" Target="https://www.legislation.gov.uk/ukpga/2010/15/contents" TargetMode="External"/><Relationship Id="rId54" Type="http://schemas.openxmlformats.org/officeDocument/2006/relationships/hyperlink" Target="https://www.proquest.com/docview/578569335?accountid=130472&amp;parentSessionId=VMbwLcy4xzee%2BRufI1SY8QmvvICh%2FwTjNOcVyxReErU%3D&amp;pq-origsite=primo&amp;sourcetype=Trade%20Journals" TargetMode="External"/><Relationship Id="rId62"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cipd.co.uk/knowledge/strategy/reward/strategic-total-factsheet" TargetMode="External"/><Relationship Id="rId23" Type="http://schemas.openxmlformats.org/officeDocument/2006/relationships/hyperlink" Target="https://www.altrum.com/resources/recognition/formal-or-informal-recognition/" TargetMode="External"/><Relationship Id="rId28" Type="http://schemas.openxmlformats.org/officeDocument/2006/relationships/hyperlink" Target="https://www.cipd.org/uk/knowledge/factsheets/pay-fairness-reporting-factsheet/" TargetMode="External"/><Relationship Id="rId36" Type="http://schemas.openxmlformats.org/officeDocument/2006/relationships/hyperlink" Target="https://www.cipd.org/uk/knowledge/factsheets/benefits-factsheet/" TargetMode="External"/><Relationship Id="rId49" Type="http://schemas.openxmlformats.org/officeDocument/2006/relationships/hyperlink" Target="https://doi.org/10.1002/hrm.22128" TargetMode="External"/><Relationship Id="rId57" Type="http://schemas.openxmlformats.org/officeDocument/2006/relationships/hyperlink" Target="https://www.legislation.gov.uk/uksi/2016/68/contents/made" TargetMode="External"/><Relationship Id="rId10" Type="http://schemas.openxmlformats.org/officeDocument/2006/relationships/endnotes" Target="endnotes.xml"/><Relationship Id="rId31" Type="http://schemas.openxmlformats.org/officeDocument/2006/relationships/hyperlink" Target="https://www.cipd.org/uk/knowledge/factsheets/pay-performance-factsheet/" TargetMode="External"/><Relationship Id="rId44" Type="http://schemas.openxmlformats.org/officeDocument/2006/relationships/hyperlink" Target="https://www.gov.uk/holiday-entitlement-rights" TargetMode="External"/><Relationship Id="rId52" Type="http://schemas.openxmlformats.org/officeDocument/2006/relationships/hyperlink" Target="https://www.cipd.org/uk/knowledge/factsheets/psychological-factsheet/" TargetMode="External"/><Relationship Id="rId60" Type="http://schemas.openxmlformats.org/officeDocument/2006/relationships/image" Target="media/image5.png"/><Relationship Id="rId65"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image" Target="media/image4.png"/><Relationship Id="rId39" Type="http://schemas.openxmlformats.org/officeDocument/2006/relationships/hyperlink" Target="https://www.cipd.org/globalassets/media/knowledge/knowledge-hub/evidence-reviews/incentives-recognition-practice-summary_tcm18-105466.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8C594CFB-7A79-4E0A-8204-E365448D8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F16A4F-D94D-4B65-9BAE-153D7E4C5FD9}">
  <ds:schemaRefs>
    <ds:schemaRef ds:uri="http://purl.org/dc/elements/1.1/"/>
    <ds:schemaRef ds:uri="http://schemas.microsoft.com/office/2006/metadata/properties"/>
    <ds:schemaRef ds:uri="5b2f617d-22f6-4a73-93de-44faf49dffb2"/>
    <ds:schemaRef ds:uri="http://schemas.microsoft.com/office/2006/documentManagement/types"/>
    <ds:schemaRef ds:uri="08719aca-9944-47ed-99d0-5d6a4bfa3e55"/>
    <ds:schemaRef ds:uri="http://www.w3.org/XML/1998/namespace"/>
    <ds:schemaRef ds:uri="http://purl.org/dc/terms/"/>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20</Pages>
  <Words>7931</Words>
  <Characters>45210</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53035</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Thomas Jones</cp:lastModifiedBy>
  <cp:revision>34</cp:revision>
  <dcterms:created xsi:type="dcterms:W3CDTF">2025-02-10T08:26:00Z</dcterms:created>
  <dcterms:modified xsi:type="dcterms:W3CDTF">2025-02-10T21:38:00Z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MSIP_Label_7f819d78-938c-4872-af2b-40cf5b347000_Enabled">
    <vt:lpwstr>true</vt:lpwstr>
  </property>
  <property fmtid="{D5CDD505-2E9C-101B-9397-08002B2CF9AE}" pid="4" name="MSIP_Label_7f819d78-938c-4872-af2b-40cf5b347000_SetDate">
    <vt:lpwstr>2025-02-09T17:52:24Z</vt:lpwstr>
  </property>
  <property fmtid="{D5CDD505-2E9C-101B-9397-08002B2CF9AE}" pid="5" name="MSIP_Label_7f819d78-938c-4872-af2b-40cf5b347000_Method">
    <vt:lpwstr>Standard</vt:lpwstr>
  </property>
  <property fmtid="{D5CDD505-2E9C-101B-9397-08002B2CF9AE}" pid="6" name="MSIP_Label_7f819d78-938c-4872-af2b-40cf5b347000_Name">
    <vt:lpwstr>Internal</vt:lpwstr>
  </property>
  <property fmtid="{D5CDD505-2E9C-101B-9397-08002B2CF9AE}" pid="7" name="MSIP_Label_7f819d78-938c-4872-af2b-40cf5b347000_SiteId">
    <vt:lpwstr>1f758329-8df9-4285-af1e-1f1e58d2d08b</vt:lpwstr>
  </property>
  <property fmtid="{D5CDD505-2E9C-101B-9397-08002B2CF9AE}" pid="8" name="MSIP_Label_7f819d78-938c-4872-af2b-40cf5b347000_ActionId">
    <vt:lpwstr>70b5a5e1-3d30-44b4-9883-2c39d468417c</vt:lpwstr>
  </property>
  <property fmtid="{D5CDD505-2E9C-101B-9397-08002B2CF9AE}" pid="9" name="MSIP_Label_7f819d78-938c-4872-af2b-40cf5b347000_ContentBits">
    <vt:lpwstr>0</vt:lpwstr>
  </property>
</Properties>
</file>