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9D979" w14:textId="77777777" w:rsidR="008B2C8B" w:rsidRPr="008B2C8B" w:rsidRDefault="008B2C8B" w:rsidP="008B2C8B">
      <w:pPr>
        <w:spacing w:line="360" w:lineRule="auto"/>
        <w:rPr>
          <w:rFonts w:ascii="Arial" w:hAnsi="Arial" w:cs="Arial"/>
        </w:rPr>
      </w:pPr>
      <w:r w:rsidRPr="008B2C8B">
        <w:rPr>
          <w:rFonts w:ascii="Arial" w:hAnsi="Arial" w:cs="Arial"/>
        </w:rPr>
        <w:t>Policies are crucial in determining how we engage with children, young people, and communities (CYPC) (National Children's Bureau, 2023). These policies have evolved in response to shifts in social values, historical events, and innovative ideas about what children and communities need to thrive. Understanding how these changes influence practitioners' work today is essential for anyone supporting CYPC.</w:t>
      </w:r>
    </w:p>
    <w:p w14:paraId="44317410" w14:textId="77777777" w:rsidR="00236AB0" w:rsidRDefault="00236AB0" w:rsidP="008B2C8B">
      <w:pPr>
        <w:spacing w:line="360" w:lineRule="auto"/>
        <w:rPr>
          <w:rFonts w:ascii="Arial" w:hAnsi="Arial" w:cs="Arial"/>
        </w:rPr>
      </w:pPr>
    </w:p>
    <w:p w14:paraId="0E38C6E9" w14:textId="2D5F8300" w:rsidR="008B2C8B" w:rsidRDefault="008B2C8B" w:rsidP="008B2C8B">
      <w:pPr>
        <w:spacing w:line="360" w:lineRule="auto"/>
        <w:rPr>
          <w:rFonts w:ascii="Arial" w:hAnsi="Arial" w:cs="Arial"/>
        </w:rPr>
      </w:pPr>
      <w:r w:rsidRPr="008B2C8B">
        <w:rPr>
          <w:rFonts w:ascii="Arial" w:hAnsi="Arial" w:cs="Arial"/>
        </w:rPr>
        <w:t>This essay will begin by exploring the history of CYPC policies, how they currently guide practice, and how they have shaped our perspectives on children, young people, and communities. It will then examine historical policy changes and the individuals and organisations behind these changes. The essay will be complemented by exploring the challenges faced by practitioners in policy implementation, such as limited resources, and unclear guidelines, and a discussion of success factors of these policy implementations.</w:t>
      </w:r>
    </w:p>
    <w:p w14:paraId="3CB2F0F8" w14:textId="77777777" w:rsidR="00236AB0" w:rsidRPr="008B2C8B" w:rsidRDefault="00236AB0" w:rsidP="008B2C8B">
      <w:pPr>
        <w:spacing w:line="360" w:lineRule="auto"/>
        <w:rPr>
          <w:rFonts w:ascii="Arial" w:hAnsi="Arial" w:cs="Arial"/>
        </w:rPr>
      </w:pPr>
    </w:p>
    <w:p w14:paraId="333384DA" w14:textId="77777777" w:rsidR="008B2C8B" w:rsidRDefault="008B2C8B" w:rsidP="008B2C8B">
      <w:pPr>
        <w:spacing w:line="360" w:lineRule="auto"/>
        <w:rPr>
          <w:rFonts w:ascii="Arial" w:hAnsi="Arial" w:cs="Arial"/>
        </w:rPr>
      </w:pPr>
      <w:r w:rsidRPr="008B2C8B">
        <w:rPr>
          <w:rFonts w:ascii="Arial" w:hAnsi="Arial" w:cs="Arial"/>
        </w:rPr>
        <w:t>This analysis will identify and describe how policies evolved over time and how they were reflected in CYPC practice, thus making its contribution to understanding how policy informs practice (and vice versa) in this area. It will also showcase the challenges and opportunities to translate policies into impactful outcomes for children, young people, and their communities.</w:t>
      </w:r>
    </w:p>
    <w:p w14:paraId="3E145722" w14:textId="77777777" w:rsidR="00236AB0" w:rsidRPr="008B2C8B" w:rsidRDefault="00236AB0" w:rsidP="008B2C8B">
      <w:pPr>
        <w:spacing w:line="360" w:lineRule="auto"/>
        <w:rPr>
          <w:rFonts w:ascii="Arial" w:hAnsi="Arial" w:cs="Arial"/>
        </w:rPr>
      </w:pPr>
    </w:p>
    <w:p w14:paraId="5A7C7F7A" w14:textId="77777777" w:rsidR="008B2C8B" w:rsidRDefault="008B2C8B" w:rsidP="008B2C8B">
      <w:pPr>
        <w:spacing w:line="360" w:lineRule="auto"/>
        <w:rPr>
          <w:rFonts w:ascii="Arial" w:hAnsi="Arial" w:cs="Arial"/>
        </w:rPr>
      </w:pPr>
      <w:r w:rsidRPr="008B2C8B">
        <w:rPr>
          <w:rFonts w:ascii="Arial" w:hAnsi="Arial" w:cs="Arial"/>
        </w:rPr>
        <w:t>Early policies supporting children, young people, and communities (CYPC) were often reactive (Hendrick, 2003), responding to issues like poverty, child labour, illiteracy, and insufficient health care. These policies and foundations began in the post-WW2 period on a global level when the world began to grasp the importance of safeguarding and fostering vulnerable children and the communities in which they are situated (Lansdown, 1994). One of the oldest comprehensive policies with a focus on children in the UK, focused on poverty, was the Poor Law Amendment Act of 1834, which led to the establishment of workhouses for poor families with children. These workhouses were often hostile environments, failing to reflect the then-new insights of childhood and, more significantly, their actual needs (National Archives, 1834; Thomson, 2011).</w:t>
      </w:r>
    </w:p>
    <w:p w14:paraId="4A31A9FB" w14:textId="77777777" w:rsidR="00236AB0" w:rsidRPr="008B2C8B" w:rsidRDefault="00236AB0" w:rsidP="008B2C8B">
      <w:pPr>
        <w:spacing w:line="360" w:lineRule="auto"/>
        <w:rPr>
          <w:rFonts w:ascii="Arial" w:hAnsi="Arial" w:cs="Arial"/>
        </w:rPr>
      </w:pPr>
    </w:p>
    <w:p w14:paraId="786F0A29" w14:textId="77777777" w:rsidR="00236AB0" w:rsidRDefault="008B2C8B" w:rsidP="008B2C8B">
      <w:pPr>
        <w:spacing w:line="360" w:lineRule="auto"/>
        <w:rPr>
          <w:rFonts w:ascii="Arial" w:hAnsi="Arial" w:cs="Arial"/>
        </w:rPr>
      </w:pPr>
      <w:r w:rsidRPr="008B2C8B">
        <w:rPr>
          <w:rFonts w:ascii="Arial" w:hAnsi="Arial" w:cs="Arial"/>
        </w:rPr>
        <w:t xml:space="preserve">An important turning point in this ideological battle was the passage of the Children Act 1908, or Children's Charter, which radically changed how children were </w:t>
      </w:r>
      <w:r w:rsidRPr="008B2C8B">
        <w:rPr>
          <w:rFonts w:ascii="Arial" w:hAnsi="Arial" w:cs="Arial"/>
        </w:rPr>
        <w:lastRenderedPageBreak/>
        <w:t xml:space="preserve">perceived late in the nineteenth and early twentieth centuries (Children Act, 1908). Otto von Bismarck </w:t>
      </w:r>
      <w:r w:rsidR="00236AB0">
        <w:rPr>
          <w:rFonts w:ascii="Arial" w:hAnsi="Arial" w:cs="Arial"/>
        </w:rPr>
        <w:t xml:space="preserve">(1974) </w:t>
      </w:r>
      <w:r w:rsidRPr="008B2C8B">
        <w:rPr>
          <w:rFonts w:ascii="Arial" w:hAnsi="Arial" w:cs="Arial"/>
        </w:rPr>
        <w:t xml:space="preserve">embarked on a social reform movement that adapted to European circumstances and laid this foundation; the ground-breaking 1874 Law for the Protection of Children was a departure from the historical perspective that children were chattel without rights. This law defined children as individuals worthy of protection from abuse and neglect established preventative strategies for keeping children safe from maltreatment, and created a juvenile justice system that reformed children, all of which illustrated a new societal ethos focused on the necessity of protecting children throughout their development (Bismarck, 1874). </w:t>
      </w:r>
    </w:p>
    <w:p w14:paraId="447C0537" w14:textId="77777777" w:rsidR="00236AB0" w:rsidRDefault="00236AB0" w:rsidP="008B2C8B">
      <w:pPr>
        <w:spacing w:line="360" w:lineRule="auto"/>
        <w:rPr>
          <w:rFonts w:ascii="Arial" w:hAnsi="Arial" w:cs="Arial"/>
        </w:rPr>
      </w:pPr>
    </w:p>
    <w:p w14:paraId="753354D1" w14:textId="56E5AF1E" w:rsidR="008B2C8B" w:rsidRDefault="008B2C8B" w:rsidP="008B2C8B">
      <w:pPr>
        <w:spacing w:line="360" w:lineRule="auto"/>
        <w:rPr>
          <w:rFonts w:ascii="Arial" w:hAnsi="Arial" w:cs="Arial"/>
        </w:rPr>
      </w:pPr>
      <w:r w:rsidRPr="008B2C8B">
        <w:rPr>
          <w:rFonts w:ascii="Arial" w:hAnsi="Arial" w:cs="Arial"/>
        </w:rPr>
        <w:t>Another major theme of early CYPC policies was education. The new Elementary Education Act in England and Wales in (1870), the so-called Forster Act, made elementary education compulsory for all children between 5 and 13 years of age. This was one of the first steps towards the realisation that education is a right, not a privilege and that children need an end to the cycle of poverty along with elements like literacy and social progress to create a brighter future (Elementary Education Act, 1870).</w:t>
      </w:r>
    </w:p>
    <w:p w14:paraId="4DDF42C5" w14:textId="77777777" w:rsidR="00236AB0" w:rsidRPr="008B2C8B" w:rsidRDefault="00236AB0" w:rsidP="008B2C8B">
      <w:pPr>
        <w:spacing w:line="360" w:lineRule="auto"/>
        <w:rPr>
          <w:rFonts w:ascii="Arial" w:hAnsi="Arial" w:cs="Arial"/>
        </w:rPr>
      </w:pPr>
    </w:p>
    <w:p w14:paraId="4D49CC89" w14:textId="18B06C7A" w:rsidR="008B2C8B" w:rsidRDefault="008B2C8B" w:rsidP="008B2C8B">
      <w:pPr>
        <w:spacing w:line="360" w:lineRule="auto"/>
        <w:rPr>
          <w:rFonts w:ascii="Arial" w:hAnsi="Arial" w:cs="Arial"/>
        </w:rPr>
      </w:pPr>
      <w:r w:rsidRPr="008B2C8B">
        <w:rPr>
          <w:rFonts w:ascii="Arial" w:hAnsi="Arial" w:cs="Arial"/>
        </w:rPr>
        <w:t xml:space="preserve">Moreover, public health initiatives also played a pivotal role in early CYPC policies. In the late 19th and early 20th centuries, infant mortality rates were alarmingly high due to poor living conditions, malnutrition, and lack of access to healthcare. According to Welshman (2000) due to this, policies such as the Notification of Births Act of 1907 led to the notification of births to local authorities and the subsequent ability of health visitors to assist new mothers. It was the start of coordinated efforts towards child health, laying the foundations for current policy-driven approaches for treating young children and preventing illnesses. </w:t>
      </w:r>
    </w:p>
    <w:p w14:paraId="440F28DE" w14:textId="77777777" w:rsidR="00236AB0" w:rsidRPr="008B2C8B" w:rsidRDefault="00236AB0" w:rsidP="008B2C8B">
      <w:pPr>
        <w:spacing w:line="360" w:lineRule="auto"/>
        <w:rPr>
          <w:rFonts w:ascii="Arial" w:hAnsi="Arial" w:cs="Arial"/>
        </w:rPr>
      </w:pPr>
    </w:p>
    <w:p w14:paraId="2338924A" w14:textId="1DC1DF6F" w:rsidR="008B2C8B" w:rsidRDefault="008B2C8B" w:rsidP="008B2C8B">
      <w:pPr>
        <w:spacing w:line="360" w:lineRule="auto"/>
        <w:rPr>
          <w:rFonts w:ascii="Arial" w:hAnsi="Arial" w:cs="Arial"/>
        </w:rPr>
      </w:pPr>
      <w:r w:rsidRPr="008B2C8B">
        <w:rPr>
          <w:rFonts w:ascii="Arial" w:hAnsi="Arial" w:cs="Arial"/>
        </w:rPr>
        <w:t xml:space="preserve">The early policy changes were championed by many individuals and organisations. As an example, Parsons (2015) presented social reformer Lord Shaftesbury, who was a child advocate during the 19th century. His advocacy helped lead to new legislation, including the Ten Hours Act of 1847, which limited the hours children were allowed to work in factories. Rooke and Schnell (1983) also more specifically endorse </w:t>
      </w:r>
      <w:proofErr w:type="spellStart"/>
      <w:r w:rsidRPr="008B2C8B">
        <w:rPr>
          <w:rFonts w:ascii="Arial" w:hAnsi="Arial" w:cs="Arial"/>
        </w:rPr>
        <w:t>Eglantyne</w:t>
      </w:r>
      <w:proofErr w:type="spellEnd"/>
      <w:r w:rsidRPr="008B2C8B">
        <w:rPr>
          <w:rFonts w:ascii="Arial" w:hAnsi="Arial" w:cs="Arial"/>
        </w:rPr>
        <w:t xml:space="preserve"> </w:t>
      </w:r>
      <w:proofErr w:type="spellStart"/>
      <w:r w:rsidRPr="008B2C8B">
        <w:rPr>
          <w:rFonts w:ascii="Arial" w:hAnsi="Arial" w:cs="Arial"/>
        </w:rPr>
        <w:t>Jebb</w:t>
      </w:r>
      <w:proofErr w:type="spellEnd"/>
      <w:r w:rsidRPr="008B2C8B">
        <w:rPr>
          <w:rFonts w:ascii="Arial" w:hAnsi="Arial" w:cs="Arial"/>
        </w:rPr>
        <w:t xml:space="preserve"> as a leading historical champion on behalf of children, establishing Save the Children in 1919 and helping to promote the Declaration of the </w:t>
      </w:r>
      <w:r w:rsidRPr="008B2C8B">
        <w:rPr>
          <w:rFonts w:ascii="Arial" w:hAnsi="Arial" w:cs="Arial"/>
        </w:rPr>
        <w:lastRenderedPageBreak/>
        <w:t>Rights of the Child in 1924. At this time, organi</w:t>
      </w:r>
      <w:r w:rsidR="00236AB0">
        <w:rPr>
          <w:rFonts w:ascii="Arial" w:hAnsi="Arial" w:cs="Arial"/>
        </w:rPr>
        <w:t>s</w:t>
      </w:r>
      <w:r w:rsidRPr="008B2C8B">
        <w:rPr>
          <w:rFonts w:ascii="Arial" w:hAnsi="Arial" w:cs="Arial"/>
        </w:rPr>
        <w:t>ations like the NSPCC (National Society for the Prevention of Cruelty to Children) began developing and advocating for the prevention of child abuse, advocating for legislation to protect vulnerable children (Ferguson, 2011). These advocates helped raise awareness of the problem and pushed for protective laws to be drafted.</w:t>
      </w:r>
    </w:p>
    <w:p w14:paraId="30521661" w14:textId="77777777" w:rsidR="00236AB0" w:rsidRPr="008B2C8B" w:rsidRDefault="00236AB0" w:rsidP="008B2C8B">
      <w:pPr>
        <w:spacing w:line="360" w:lineRule="auto"/>
        <w:rPr>
          <w:rFonts w:ascii="Arial" w:hAnsi="Arial" w:cs="Arial"/>
        </w:rPr>
      </w:pPr>
    </w:p>
    <w:p w14:paraId="4C50F7A6" w14:textId="77777777" w:rsidR="008B2C8B" w:rsidRDefault="008B2C8B" w:rsidP="008B2C8B">
      <w:pPr>
        <w:spacing w:line="360" w:lineRule="auto"/>
        <w:rPr>
          <w:rFonts w:ascii="Arial" w:hAnsi="Arial" w:cs="Arial"/>
        </w:rPr>
      </w:pPr>
      <w:r w:rsidRPr="008B2C8B">
        <w:rPr>
          <w:rFonts w:ascii="Arial" w:hAnsi="Arial" w:cs="Arial"/>
        </w:rPr>
        <w:t>Children and Young People's Services (CYPC) today are supported by a range of diverse contemporary policy instruments. New legislation, frameworks, and strategies are increasingly being developed to ensure that services are adaptive, inclusive, and efficient. These are now also about inequality, safeguarding, education, and mental health as key components of these policies (Department for Education, 2024).</w:t>
      </w:r>
    </w:p>
    <w:p w14:paraId="74DFA20E" w14:textId="77777777" w:rsidR="00236AB0" w:rsidRPr="008B2C8B" w:rsidRDefault="00236AB0" w:rsidP="008B2C8B">
      <w:pPr>
        <w:spacing w:line="360" w:lineRule="auto"/>
        <w:rPr>
          <w:rFonts w:ascii="Arial" w:hAnsi="Arial" w:cs="Arial"/>
        </w:rPr>
      </w:pPr>
    </w:p>
    <w:p w14:paraId="5939822E" w14:textId="77777777" w:rsidR="008B2C8B" w:rsidRPr="008B2C8B" w:rsidRDefault="008B2C8B" w:rsidP="008B2C8B">
      <w:pPr>
        <w:spacing w:line="360" w:lineRule="auto"/>
        <w:rPr>
          <w:rFonts w:ascii="Arial" w:hAnsi="Arial" w:cs="Arial"/>
        </w:rPr>
      </w:pPr>
      <w:r w:rsidRPr="008B2C8B">
        <w:rPr>
          <w:rFonts w:ascii="Arial" w:hAnsi="Arial" w:cs="Arial"/>
        </w:rPr>
        <w:t>The Children and Families Act 2014 was transformational legislation, which gave enhanced rights to children who are disabled and/or identified as having SEN and delivered improvements to transition arrangements into adult services and greater co-working between those services. UNCRC (1989) recognized the importance of those in authority in hearing the views of the children it sought to support in its formation and has continued to influence UK children's policy through its insistence on their participation in matters affecting them and its integrated vision of child welfare.</w:t>
      </w:r>
    </w:p>
    <w:p w14:paraId="65557F6C" w14:textId="77777777" w:rsidR="00236AB0" w:rsidRDefault="00236AB0" w:rsidP="008B2C8B">
      <w:pPr>
        <w:spacing w:line="360" w:lineRule="auto"/>
        <w:rPr>
          <w:rFonts w:ascii="Arial" w:hAnsi="Arial" w:cs="Arial"/>
        </w:rPr>
      </w:pPr>
    </w:p>
    <w:p w14:paraId="0E44079D" w14:textId="4258D7A4" w:rsidR="008B2C8B" w:rsidRPr="008B2C8B" w:rsidRDefault="008B2C8B" w:rsidP="008B2C8B">
      <w:pPr>
        <w:spacing w:line="360" w:lineRule="auto"/>
        <w:rPr>
          <w:rFonts w:ascii="Arial" w:hAnsi="Arial" w:cs="Arial"/>
        </w:rPr>
      </w:pPr>
      <w:r w:rsidRPr="008B2C8B">
        <w:rPr>
          <w:rFonts w:ascii="Arial" w:hAnsi="Arial" w:cs="Arial"/>
        </w:rPr>
        <w:t>The policies are aimed at ongoing challenges like inequality and mental health. The British pursuit of equality, key principles like legislation such as the Equality Act 2010 and the Social Mobility Strategy (2017), ensure children have an equal chance to reach their full potential, irrespective of background. We cannot underestimate the importance of safeguarding, and it is clear from the Children Act 1989 and later amendments that "local authorities have a duty to take reasonable steps to ensure that children do not suffer, or are likely to suffer, significant harm." Documents, including the Children and Young People's Mental Health Green Paper, have recently called for mental health services in schools to be improved.</w:t>
      </w:r>
    </w:p>
    <w:p w14:paraId="62E4D0E6" w14:textId="77777777" w:rsidR="008B2C8B" w:rsidRDefault="008B2C8B" w:rsidP="008B2C8B">
      <w:pPr>
        <w:spacing w:line="360" w:lineRule="auto"/>
        <w:rPr>
          <w:rFonts w:ascii="Arial" w:hAnsi="Arial" w:cs="Arial"/>
        </w:rPr>
      </w:pPr>
      <w:r w:rsidRPr="008B2C8B">
        <w:rPr>
          <w:rFonts w:ascii="Arial" w:hAnsi="Arial" w:cs="Arial"/>
        </w:rPr>
        <w:t xml:space="preserve">Policies that promote early intervention, such as the introduction of mental health support teams in schools to provide those who experience mental health with a more </w:t>
      </w:r>
      <w:r w:rsidRPr="008B2C8B">
        <w:rPr>
          <w:rFonts w:ascii="Arial" w:hAnsi="Arial" w:cs="Arial"/>
        </w:rPr>
        <w:lastRenderedPageBreak/>
        <w:t>in-touch pathway to care, have been driven mostly by mental health problems (Department for Education, 2021; NHS England, 2021).</w:t>
      </w:r>
    </w:p>
    <w:p w14:paraId="497020E1" w14:textId="77777777" w:rsidR="00236AB0" w:rsidRPr="008B2C8B" w:rsidRDefault="00236AB0" w:rsidP="008B2C8B">
      <w:pPr>
        <w:spacing w:line="360" w:lineRule="auto"/>
        <w:rPr>
          <w:rFonts w:ascii="Arial" w:hAnsi="Arial" w:cs="Arial"/>
        </w:rPr>
      </w:pPr>
    </w:p>
    <w:p w14:paraId="7F2EF09A" w14:textId="77777777" w:rsidR="008B2C8B" w:rsidRDefault="008B2C8B" w:rsidP="008B2C8B">
      <w:pPr>
        <w:spacing w:line="360" w:lineRule="auto"/>
        <w:rPr>
          <w:rFonts w:ascii="Arial" w:hAnsi="Arial" w:cs="Arial"/>
        </w:rPr>
      </w:pPr>
      <w:r w:rsidRPr="008B2C8B">
        <w:rPr>
          <w:rFonts w:ascii="Arial" w:hAnsi="Arial" w:cs="Arial"/>
        </w:rPr>
        <w:t>Political devolution in Wales provided a distinctive focus for CYPC policy, starting with the establishment of the Children's Commissioner for Wales in 2001. This position pushes for children's rights and makes sure they are heard. Wales became the first nation to incorporate the UN Convention on the Rights of the Child into its policy framework, particularly through the Rights of Children and Young Persons (Wales) Measure 2011, which makes the Welsh Ministers legally bound to have regard to children's rights.</w:t>
      </w:r>
    </w:p>
    <w:p w14:paraId="356ACA5F" w14:textId="77777777" w:rsidR="00236AB0" w:rsidRPr="008B2C8B" w:rsidRDefault="00236AB0" w:rsidP="008B2C8B">
      <w:pPr>
        <w:spacing w:line="360" w:lineRule="auto"/>
        <w:rPr>
          <w:rFonts w:ascii="Arial" w:hAnsi="Arial" w:cs="Arial"/>
        </w:rPr>
      </w:pPr>
    </w:p>
    <w:p w14:paraId="46D1371C" w14:textId="593627EC" w:rsidR="008B2C8B" w:rsidRDefault="008B2C8B" w:rsidP="008B2C8B">
      <w:pPr>
        <w:spacing w:line="360" w:lineRule="auto"/>
        <w:rPr>
          <w:rFonts w:ascii="Arial" w:hAnsi="Arial" w:cs="Arial"/>
        </w:rPr>
      </w:pPr>
      <w:r w:rsidRPr="008B2C8B">
        <w:rPr>
          <w:rFonts w:ascii="Arial" w:hAnsi="Arial" w:cs="Arial"/>
        </w:rPr>
        <w:t xml:space="preserve">In 2008, a new Welsh Framework for Early Years was published, replacing the former national curriculum for 3 to 7-year-olds, but now an epicentre of child-cantered, activity-led, and play-based learning </w:t>
      </w:r>
      <w:proofErr w:type="gramStart"/>
      <w:r w:rsidRPr="008B2C8B">
        <w:rPr>
          <w:rFonts w:ascii="Arial" w:hAnsi="Arial" w:cs="Arial"/>
        </w:rPr>
        <w:t>similar to</w:t>
      </w:r>
      <w:proofErr w:type="gramEnd"/>
      <w:r w:rsidRPr="008B2C8B">
        <w:rPr>
          <w:rFonts w:ascii="Arial" w:hAnsi="Arial" w:cs="Arial"/>
        </w:rPr>
        <w:t xml:space="preserve"> the Foundation Phase embraced in Wales (Welsh Assembly Government, 2008). The Well-being of Future Generations Act (2015) placed sustainable development at the heart of how the government makes decisions </w:t>
      </w:r>
      <w:proofErr w:type="gramStart"/>
      <w:r w:rsidRPr="008B2C8B">
        <w:rPr>
          <w:rFonts w:ascii="Arial" w:hAnsi="Arial" w:cs="Arial"/>
        </w:rPr>
        <w:t>in order to</w:t>
      </w:r>
      <w:proofErr w:type="gramEnd"/>
      <w:r w:rsidRPr="008B2C8B">
        <w:rPr>
          <w:rFonts w:ascii="Arial" w:hAnsi="Arial" w:cs="Arial"/>
        </w:rPr>
        <w:t xml:space="preserve"> deliver a healthier, more equal Wales, through long-term, preventive, and joined-up action</w:t>
      </w:r>
      <w:r w:rsidR="00236AB0">
        <w:rPr>
          <w:rFonts w:ascii="Arial" w:hAnsi="Arial" w:cs="Arial"/>
        </w:rPr>
        <w:t>.</w:t>
      </w:r>
    </w:p>
    <w:p w14:paraId="73029679" w14:textId="77777777" w:rsidR="00236AB0" w:rsidRPr="008B2C8B" w:rsidRDefault="00236AB0" w:rsidP="008B2C8B">
      <w:pPr>
        <w:spacing w:line="360" w:lineRule="auto"/>
        <w:rPr>
          <w:rFonts w:ascii="Arial" w:hAnsi="Arial" w:cs="Arial"/>
        </w:rPr>
      </w:pPr>
    </w:p>
    <w:p w14:paraId="633C0E0D" w14:textId="77777777" w:rsidR="008B2C8B" w:rsidRPr="008B2C8B" w:rsidRDefault="008B2C8B" w:rsidP="008B2C8B">
      <w:pPr>
        <w:spacing w:line="360" w:lineRule="auto"/>
        <w:rPr>
          <w:rFonts w:ascii="Arial" w:hAnsi="Arial" w:cs="Arial"/>
        </w:rPr>
      </w:pPr>
      <w:r w:rsidRPr="008B2C8B">
        <w:rPr>
          <w:rFonts w:ascii="Arial" w:hAnsi="Arial" w:cs="Arial"/>
        </w:rPr>
        <w:t xml:space="preserve">The introduction of the Additional Learning Needs and Education Tribunal (Wales) Act 2018 has altered SEN to include a </w:t>
      </w:r>
      <w:proofErr w:type="gramStart"/>
      <w:r w:rsidRPr="008B2C8B">
        <w:rPr>
          <w:rFonts w:ascii="Arial" w:hAnsi="Arial" w:cs="Arial"/>
        </w:rPr>
        <w:t>broad spectrum</w:t>
      </w:r>
      <w:proofErr w:type="gramEnd"/>
      <w:r w:rsidRPr="008B2C8B">
        <w:rPr>
          <w:rFonts w:ascii="Arial" w:hAnsi="Arial" w:cs="Arial"/>
        </w:rPr>
        <w:t xml:space="preserve"> scope of additional learning needs, and facilitate tailored support for children in need (Welsh Government, 2018).</w:t>
      </w:r>
    </w:p>
    <w:p w14:paraId="11F4039C" w14:textId="77777777" w:rsidR="008B2C8B" w:rsidRDefault="008B2C8B" w:rsidP="008B2C8B">
      <w:pPr>
        <w:spacing w:line="360" w:lineRule="auto"/>
        <w:rPr>
          <w:rFonts w:ascii="Arial" w:hAnsi="Arial" w:cs="Arial"/>
        </w:rPr>
      </w:pPr>
      <w:r w:rsidRPr="008B2C8B">
        <w:rPr>
          <w:rFonts w:ascii="Arial" w:hAnsi="Arial" w:cs="Arial"/>
        </w:rPr>
        <w:t>Increase in policies for mental health issues which allow early intervention, such as the introduction of mental health support teams in schools so that those with mental health issues have a more easily accessible route to get the support they need (Department for Education, 2021; NHS England, 2021).</w:t>
      </w:r>
    </w:p>
    <w:p w14:paraId="01BDC637" w14:textId="77777777" w:rsidR="00C62D60" w:rsidRPr="008B2C8B" w:rsidRDefault="00C62D60" w:rsidP="008B2C8B">
      <w:pPr>
        <w:spacing w:line="360" w:lineRule="auto"/>
        <w:rPr>
          <w:rFonts w:ascii="Arial" w:hAnsi="Arial" w:cs="Arial"/>
        </w:rPr>
      </w:pPr>
    </w:p>
    <w:p w14:paraId="593B26F3" w14:textId="324B2EBB" w:rsidR="008B2C8B" w:rsidRDefault="008B2C8B" w:rsidP="008B2C8B">
      <w:pPr>
        <w:spacing w:line="360" w:lineRule="auto"/>
        <w:rPr>
          <w:rFonts w:ascii="Arial" w:hAnsi="Arial" w:cs="Arial"/>
        </w:rPr>
      </w:pPr>
      <w:r w:rsidRPr="008B2C8B">
        <w:rPr>
          <w:rFonts w:ascii="Arial" w:hAnsi="Arial" w:cs="Arial"/>
        </w:rPr>
        <w:t xml:space="preserve">Since then, societal attitudes towards children and young people have shifted. Severe laws against the working of children, who were earlier viewed only as part of family incomes, especially in farming or industry, changed that perception, addressing their need for care and protection. Early policies were paternalistic, with decisions to act taken for children without soliciting their input. </w:t>
      </w:r>
      <w:proofErr w:type="spellStart"/>
      <w:r w:rsidRPr="008B2C8B">
        <w:rPr>
          <w:rFonts w:ascii="Arial" w:hAnsi="Arial" w:cs="Arial"/>
        </w:rPr>
        <w:t>Demkowicz</w:t>
      </w:r>
      <w:proofErr w:type="spellEnd"/>
      <w:r w:rsidRPr="008B2C8B">
        <w:rPr>
          <w:rFonts w:ascii="Arial" w:hAnsi="Arial" w:cs="Arial"/>
        </w:rPr>
        <w:t xml:space="preserve"> et al., (2023) states that </w:t>
      </w:r>
      <w:proofErr w:type="gramStart"/>
      <w:r w:rsidRPr="008B2C8B">
        <w:rPr>
          <w:rFonts w:ascii="Arial" w:hAnsi="Arial" w:cs="Arial"/>
        </w:rPr>
        <w:t>in today's society</w:t>
      </w:r>
      <w:proofErr w:type="gramEnd"/>
      <w:r w:rsidRPr="008B2C8B">
        <w:rPr>
          <w:rFonts w:ascii="Arial" w:hAnsi="Arial" w:cs="Arial"/>
        </w:rPr>
        <w:t xml:space="preserve">, the focus is on empowering young people, acknowledging their rights and treating them as persons with their own needs. This </w:t>
      </w:r>
      <w:r w:rsidRPr="008B2C8B">
        <w:rPr>
          <w:rFonts w:ascii="Arial" w:hAnsi="Arial" w:cs="Arial"/>
        </w:rPr>
        <w:lastRenderedPageBreak/>
        <w:t>focus is significant for equality, specifically for the most marginali</w:t>
      </w:r>
      <w:r w:rsidR="00C62D60">
        <w:rPr>
          <w:rFonts w:ascii="Arial" w:hAnsi="Arial" w:cs="Arial"/>
        </w:rPr>
        <w:t>s</w:t>
      </w:r>
      <w:r w:rsidRPr="008B2C8B">
        <w:rPr>
          <w:rFonts w:ascii="Arial" w:hAnsi="Arial" w:cs="Arial"/>
        </w:rPr>
        <w:t>ed groups, including children with disabilities or in care, to ensure they receive the support they require and deserve</w:t>
      </w:r>
      <w:r w:rsidR="00C62D60">
        <w:rPr>
          <w:rFonts w:ascii="Arial" w:hAnsi="Arial" w:cs="Arial"/>
        </w:rPr>
        <w:t>.</w:t>
      </w:r>
    </w:p>
    <w:p w14:paraId="5A2BDDD3" w14:textId="77777777" w:rsidR="00C62D60" w:rsidRPr="008B2C8B" w:rsidRDefault="00C62D60" w:rsidP="008B2C8B">
      <w:pPr>
        <w:spacing w:line="360" w:lineRule="auto"/>
        <w:rPr>
          <w:rFonts w:ascii="Arial" w:hAnsi="Arial" w:cs="Arial"/>
        </w:rPr>
      </w:pPr>
    </w:p>
    <w:p w14:paraId="4D5229B8" w14:textId="77777777" w:rsidR="008B2C8B" w:rsidRDefault="008B2C8B" w:rsidP="008B2C8B">
      <w:pPr>
        <w:spacing w:line="360" w:lineRule="auto"/>
        <w:rPr>
          <w:rFonts w:ascii="Arial" w:hAnsi="Arial" w:cs="Arial"/>
        </w:rPr>
      </w:pPr>
      <w:r w:rsidRPr="008B2C8B">
        <w:rPr>
          <w:rFonts w:ascii="Arial" w:hAnsi="Arial" w:cs="Arial"/>
        </w:rPr>
        <w:t xml:space="preserve">Translating policies into real-world practices is a complex process, shaped by a range of factors. Success is often influenced by what can be considered 'enablers,' These enablers are key factors, strategies, and resources that ensure this process can be implemented effectively (Asana, 2025). </w:t>
      </w:r>
    </w:p>
    <w:p w14:paraId="27AAB9B0" w14:textId="77777777" w:rsidR="00C62D60" w:rsidRPr="008B2C8B" w:rsidRDefault="00C62D60" w:rsidP="008B2C8B">
      <w:pPr>
        <w:spacing w:line="360" w:lineRule="auto"/>
        <w:rPr>
          <w:rFonts w:ascii="Arial" w:hAnsi="Arial" w:cs="Arial"/>
        </w:rPr>
      </w:pPr>
    </w:p>
    <w:p w14:paraId="641751D5" w14:textId="2D3D2FA7" w:rsidR="008B2C8B" w:rsidRDefault="008B2C8B" w:rsidP="008B2C8B">
      <w:pPr>
        <w:spacing w:line="360" w:lineRule="auto"/>
        <w:rPr>
          <w:rFonts w:ascii="Arial" w:hAnsi="Arial" w:cs="Arial"/>
        </w:rPr>
      </w:pPr>
      <w:r w:rsidRPr="008B2C8B">
        <w:rPr>
          <w:rFonts w:ascii="Arial" w:hAnsi="Arial" w:cs="Arial"/>
        </w:rPr>
        <w:t>The foundation of translating policies into practice lies in the structures that support the process. These structures include leadership, clear guidelines, and effective communication within an organisation. For example, in schools, headteachers and senior leadership teams play a pivotal role in ensuring that new educational policies are implemented effectively, bridging the gap between policy design and classroom practice</w:t>
      </w:r>
      <w:r w:rsidR="00C62D60">
        <w:rPr>
          <w:rFonts w:ascii="Arial" w:hAnsi="Arial" w:cs="Arial"/>
        </w:rPr>
        <w:t>. According to Department of Education (2024)</w:t>
      </w:r>
      <w:r w:rsidRPr="008B2C8B">
        <w:rPr>
          <w:rFonts w:ascii="Arial" w:hAnsi="Arial" w:cs="Arial"/>
        </w:rPr>
        <w:t xml:space="preserve"> leadership helps to set a clear direction, guiding </w:t>
      </w:r>
      <w:proofErr w:type="gramStart"/>
      <w:r w:rsidRPr="008B2C8B">
        <w:rPr>
          <w:rFonts w:ascii="Arial" w:hAnsi="Arial" w:cs="Arial"/>
        </w:rPr>
        <w:t>teachers</w:t>
      </w:r>
      <w:proofErr w:type="gramEnd"/>
      <w:r w:rsidRPr="008B2C8B">
        <w:rPr>
          <w:rFonts w:ascii="Arial" w:hAnsi="Arial" w:cs="Arial"/>
        </w:rPr>
        <w:t xml:space="preserve"> and staff through the policy changes</w:t>
      </w:r>
      <w:r w:rsidR="00C62D60">
        <w:rPr>
          <w:rFonts w:ascii="Arial" w:hAnsi="Arial" w:cs="Arial"/>
        </w:rPr>
        <w:t xml:space="preserve"> by</w:t>
      </w:r>
      <w:r w:rsidRPr="008B2C8B">
        <w:rPr>
          <w:rFonts w:ascii="Arial" w:hAnsi="Arial" w:cs="Arial"/>
        </w:rPr>
        <w:t xml:space="preserve"> tak</w:t>
      </w:r>
      <w:r w:rsidR="00C62D60">
        <w:rPr>
          <w:rFonts w:ascii="Arial" w:hAnsi="Arial" w:cs="Arial"/>
        </w:rPr>
        <w:t>ing</w:t>
      </w:r>
      <w:r w:rsidRPr="008B2C8B">
        <w:rPr>
          <w:rFonts w:ascii="Arial" w:hAnsi="Arial" w:cs="Arial"/>
        </w:rPr>
        <w:t xml:space="preserve"> the broad goals set by the government or local authorities and translate them into actionable steps for teachers and staff. This might involve tailoring professional development sessions to address the specific needs of their school or setting up systems to monitor the impact of new </w:t>
      </w:r>
      <w:r w:rsidR="00C62D60" w:rsidRPr="008B2C8B">
        <w:rPr>
          <w:rFonts w:ascii="Arial" w:hAnsi="Arial" w:cs="Arial"/>
        </w:rPr>
        <w:t>policies.</w:t>
      </w:r>
    </w:p>
    <w:p w14:paraId="1ACE9E44" w14:textId="77777777" w:rsidR="00C62D60" w:rsidRPr="008B2C8B" w:rsidRDefault="00C62D60" w:rsidP="008B2C8B">
      <w:pPr>
        <w:spacing w:line="360" w:lineRule="auto"/>
        <w:rPr>
          <w:rFonts w:ascii="Arial" w:hAnsi="Arial" w:cs="Arial"/>
        </w:rPr>
      </w:pPr>
    </w:p>
    <w:p w14:paraId="6DAB37FC" w14:textId="31CAC43D" w:rsidR="008B2C8B" w:rsidRDefault="008B2C8B" w:rsidP="008B2C8B">
      <w:pPr>
        <w:spacing w:line="360" w:lineRule="auto"/>
        <w:rPr>
          <w:rFonts w:ascii="Arial" w:hAnsi="Arial" w:cs="Arial"/>
        </w:rPr>
      </w:pPr>
      <w:r w:rsidRPr="008B2C8B">
        <w:rPr>
          <w:rFonts w:ascii="Arial" w:hAnsi="Arial" w:cs="Arial"/>
        </w:rPr>
        <w:t xml:space="preserve">They should ensure that staff understand the purpose behind policy changes, which is vital for support. If a new policy, such as incorporating more inclusive teaching strategies, is introduced, the headteacher's role extends to providing teachers with resources, time, and support to adapt to the changes (UK Government, 2020). Similarly, strong leadership involves addressing challenges head-on, such as resistance from staff who may feel overwhelmed by the pace of change. By being empathetic and communicative, leaders can ease this transition (Ofsted, 2012). Effective leaders not only set the tone for how policies should be implemented but also inspire confidence and commitment among their </w:t>
      </w:r>
      <w:proofErr w:type="gramStart"/>
      <w:r w:rsidRPr="008B2C8B">
        <w:rPr>
          <w:rFonts w:ascii="Arial" w:hAnsi="Arial" w:cs="Arial"/>
        </w:rPr>
        <w:t xml:space="preserve">teams </w:t>
      </w:r>
      <w:r w:rsidR="00C62D60">
        <w:rPr>
          <w:rFonts w:ascii="Arial" w:hAnsi="Arial" w:cs="Arial"/>
        </w:rPr>
        <w:t>.</w:t>
      </w:r>
      <w:proofErr w:type="gramEnd"/>
      <w:r w:rsidRPr="008B2C8B">
        <w:rPr>
          <w:rFonts w:ascii="Arial" w:hAnsi="Arial" w:cs="Arial"/>
        </w:rPr>
        <w:t xml:space="preserve"> This, in turn, highlights another key enabler: clear communication.</w:t>
      </w:r>
    </w:p>
    <w:p w14:paraId="68A32AF0" w14:textId="77777777" w:rsidR="00C62D60" w:rsidRPr="008B2C8B" w:rsidRDefault="00C62D60" w:rsidP="008B2C8B">
      <w:pPr>
        <w:spacing w:line="360" w:lineRule="auto"/>
        <w:rPr>
          <w:rFonts w:ascii="Arial" w:hAnsi="Arial" w:cs="Arial"/>
        </w:rPr>
      </w:pPr>
    </w:p>
    <w:p w14:paraId="5C8FB60E" w14:textId="72F72B3E" w:rsidR="008B2C8B" w:rsidRDefault="008B2C8B" w:rsidP="008B2C8B">
      <w:pPr>
        <w:spacing w:line="360" w:lineRule="auto"/>
        <w:rPr>
          <w:rFonts w:ascii="Arial" w:hAnsi="Arial" w:cs="Arial"/>
        </w:rPr>
      </w:pPr>
      <w:r w:rsidRPr="008B2C8B">
        <w:rPr>
          <w:rFonts w:ascii="Arial" w:hAnsi="Arial" w:cs="Arial"/>
        </w:rPr>
        <w:t xml:space="preserve">Clear communication is another crucial building block for success in a policy effort, ensuring everyone is aligned. Albright, et al. (2022) states that no matter how good </w:t>
      </w:r>
      <w:r w:rsidRPr="008B2C8B">
        <w:rPr>
          <w:rFonts w:ascii="Arial" w:hAnsi="Arial" w:cs="Arial"/>
        </w:rPr>
        <w:lastRenderedPageBreak/>
        <w:t>the policy is, if it is not communicated well to those who are supposed to execute it, it could fail. This means more than an initial statement of the policy, it means continuous conversation, space for questions and requests for clarification, and ongoing reporting on the status of the goal (</w:t>
      </w:r>
      <w:proofErr w:type="spellStart"/>
      <w:r w:rsidRPr="008B2C8B">
        <w:rPr>
          <w:rFonts w:ascii="Arial" w:hAnsi="Arial" w:cs="Arial"/>
        </w:rPr>
        <w:t>Irawan</w:t>
      </w:r>
      <w:proofErr w:type="spellEnd"/>
      <w:r w:rsidRPr="008B2C8B">
        <w:rPr>
          <w:rFonts w:ascii="Arial" w:hAnsi="Arial" w:cs="Arial"/>
        </w:rPr>
        <w:t xml:space="preserve">, et al., 2024). For </w:t>
      </w:r>
      <w:proofErr w:type="gramStart"/>
      <w:r w:rsidRPr="008B2C8B">
        <w:rPr>
          <w:rFonts w:ascii="Arial" w:hAnsi="Arial" w:cs="Arial"/>
        </w:rPr>
        <w:t>example</w:t>
      </w:r>
      <w:proofErr w:type="gramEnd"/>
      <w:r w:rsidRPr="008B2C8B">
        <w:rPr>
          <w:rFonts w:ascii="Arial" w:hAnsi="Arial" w:cs="Arial"/>
        </w:rPr>
        <w:t xml:space="preserve"> research from Albright, et al. (2022) that hosting workshops, team meetings, or providing easily readable guides all serve to bring lofty policies into concise steps staff can follow with confidence. Communication is not achieved in a single effort but is a continuing process that allows feedback, the expression of concerns, and ensures that everyone is aligned with the objectives of the policy (Becker, et al., 2020).</w:t>
      </w:r>
    </w:p>
    <w:p w14:paraId="1116A40C" w14:textId="77777777" w:rsidR="00C62D60" w:rsidRPr="008B2C8B" w:rsidRDefault="00C62D60" w:rsidP="008B2C8B">
      <w:pPr>
        <w:spacing w:line="360" w:lineRule="auto"/>
        <w:rPr>
          <w:rFonts w:ascii="Arial" w:hAnsi="Arial" w:cs="Arial"/>
        </w:rPr>
      </w:pPr>
    </w:p>
    <w:p w14:paraId="10482C80" w14:textId="77777777" w:rsidR="008B2C8B" w:rsidRDefault="008B2C8B" w:rsidP="008B2C8B">
      <w:pPr>
        <w:spacing w:line="360" w:lineRule="auto"/>
        <w:rPr>
          <w:rFonts w:ascii="Arial" w:hAnsi="Arial" w:cs="Arial"/>
        </w:rPr>
      </w:pPr>
      <w:r w:rsidRPr="008B2C8B">
        <w:rPr>
          <w:rFonts w:ascii="Arial" w:hAnsi="Arial" w:cs="Arial"/>
        </w:rPr>
        <w:t xml:space="preserve">Related to the structure of the policy, another enabler is having clear and concise guidelines which translate policy into practice. According to Bevan (2022) uncertainty in policy definition can lead to divergent interpretations, inconsistency, and confusion. When they are defined clearly, guidelines can be a roadmap for staff, making it more likely that their activities align to achieve the overall goal of the policy so it can work as intended. If schools, for instance, enact a new policy around improving reading skills, the guidelines should lay out specific steps for teachers to follow, such as recommended methods of teaching, how to quantify progress on a continuous basis, and what constitutes success in this regard. This ensures teachers can feel free to modify their lessons without second-guessing themselves (Reedy et </w:t>
      </w:r>
      <w:proofErr w:type="gramStart"/>
      <w:r w:rsidRPr="008B2C8B">
        <w:rPr>
          <w:rFonts w:ascii="Arial" w:hAnsi="Arial" w:cs="Arial"/>
        </w:rPr>
        <w:t>al,.</w:t>
      </w:r>
      <w:proofErr w:type="gramEnd"/>
      <w:r w:rsidRPr="008B2C8B">
        <w:rPr>
          <w:rFonts w:ascii="Arial" w:hAnsi="Arial" w:cs="Arial"/>
        </w:rPr>
        <w:t xml:space="preserve"> 2021; Dang et al., 2021).</w:t>
      </w:r>
    </w:p>
    <w:p w14:paraId="15B55871" w14:textId="77777777" w:rsidR="00C62D60" w:rsidRPr="008B2C8B" w:rsidRDefault="00C62D60" w:rsidP="008B2C8B">
      <w:pPr>
        <w:spacing w:line="360" w:lineRule="auto"/>
        <w:rPr>
          <w:rFonts w:ascii="Arial" w:hAnsi="Arial" w:cs="Arial"/>
        </w:rPr>
      </w:pPr>
    </w:p>
    <w:p w14:paraId="3BDFF62E" w14:textId="5D19CE44" w:rsidR="008B2C8B" w:rsidRDefault="008B2C8B" w:rsidP="008B2C8B">
      <w:pPr>
        <w:spacing w:line="360" w:lineRule="auto"/>
        <w:rPr>
          <w:rFonts w:ascii="Arial" w:hAnsi="Arial" w:cs="Arial"/>
        </w:rPr>
      </w:pPr>
      <w:r w:rsidRPr="008B2C8B">
        <w:rPr>
          <w:rFonts w:ascii="Arial" w:hAnsi="Arial" w:cs="Arial"/>
        </w:rPr>
        <w:t>Additionally, if the literacy policy encourages one-on-one reading sessions, it should also address how schools with limited staff can adapt the policy to their circumstances as guidelines should also anticipate potential challenges and provide contingency plans which is support from research by OCED (2020</w:t>
      </w:r>
      <w:r w:rsidR="00C62D60">
        <w:rPr>
          <w:rFonts w:ascii="Arial" w:hAnsi="Arial" w:cs="Arial"/>
        </w:rPr>
        <w:t>).</w:t>
      </w:r>
    </w:p>
    <w:p w14:paraId="3840900E" w14:textId="77777777" w:rsidR="00C62D60" w:rsidRPr="008B2C8B" w:rsidRDefault="00C62D60" w:rsidP="008B2C8B">
      <w:pPr>
        <w:spacing w:line="360" w:lineRule="auto"/>
        <w:rPr>
          <w:rFonts w:ascii="Arial" w:hAnsi="Arial" w:cs="Arial"/>
        </w:rPr>
      </w:pPr>
    </w:p>
    <w:p w14:paraId="19F407B9" w14:textId="2C2D2A84" w:rsidR="008B2C8B" w:rsidRDefault="008B2C8B" w:rsidP="008B2C8B">
      <w:pPr>
        <w:spacing w:line="360" w:lineRule="auto"/>
        <w:rPr>
          <w:rFonts w:ascii="Arial" w:hAnsi="Arial" w:cs="Arial"/>
        </w:rPr>
      </w:pPr>
      <w:r w:rsidRPr="008B2C8B">
        <w:rPr>
          <w:rFonts w:ascii="Arial" w:hAnsi="Arial" w:cs="Arial"/>
        </w:rPr>
        <w:t>On the other hand, Inadequate funding can have ripple effects, making it a barrier. When there is inadequate funding to implement a policy, staff can be overstretched, resources are limited, and services do not deliver what they promised (Igwe et al., 2019). An example might be an educational policy designed to enhance digital literacy that requires schools to buy innovative technology, teach teachers how to use it, and provide support structures for students</w:t>
      </w:r>
      <w:r w:rsidR="00C62D60">
        <w:rPr>
          <w:rFonts w:ascii="Arial" w:hAnsi="Arial" w:cs="Arial"/>
        </w:rPr>
        <w:t>.</w:t>
      </w:r>
      <w:r w:rsidRPr="008B2C8B">
        <w:rPr>
          <w:rFonts w:ascii="Arial" w:hAnsi="Arial" w:cs="Arial"/>
        </w:rPr>
        <w:t xml:space="preserve"> If this is impossible, this may lead </w:t>
      </w:r>
      <w:r w:rsidRPr="008B2C8B">
        <w:rPr>
          <w:rFonts w:ascii="Arial" w:hAnsi="Arial" w:cs="Arial"/>
        </w:rPr>
        <w:lastRenderedPageBreak/>
        <w:t>to frustration from staff and the communities intended by the policy, undermining trust in the system. This highlights how crucial financial investment is in ensuring that policies make a real difference where it matters most (Dean, 2024).</w:t>
      </w:r>
    </w:p>
    <w:p w14:paraId="740F8CC9" w14:textId="77777777" w:rsidR="00C62D60" w:rsidRPr="008B2C8B" w:rsidRDefault="00C62D60" w:rsidP="008B2C8B">
      <w:pPr>
        <w:spacing w:line="360" w:lineRule="auto"/>
        <w:rPr>
          <w:rFonts w:ascii="Arial" w:hAnsi="Arial" w:cs="Arial"/>
        </w:rPr>
      </w:pPr>
    </w:p>
    <w:p w14:paraId="41D902D9" w14:textId="13979E0F" w:rsidR="008B2C8B" w:rsidRDefault="008B2C8B" w:rsidP="008B2C8B">
      <w:pPr>
        <w:spacing w:line="360" w:lineRule="auto"/>
        <w:rPr>
          <w:rFonts w:ascii="Arial" w:hAnsi="Arial" w:cs="Arial"/>
        </w:rPr>
      </w:pPr>
      <w:r w:rsidRPr="008B2C8B">
        <w:rPr>
          <w:rFonts w:ascii="Arial" w:hAnsi="Arial" w:cs="Arial"/>
        </w:rPr>
        <w:t>Even with sufficient funding and resources, insufficient training can pose a major obstacle to successfully implementing policies</w:t>
      </w:r>
      <w:r w:rsidR="00C62D60">
        <w:rPr>
          <w:rFonts w:ascii="Arial" w:hAnsi="Arial" w:cs="Arial"/>
        </w:rPr>
        <w:t xml:space="preserve">. </w:t>
      </w:r>
      <w:r w:rsidRPr="008B2C8B">
        <w:rPr>
          <w:rFonts w:ascii="Arial" w:hAnsi="Arial" w:cs="Arial"/>
        </w:rPr>
        <w:t>Those responsible for putting these policies into action must be adequately prepared to manage the demands of the task, and this requires training. Chellappa (2023) states that his can lead to employees not having the expertise, understanding, or confidence needed to apply the policy effectively, resulting in inefficiencies or even failure.</w:t>
      </w:r>
    </w:p>
    <w:p w14:paraId="3EE2F479" w14:textId="77777777" w:rsidR="00C62D60" w:rsidRPr="008B2C8B" w:rsidRDefault="00C62D60" w:rsidP="008B2C8B">
      <w:pPr>
        <w:spacing w:line="360" w:lineRule="auto"/>
        <w:rPr>
          <w:rFonts w:ascii="Arial" w:hAnsi="Arial" w:cs="Arial"/>
        </w:rPr>
      </w:pPr>
    </w:p>
    <w:p w14:paraId="3D4F12FA" w14:textId="5FD32718" w:rsidR="008B2C8B" w:rsidRDefault="008B2C8B" w:rsidP="008B2C8B">
      <w:pPr>
        <w:spacing w:line="360" w:lineRule="auto"/>
        <w:rPr>
          <w:rFonts w:ascii="Arial" w:hAnsi="Arial" w:cs="Arial"/>
        </w:rPr>
      </w:pPr>
      <w:r w:rsidRPr="008B2C8B">
        <w:rPr>
          <w:rFonts w:ascii="Arial" w:hAnsi="Arial" w:cs="Arial"/>
        </w:rPr>
        <w:t>Policies in sectors like education, healthcare, and social work are often complex and require specific skills that not all professionals naturally possess</w:t>
      </w:r>
      <w:r w:rsidR="00C62D60">
        <w:rPr>
          <w:rFonts w:ascii="Arial" w:hAnsi="Arial" w:cs="Arial"/>
        </w:rPr>
        <w:t>.</w:t>
      </w:r>
      <w:r w:rsidRPr="008B2C8B">
        <w:rPr>
          <w:rFonts w:ascii="Arial" w:hAnsi="Arial" w:cs="Arial"/>
        </w:rPr>
        <w:t xml:space="preserve"> For instance, in education, new policies may involve adopting advanced teaching techniques, understanding, and using digital tools, or delivering tailored support for diverse student needs. According to Pinzon, et al., (2023) teachers who are not trained in these methods may struggle to apply them in the classroom, leading to gaps between what the policy intends and what is achieved.</w:t>
      </w:r>
    </w:p>
    <w:p w14:paraId="1EE3775A" w14:textId="77777777" w:rsidR="00C62D60" w:rsidRPr="008B2C8B" w:rsidRDefault="00C62D60" w:rsidP="008B2C8B">
      <w:pPr>
        <w:spacing w:line="360" w:lineRule="auto"/>
        <w:rPr>
          <w:rFonts w:ascii="Arial" w:hAnsi="Arial" w:cs="Arial"/>
        </w:rPr>
      </w:pPr>
    </w:p>
    <w:p w14:paraId="1D97D9FD" w14:textId="77777777" w:rsidR="008B2C8B" w:rsidRDefault="008B2C8B" w:rsidP="008B2C8B">
      <w:pPr>
        <w:spacing w:line="360" w:lineRule="auto"/>
        <w:rPr>
          <w:rFonts w:ascii="Arial" w:hAnsi="Arial" w:cs="Arial"/>
        </w:rPr>
      </w:pPr>
      <w:r w:rsidRPr="008B2C8B">
        <w:rPr>
          <w:rFonts w:ascii="Arial" w:hAnsi="Arial" w:cs="Arial"/>
        </w:rPr>
        <w:t xml:space="preserve">In areas like child welfare, the stakes are even higher, simply because the needs of vulnerable children and families are complex and vary widely (OCED, 2019). This can be challenging, as child welfare professionals frequently manage complex cases involving legal and social challenges, while also needing to engage with families in ways that build trust, rapport, and collaboration. It is support within the Child Protection and Welfare Practice Handbook (2011) who say such complexities require these practitioners to be up to date with the latest evolving knowledge, techniques, and tools. Without current, up-to-date training, workers may not make the best decisions or interventions for the children and families they serve. For example, this lack of training in trauma-informed care would mean professionals may not be able to understand the impact of past trauma on a child's behaviour, which Allen, et al. (2021) argues that as a result, could implement techniques that are ineffective or even harmful. This in hand shows training can bridge the divide between policy and practice. It guarantees that those who enforce the policy are not only able to discuss </w:t>
      </w:r>
      <w:r w:rsidRPr="008B2C8B">
        <w:rPr>
          <w:rFonts w:ascii="Arial" w:hAnsi="Arial" w:cs="Arial"/>
        </w:rPr>
        <w:lastRenderedPageBreak/>
        <w:t xml:space="preserve">it effectively but are also equipped to put it into practice, thereby ensuring that the needs of young people and children are fulfilled. </w:t>
      </w:r>
    </w:p>
    <w:p w14:paraId="4F8364A6" w14:textId="77777777" w:rsidR="00C62D60" w:rsidRPr="008B2C8B" w:rsidRDefault="00C62D60" w:rsidP="008B2C8B">
      <w:pPr>
        <w:spacing w:line="360" w:lineRule="auto"/>
        <w:rPr>
          <w:rFonts w:ascii="Arial" w:hAnsi="Arial" w:cs="Arial"/>
        </w:rPr>
      </w:pPr>
    </w:p>
    <w:p w14:paraId="6592783A" w14:textId="77777777" w:rsidR="008B2C8B" w:rsidRPr="008B2C8B" w:rsidRDefault="008B2C8B" w:rsidP="008B2C8B">
      <w:pPr>
        <w:spacing w:line="360" w:lineRule="auto"/>
        <w:rPr>
          <w:rFonts w:ascii="Arial" w:hAnsi="Arial" w:cs="Arial"/>
        </w:rPr>
      </w:pPr>
      <w:r w:rsidRPr="008B2C8B">
        <w:rPr>
          <w:rFonts w:ascii="Arial" w:hAnsi="Arial" w:cs="Arial"/>
        </w:rPr>
        <w:t>Political opposition can be another barrier to implementing policies that support children and young people. When there is a lack of political will or when parties disagree on the direction a policy should take, it can be delayed or completely halted (Ansell, 2017). This is especially troubling for policies targeting vulnerable populations, where rapid and effective action is often paramount. Child poverty reduction, new education programs, or youth mental health initiatives, for example, can lead to substantial resistance from various parts of society who believe such policies threaten other priorities or services, especially if they require significant government expenditure or disrupt the existing order (UK Government, 2025).</w:t>
      </w:r>
    </w:p>
    <w:p w14:paraId="3F1B478D" w14:textId="06E0000A" w:rsidR="008B2C8B" w:rsidRDefault="008B2C8B" w:rsidP="008B2C8B">
      <w:pPr>
        <w:spacing w:line="360" w:lineRule="auto"/>
        <w:rPr>
          <w:rFonts w:ascii="Arial" w:hAnsi="Arial" w:cs="Arial"/>
        </w:rPr>
      </w:pPr>
      <w:r w:rsidRPr="008B2C8B">
        <w:rPr>
          <w:rFonts w:ascii="Arial" w:hAnsi="Arial" w:cs="Arial"/>
        </w:rPr>
        <w:t xml:space="preserve">The biggest problem with political resistance is that it delays the support that children and young people desperately need. Those living in poverty or facing an economic mental health crisis cannot wait for politicians to come to an agreement. Time only makes it worse for them, not having access to resources, services, and support systems can impact children and young people's well-being (Ansell, Sorensen, &amp; Torfing, 2017). The fact remains, however, that where political will persists against the contextualising pressures of the ever-increasing cost of service, the outcome is often under-funded schools, outdated teaching methods, overcrowded classrooms, and a lack of resources for children with special educational needs; all of which severely affect the </w:t>
      </w:r>
      <w:proofErr w:type="gramStart"/>
      <w:r w:rsidRPr="008B2C8B">
        <w:rPr>
          <w:rFonts w:ascii="Arial" w:hAnsi="Arial" w:cs="Arial"/>
        </w:rPr>
        <w:t>future prospects</w:t>
      </w:r>
      <w:proofErr w:type="gramEnd"/>
      <w:r w:rsidRPr="008B2C8B">
        <w:rPr>
          <w:rFonts w:ascii="Arial" w:hAnsi="Arial" w:cs="Arial"/>
        </w:rPr>
        <w:t xml:space="preserve"> of young people.</w:t>
      </w:r>
    </w:p>
    <w:p w14:paraId="161ACC9A" w14:textId="77777777" w:rsidR="00CA5BE5" w:rsidRPr="008B2C8B" w:rsidRDefault="00CA5BE5" w:rsidP="008B2C8B">
      <w:pPr>
        <w:spacing w:line="360" w:lineRule="auto"/>
        <w:rPr>
          <w:rFonts w:ascii="Arial" w:hAnsi="Arial" w:cs="Arial"/>
        </w:rPr>
      </w:pPr>
    </w:p>
    <w:p w14:paraId="1494B714" w14:textId="77777777" w:rsidR="008B2C8B" w:rsidRPr="008B2C8B" w:rsidRDefault="008B2C8B" w:rsidP="008B2C8B">
      <w:pPr>
        <w:spacing w:line="360" w:lineRule="auto"/>
        <w:rPr>
          <w:rFonts w:ascii="Arial" w:hAnsi="Arial" w:cs="Arial"/>
        </w:rPr>
      </w:pPr>
      <w:r w:rsidRPr="008B2C8B">
        <w:rPr>
          <w:rFonts w:ascii="Arial" w:hAnsi="Arial" w:cs="Arial"/>
        </w:rPr>
        <w:t>Political opposition can also serve to narrow the scope of policies so that children's and young people's needs and challenges cannot be fully addressed. For example, a policy to improve mental health services for young people might be watered down to leave out specific age groups or make cuts to vital funds if there's widespread opposition. It has been suggested by Ansell, Sorensen, &amp; Torfing, (2017) doing so would leave vulnerable young people without the necessary support, counter to the policy's very objectives. Similarly, efforts to address child poverty might falter if politicians dismantle crucial elements, such as cutting funding for families or failing to provide enough support for care and special needs children (Jennings, Stoker, &amp; Twyman, 2016).</w:t>
      </w:r>
    </w:p>
    <w:p w14:paraId="28403F5A" w14:textId="77777777" w:rsidR="008B2C8B" w:rsidRDefault="008B2C8B" w:rsidP="008B2C8B">
      <w:pPr>
        <w:spacing w:line="360" w:lineRule="auto"/>
        <w:rPr>
          <w:rFonts w:ascii="Arial" w:hAnsi="Arial" w:cs="Arial"/>
        </w:rPr>
      </w:pPr>
      <w:r w:rsidRPr="008B2C8B">
        <w:rPr>
          <w:rFonts w:ascii="Arial" w:hAnsi="Arial" w:cs="Arial"/>
        </w:rPr>
        <w:lastRenderedPageBreak/>
        <w:t>In addition, political opposition can alter the intention of a policy, diluting its power to effect change for children and young people. Take, for example, a policy that is designed to improve educational outcomes for vulnerable children, only it is undermined when politicians ignore the specific needs of those students in favour of spending cuts. It may mean fewer resources for smaller class sizes, mental health support, or individualised learning; things that are important in helping disadvantaged children thrive. Unfortunately, the policy might not be able to achieve its initial objectives, as young people would end up without the essential resources necessary for success (Levy, 2022). Political resistance is now having real, significant effects on children and young people who need these policies to build a better future. For policies to be effective in achieving their desired outcomes, they should feature strong and sustained political backing, especially for children and young people who need it most (Bruns &amp; Schneider, 2016).</w:t>
      </w:r>
    </w:p>
    <w:p w14:paraId="200723FE" w14:textId="77777777" w:rsidR="00CA5BE5" w:rsidRPr="008B2C8B" w:rsidRDefault="00CA5BE5" w:rsidP="008B2C8B">
      <w:pPr>
        <w:spacing w:line="360" w:lineRule="auto"/>
        <w:rPr>
          <w:rFonts w:ascii="Arial" w:hAnsi="Arial" w:cs="Arial"/>
        </w:rPr>
      </w:pPr>
    </w:p>
    <w:p w14:paraId="43CB254E" w14:textId="77777777" w:rsidR="008B2C8B" w:rsidRDefault="008B2C8B" w:rsidP="008B2C8B">
      <w:pPr>
        <w:spacing w:line="360" w:lineRule="auto"/>
        <w:rPr>
          <w:rFonts w:ascii="Arial" w:hAnsi="Arial" w:cs="Arial"/>
        </w:rPr>
      </w:pPr>
      <w:r w:rsidRPr="008B2C8B">
        <w:rPr>
          <w:rFonts w:ascii="Arial" w:hAnsi="Arial" w:cs="Arial"/>
        </w:rPr>
        <w:t>Children and young people are increasingly recognised as active agents of change, capable of meaningfully contributing to the issues that impact them. This shift in perspective is evident in youth-led movements advocating for climate action, social justice, and other pressing global challenges (Percy-Smith &amp; Burns, 2013). Young people today are more engaged, vocal, and aware of their rights, as well as the influential roles they can play in shaping the future (Neas, Ward, &amp; Bowman, 2022).</w:t>
      </w:r>
    </w:p>
    <w:p w14:paraId="7FE2A113" w14:textId="77777777" w:rsidR="00CA5BE5" w:rsidRPr="008B2C8B" w:rsidRDefault="00CA5BE5" w:rsidP="008B2C8B">
      <w:pPr>
        <w:spacing w:line="360" w:lineRule="auto"/>
        <w:rPr>
          <w:rFonts w:ascii="Arial" w:hAnsi="Arial" w:cs="Arial"/>
        </w:rPr>
      </w:pPr>
    </w:p>
    <w:p w14:paraId="6362F15C" w14:textId="38722836" w:rsidR="008B2C8B" w:rsidRDefault="008B2C8B" w:rsidP="008B2C8B">
      <w:pPr>
        <w:spacing w:line="360" w:lineRule="auto"/>
        <w:rPr>
          <w:rFonts w:ascii="Arial" w:hAnsi="Arial" w:cs="Arial"/>
        </w:rPr>
      </w:pPr>
      <w:r w:rsidRPr="008B2C8B">
        <w:rPr>
          <w:rFonts w:ascii="Arial" w:hAnsi="Arial" w:cs="Arial"/>
        </w:rPr>
        <w:t>However, this positive view is not universally shared. In many communities, young people still face significant challenges, particularly those from disadvantaged backgrounds</w:t>
      </w:r>
      <w:r w:rsidR="00CA5BE5">
        <w:rPr>
          <w:rFonts w:ascii="Arial" w:hAnsi="Arial" w:cs="Arial"/>
        </w:rPr>
        <w:t xml:space="preserve">. </w:t>
      </w:r>
      <w:r w:rsidRPr="008B2C8B">
        <w:rPr>
          <w:rFonts w:ascii="Arial" w:hAnsi="Arial" w:cs="Arial"/>
        </w:rPr>
        <w:t xml:space="preserve">This has humbled many, and the issues of unemployment, mental health concerns, and inadequate quality education persist among a significant number of children and youth </w:t>
      </w:r>
      <w:r w:rsidR="00CA5BE5" w:rsidRPr="008B2C8B">
        <w:rPr>
          <w:rFonts w:ascii="Arial" w:hAnsi="Arial" w:cs="Arial"/>
        </w:rPr>
        <w:t xml:space="preserve">(Office for National Statistics, 2023). </w:t>
      </w:r>
      <w:r w:rsidRPr="008B2C8B">
        <w:rPr>
          <w:rFonts w:ascii="Arial" w:hAnsi="Arial" w:cs="Arial"/>
        </w:rPr>
        <w:t>Unfortunately, there are sometimes societal stereotypes that cast young people in the role of a troublemaker or burden to society, which can compound these challenges (The Children's Society, 2021).</w:t>
      </w:r>
    </w:p>
    <w:p w14:paraId="24712924" w14:textId="77777777" w:rsidR="00CA5BE5" w:rsidRPr="008B2C8B" w:rsidRDefault="00CA5BE5" w:rsidP="008B2C8B">
      <w:pPr>
        <w:spacing w:line="360" w:lineRule="auto"/>
        <w:rPr>
          <w:rFonts w:ascii="Arial" w:hAnsi="Arial" w:cs="Arial"/>
        </w:rPr>
      </w:pPr>
    </w:p>
    <w:p w14:paraId="65D22FF6" w14:textId="26E958B7" w:rsidR="008B2C8B" w:rsidRPr="008B2C8B" w:rsidRDefault="008B2C8B" w:rsidP="008B2C8B">
      <w:pPr>
        <w:spacing w:line="360" w:lineRule="auto"/>
        <w:rPr>
          <w:rFonts w:ascii="Arial" w:hAnsi="Arial" w:cs="Arial"/>
        </w:rPr>
      </w:pPr>
      <w:r w:rsidRPr="008B2C8B">
        <w:rPr>
          <w:rFonts w:ascii="Arial" w:hAnsi="Arial" w:cs="Arial"/>
        </w:rPr>
        <w:t xml:space="preserve">Communities vary widely in the amount of support they can provide to young people. Some are lucky enough to be in areas with a strong support network, while others simply lack the essential components required to provide adequate service. This discrepancy highlights the continued necessity for policies that support equality and </w:t>
      </w:r>
      <w:r w:rsidRPr="008B2C8B">
        <w:rPr>
          <w:rFonts w:ascii="Arial" w:hAnsi="Arial" w:cs="Arial"/>
        </w:rPr>
        <w:lastRenderedPageBreak/>
        <w:t>inclusivity, so that all young people, irrespective of their background or circumstances, have identical opportunities to flourish (Percy-Smith &amp; Burns, 2013).</w:t>
      </w:r>
    </w:p>
    <w:p w14:paraId="4B86CC87" w14:textId="77777777" w:rsidR="008B2C8B" w:rsidRDefault="008B2C8B" w:rsidP="008B2C8B">
      <w:pPr>
        <w:spacing w:line="360" w:lineRule="auto"/>
        <w:rPr>
          <w:rFonts w:ascii="Arial" w:hAnsi="Arial" w:cs="Arial"/>
        </w:rPr>
      </w:pPr>
      <w:r w:rsidRPr="008B2C8B">
        <w:rPr>
          <w:rFonts w:ascii="Arial" w:hAnsi="Arial" w:cs="Arial"/>
        </w:rPr>
        <w:t>Although trends highlighting the base gap between policy and practice continue to improve, there remains a great distance between the two. Policy is often high-level, projecting the best intentions for children and young people and the way in which they should be cared for, but its implementation is not always as effective as it should be. However, policy resistance or lack of necessary resources may be barriers to achieving desired outcomes (Neas, Ward, &amp; Bowman, 2022; Arije, et al., 2022).</w:t>
      </w:r>
    </w:p>
    <w:p w14:paraId="5F54A2E7" w14:textId="77777777" w:rsidR="00CA5BE5" w:rsidRPr="008B2C8B" w:rsidRDefault="00CA5BE5" w:rsidP="008B2C8B">
      <w:pPr>
        <w:spacing w:line="360" w:lineRule="auto"/>
        <w:rPr>
          <w:rFonts w:ascii="Arial" w:hAnsi="Arial" w:cs="Arial"/>
        </w:rPr>
      </w:pPr>
    </w:p>
    <w:p w14:paraId="0D6140EC" w14:textId="77777777" w:rsidR="008B2C8B" w:rsidRDefault="008B2C8B" w:rsidP="008B2C8B">
      <w:pPr>
        <w:spacing w:line="360" w:lineRule="auto"/>
        <w:rPr>
          <w:rFonts w:ascii="Arial" w:hAnsi="Arial" w:cs="Arial"/>
        </w:rPr>
      </w:pPr>
      <w:r w:rsidRPr="008B2C8B">
        <w:rPr>
          <w:rFonts w:ascii="Arial" w:hAnsi="Arial" w:cs="Arial"/>
        </w:rPr>
        <w:t>These are just some of the key areas where policy and practice could be improved. One big area is the need for mental health support for young people and the development of services. Young people continue to lack access to the services they need despite greater awareness of mental health issues. Policies need to be updated to ensure mental health support is integrated into schools, community organisations, and other youth services (Haggstrom, et al., 2022; Colizzi, et al., 2020).</w:t>
      </w:r>
    </w:p>
    <w:p w14:paraId="3D248E5C" w14:textId="77777777" w:rsidR="00CA5BE5" w:rsidRPr="008B2C8B" w:rsidRDefault="00CA5BE5" w:rsidP="008B2C8B">
      <w:pPr>
        <w:spacing w:line="360" w:lineRule="auto"/>
        <w:rPr>
          <w:rFonts w:ascii="Arial" w:hAnsi="Arial" w:cs="Arial"/>
        </w:rPr>
      </w:pPr>
    </w:p>
    <w:p w14:paraId="67044418" w14:textId="77777777" w:rsidR="008B2C8B" w:rsidRDefault="008B2C8B" w:rsidP="008B2C8B">
      <w:pPr>
        <w:spacing w:line="360" w:lineRule="auto"/>
        <w:rPr>
          <w:rFonts w:ascii="Arial" w:hAnsi="Arial" w:cs="Arial"/>
        </w:rPr>
      </w:pPr>
      <w:r w:rsidRPr="008B2C8B">
        <w:rPr>
          <w:rFonts w:ascii="Arial" w:hAnsi="Arial" w:cs="Arial"/>
        </w:rPr>
        <w:t>Additionally, there is a need for policies that address the complex and intersecting needs of children from marginalised groups, such as those with disabilities, ethnic minorities, or those living in poverty. These groups often face increased disadvantages not always addressed by existing policies (Evans et al., 2024). Furthermore, more integrated approaches are needed, where different services such as education, health, social care, and justice, work together more effectively. A holistic approach would ensure that young people receive the full range of support they need to thrive (Save the Children, 2024; Powell &amp; Mutebi, 2025).</w:t>
      </w:r>
    </w:p>
    <w:p w14:paraId="5C746B70" w14:textId="77777777" w:rsidR="00CA5BE5" w:rsidRPr="008B2C8B" w:rsidRDefault="00CA5BE5" w:rsidP="008B2C8B">
      <w:pPr>
        <w:spacing w:line="360" w:lineRule="auto"/>
        <w:rPr>
          <w:rFonts w:ascii="Arial" w:hAnsi="Arial" w:cs="Arial"/>
        </w:rPr>
      </w:pPr>
    </w:p>
    <w:p w14:paraId="206200FC" w14:textId="5906AAEF" w:rsidR="00000000" w:rsidRDefault="008B2C8B" w:rsidP="008B2C8B">
      <w:pPr>
        <w:spacing w:line="360" w:lineRule="auto"/>
        <w:rPr>
          <w:rFonts w:ascii="Arial" w:hAnsi="Arial" w:cs="Arial"/>
        </w:rPr>
      </w:pPr>
      <w:r w:rsidRPr="008B2C8B">
        <w:rPr>
          <w:rFonts w:ascii="Arial" w:hAnsi="Arial" w:cs="Arial"/>
        </w:rPr>
        <w:t>In conclusion, while factors can help translate policies into successful practice, barriers such as resource limitations, political resistance, and a lack of training can often impede their implementation (Viennet &amp; Pont, 2017). The view of young people and communities has evolved, but significant challenges remain, particularly for those facing socio-economic disadvantages</w:t>
      </w:r>
      <w:r w:rsidR="00CA5BE5">
        <w:rPr>
          <w:rFonts w:ascii="Arial" w:hAnsi="Arial" w:cs="Arial"/>
        </w:rPr>
        <w:t>.</w:t>
      </w:r>
      <w:r w:rsidRPr="008B2C8B">
        <w:rPr>
          <w:rFonts w:ascii="Arial" w:hAnsi="Arial" w:cs="Arial"/>
        </w:rPr>
        <w:t xml:space="preserve"> By addressing these gaps and improving both policies and practices, society can create a more supportive environment for children and young people (Viennet &amp; Pont, 2017). Only by doing so </w:t>
      </w:r>
      <w:r w:rsidRPr="008B2C8B">
        <w:rPr>
          <w:rFonts w:ascii="Arial" w:hAnsi="Arial" w:cs="Arial"/>
        </w:rPr>
        <w:lastRenderedPageBreak/>
        <w:t>will we ensure that they can reach their full potential and contribute to the betterment of society.</w:t>
      </w:r>
    </w:p>
    <w:p w14:paraId="3A396816" w14:textId="77777777" w:rsidR="00224DE5" w:rsidRDefault="00224DE5" w:rsidP="008B2C8B">
      <w:pPr>
        <w:spacing w:line="360" w:lineRule="auto"/>
        <w:rPr>
          <w:rFonts w:ascii="Arial" w:hAnsi="Arial" w:cs="Arial"/>
        </w:rPr>
      </w:pPr>
    </w:p>
    <w:p w14:paraId="06BED1EB" w14:textId="77777777" w:rsidR="00224DE5" w:rsidRDefault="00224DE5" w:rsidP="008B2C8B">
      <w:pPr>
        <w:spacing w:line="360" w:lineRule="auto"/>
        <w:rPr>
          <w:rFonts w:ascii="Arial" w:hAnsi="Arial" w:cs="Arial"/>
        </w:rPr>
      </w:pPr>
    </w:p>
    <w:p w14:paraId="30DB4F40" w14:textId="77777777" w:rsidR="00224DE5" w:rsidRDefault="00224DE5" w:rsidP="008B2C8B">
      <w:pPr>
        <w:spacing w:line="360" w:lineRule="auto"/>
        <w:rPr>
          <w:rFonts w:ascii="Arial" w:hAnsi="Arial" w:cs="Arial"/>
        </w:rPr>
      </w:pPr>
    </w:p>
    <w:p w14:paraId="7BC0EC33" w14:textId="77777777" w:rsidR="00224DE5" w:rsidRDefault="00224DE5" w:rsidP="008B2C8B">
      <w:pPr>
        <w:spacing w:line="360" w:lineRule="auto"/>
        <w:rPr>
          <w:rFonts w:ascii="Arial" w:hAnsi="Arial" w:cs="Arial"/>
        </w:rPr>
      </w:pPr>
    </w:p>
    <w:p w14:paraId="2D40087F" w14:textId="77777777" w:rsidR="00224DE5" w:rsidRDefault="00224DE5" w:rsidP="008B2C8B">
      <w:pPr>
        <w:spacing w:line="360" w:lineRule="auto"/>
        <w:rPr>
          <w:rFonts w:ascii="Arial" w:hAnsi="Arial" w:cs="Arial"/>
        </w:rPr>
      </w:pPr>
    </w:p>
    <w:p w14:paraId="7161E6C8" w14:textId="77777777" w:rsidR="00224DE5" w:rsidRDefault="00224DE5" w:rsidP="008B2C8B">
      <w:pPr>
        <w:spacing w:line="360" w:lineRule="auto"/>
        <w:rPr>
          <w:rFonts w:ascii="Arial" w:hAnsi="Arial" w:cs="Arial"/>
        </w:rPr>
      </w:pPr>
    </w:p>
    <w:p w14:paraId="3ED5B3CF" w14:textId="77777777" w:rsidR="00224DE5" w:rsidRDefault="00224DE5" w:rsidP="008B2C8B">
      <w:pPr>
        <w:spacing w:line="360" w:lineRule="auto"/>
        <w:rPr>
          <w:rFonts w:ascii="Arial" w:hAnsi="Arial" w:cs="Arial"/>
        </w:rPr>
      </w:pPr>
    </w:p>
    <w:p w14:paraId="231795AE" w14:textId="77777777" w:rsidR="00224DE5" w:rsidRDefault="00224DE5" w:rsidP="008B2C8B">
      <w:pPr>
        <w:spacing w:line="360" w:lineRule="auto"/>
        <w:rPr>
          <w:rFonts w:ascii="Arial" w:hAnsi="Arial" w:cs="Arial"/>
        </w:rPr>
      </w:pPr>
    </w:p>
    <w:p w14:paraId="5E7056B7" w14:textId="77777777" w:rsidR="00224DE5" w:rsidRDefault="00224DE5" w:rsidP="008B2C8B">
      <w:pPr>
        <w:spacing w:line="360" w:lineRule="auto"/>
        <w:rPr>
          <w:rFonts w:ascii="Arial" w:hAnsi="Arial" w:cs="Arial"/>
        </w:rPr>
      </w:pPr>
    </w:p>
    <w:p w14:paraId="35C40D73" w14:textId="77777777" w:rsidR="00224DE5" w:rsidRDefault="00224DE5" w:rsidP="008B2C8B">
      <w:pPr>
        <w:spacing w:line="360" w:lineRule="auto"/>
        <w:rPr>
          <w:rFonts w:ascii="Arial" w:hAnsi="Arial" w:cs="Arial"/>
        </w:rPr>
      </w:pPr>
    </w:p>
    <w:p w14:paraId="12334688" w14:textId="77777777" w:rsidR="00224DE5" w:rsidRDefault="00224DE5" w:rsidP="008B2C8B">
      <w:pPr>
        <w:spacing w:line="360" w:lineRule="auto"/>
        <w:rPr>
          <w:rFonts w:ascii="Arial" w:hAnsi="Arial" w:cs="Arial"/>
        </w:rPr>
      </w:pPr>
    </w:p>
    <w:p w14:paraId="40EC6950" w14:textId="77777777" w:rsidR="00224DE5" w:rsidRDefault="00224DE5" w:rsidP="008B2C8B">
      <w:pPr>
        <w:spacing w:line="360" w:lineRule="auto"/>
        <w:rPr>
          <w:rFonts w:ascii="Arial" w:hAnsi="Arial" w:cs="Arial"/>
        </w:rPr>
      </w:pPr>
    </w:p>
    <w:p w14:paraId="7D41FCE8" w14:textId="77777777" w:rsidR="00224DE5" w:rsidRDefault="00224DE5" w:rsidP="008B2C8B">
      <w:pPr>
        <w:spacing w:line="360" w:lineRule="auto"/>
        <w:rPr>
          <w:rFonts w:ascii="Arial" w:hAnsi="Arial" w:cs="Arial"/>
        </w:rPr>
      </w:pPr>
    </w:p>
    <w:p w14:paraId="2413B1E6" w14:textId="77777777" w:rsidR="00224DE5" w:rsidRDefault="00224DE5" w:rsidP="008B2C8B">
      <w:pPr>
        <w:spacing w:line="360" w:lineRule="auto"/>
        <w:rPr>
          <w:rFonts w:ascii="Arial" w:hAnsi="Arial" w:cs="Arial"/>
        </w:rPr>
      </w:pPr>
    </w:p>
    <w:p w14:paraId="6C53076C" w14:textId="77777777" w:rsidR="00224DE5" w:rsidRDefault="00224DE5" w:rsidP="008B2C8B">
      <w:pPr>
        <w:spacing w:line="360" w:lineRule="auto"/>
        <w:rPr>
          <w:rFonts w:ascii="Arial" w:hAnsi="Arial" w:cs="Arial"/>
        </w:rPr>
      </w:pPr>
    </w:p>
    <w:p w14:paraId="5B1E9718" w14:textId="77777777" w:rsidR="00224DE5" w:rsidRDefault="00224DE5" w:rsidP="008B2C8B">
      <w:pPr>
        <w:spacing w:line="360" w:lineRule="auto"/>
        <w:rPr>
          <w:rFonts w:ascii="Arial" w:hAnsi="Arial" w:cs="Arial"/>
        </w:rPr>
      </w:pPr>
    </w:p>
    <w:p w14:paraId="29FA5EF6" w14:textId="77777777" w:rsidR="00224DE5" w:rsidRDefault="00224DE5" w:rsidP="008B2C8B">
      <w:pPr>
        <w:spacing w:line="360" w:lineRule="auto"/>
        <w:rPr>
          <w:rFonts w:ascii="Arial" w:hAnsi="Arial" w:cs="Arial"/>
        </w:rPr>
      </w:pPr>
    </w:p>
    <w:p w14:paraId="47FB1D75" w14:textId="77777777" w:rsidR="00224DE5" w:rsidRDefault="00224DE5" w:rsidP="008B2C8B">
      <w:pPr>
        <w:spacing w:line="360" w:lineRule="auto"/>
        <w:rPr>
          <w:rFonts w:ascii="Arial" w:hAnsi="Arial" w:cs="Arial"/>
        </w:rPr>
      </w:pPr>
    </w:p>
    <w:p w14:paraId="0402F7FB" w14:textId="77777777" w:rsidR="00224DE5" w:rsidRDefault="00224DE5" w:rsidP="008B2C8B">
      <w:pPr>
        <w:spacing w:line="360" w:lineRule="auto"/>
        <w:rPr>
          <w:rFonts w:ascii="Arial" w:hAnsi="Arial" w:cs="Arial"/>
        </w:rPr>
      </w:pPr>
    </w:p>
    <w:p w14:paraId="12C891E8" w14:textId="77777777" w:rsidR="00224DE5" w:rsidRDefault="00224DE5" w:rsidP="008B2C8B">
      <w:pPr>
        <w:spacing w:line="360" w:lineRule="auto"/>
        <w:rPr>
          <w:rFonts w:ascii="Arial" w:hAnsi="Arial" w:cs="Arial"/>
        </w:rPr>
      </w:pPr>
    </w:p>
    <w:p w14:paraId="0B5F03B6" w14:textId="77777777" w:rsidR="00224DE5" w:rsidRDefault="00224DE5" w:rsidP="008B2C8B">
      <w:pPr>
        <w:spacing w:line="360" w:lineRule="auto"/>
        <w:rPr>
          <w:rFonts w:ascii="Arial" w:hAnsi="Arial" w:cs="Arial"/>
        </w:rPr>
      </w:pPr>
    </w:p>
    <w:p w14:paraId="367F63B1" w14:textId="77777777" w:rsidR="00224DE5" w:rsidRDefault="00224DE5" w:rsidP="008B2C8B">
      <w:pPr>
        <w:spacing w:line="360" w:lineRule="auto"/>
        <w:rPr>
          <w:rFonts w:ascii="Arial" w:hAnsi="Arial" w:cs="Arial"/>
        </w:rPr>
      </w:pPr>
    </w:p>
    <w:p w14:paraId="009F9594" w14:textId="77777777" w:rsidR="00224DE5" w:rsidRDefault="00224DE5" w:rsidP="008B2C8B">
      <w:pPr>
        <w:spacing w:line="360" w:lineRule="auto"/>
        <w:rPr>
          <w:rFonts w:ascii="Arial" w:hAnsi="Arial" w:cs="Arial"/>
        </w:rPr>
      </w:pPr>
    </w:p>
    <w:p w14:paraId="1BFC4724" w14:textId="77777777" w:rsidR="00224DE5" w:rsidRDefault="00224DE5" w:rsidP="008B2C8B">
      <w:pPr>
        <w:spacing w:line="360" w:lineRule="auto"/>
        <w:rPr>
          <w:rFonts w:ascii="Arial" w:hAnsi="Arial" w:cs="Arial"/>
        </w:rPr>
      </w:pPr>
    </w:p>
    <w:p w14:paraId="54D5BA64" w14:textId="77777777" w:rsidR="00224DE5" w:rsidRDefault="00224DE5" w:rsidP="008B2C8B">
      <w:pPr>
        <w:spacing w:line="360" w:lineRule="auto"/>
        <w:rPr>
          <w:rFonts w:ascii="Arial" w:hAnsi="Arial" w:cs="Arial"/>
        </w:rPr>
      </w:pPr>
    </w:p>
    <w:p w14:paraId="42E6E1DA" w14:textId="33BB2EBD" w:rsidR="00224DE5" w:rsidRDefault="00224DE5" w:rsidP="008B2C8B">
      <w:pPr>
        <w:spacing w:line="360" w:lineRule="auto"/>
        <w:rPr>
          <w:rFonts w:ascii="Arial" w:hAnsi="Arial" w:cs="Arial"/>
          <w:u w:val="single"/>
        </w:rPr>
      </w:pPr>
      <w:r w:rsidRPr="00224DE5">
        <w:rPr>
          <w:rFonts w:ascii="Arial" w:hAnsi="Arial" w:cs="Arial"/>
          <w:u w:val="single"/>
        </w:rPr>
        <w:t>Reference List.</w:t>
      </w:r>
      <w:r>
        <w:rPr>
          <w:rFonts w:ascii="Arial" w:hAnsi="Arial" w:cs="Arial"/>
          <w:u w:val="single"/>
        </w:rPr>
        <w:br/>
      </w:r>
    </w:p>
    <w:p w14:paraId="16FD637B" w14:textId="34CDD9F5"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 xml:space="preserve">Albright, K., Navarro, E. I., </w:t>
      </w:r>
      <w:proofErr w:type="spellStart"/>
      <w:r w:rsidRPr="00236AB0">
        <w:rPr>
          <w:rFonts w:ascii="Arial" w:hAnsi="Arial" w:cs="Arial"/>
        </w:rPr>
        <w:t>Jarad</w:t>
      </w:r>
      <w:proofErr w:type="spellEnd"/>
      <w:r w:rsidRPr="00236AB0">
        <w:rPr>
          <w:rFonts w:ascii="Arial" w:hAnsi="Arial" w:cs="Arial"/>
        </w:rPr>
        <w:t xml:space="preserve">, I., Boyd, M. R., Powell, B. J., &amp; Lewis, C. C. (2022). Communication strategies to facilitate the implementation of new clinical practices: a qualitative study of community mental health therapists. </w:t>
      </w:r>
      <w:r w:rsidRPr="00236AB0">
        <w:rPr>
          <w:rStyle w:val="Emphasis"/>
          <w:rFonts w:ascii="Arial" w:eastAsiaTheme="majorEastAsia" w:hAnsi="Arial" w:cs="Arial"/>
        </w:rPr>
        <w:t xml:space="preserve">Translational </w:t>
      </w:r>
      <w:proofErr w:type="spellStart"/>
      <w:r w:rsidRPr="00236AB0">
        <w:rPr>
          <w:rStyle w:val="Emphasis"/>
          <w:rFonts w:ascii="Arial" w:eastAsiaTheme="majorEastAsia" w:hAnsi="Arial" w:cs="Arial"/>
        </w:rPr>
        <w:t>behavioral</w:t>
      </w:r>
      <w:proofErr w:type="spellEnd"/>
      <w:r w:rsidRPr="00236AB0">
        <w:rPr>
          <w:rStyle w:val="Emphasis"/>
          <w:rFonts w:ascii="Arial" w:eastAsiaTheme="majorEastAsia" w:hAnsi="Arial" w:cs="Arial"/>
        </w:rPr>
        <w:t xml:space="preserve"> medicine</w:t>
      </w:r>
      <w:r w:rsidRPr="00236AB0">
        <w:rPr>
          <w:rFonts w:ascii="Arial" w:hAnsi="Arial" w:cs="Arial"/>
        </w:rPr>
        <w:t>, 12(2), 324–334.</w:t>
      </w:r>
    </w:p>
    <w:p w14:paraId="11DE2753" w14:textId="7CCDFA8F"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lastRenderedPageBreak/>
        <w:t xml:space="preserve">Allen, K., Reupert, A., &amp; </w:t>
      </w:r>
      <w:proofErr w:type="spellStart"/>
      <w:r w:rsidRPr="00236AB0">
        <w:rPr>
          <w:rFonts w:ascii="Arial" w:hAnsi="Arial" w:cs="Arial"/>
        </w:rPr>
        <w:t>Oades</w:t>
      </w:r>
      <w:proofErr w:type="spellEnd"/>
      <w:r w:rsidRPr="00236AB0">
        <w:rPr>
          <w:rFonts w:ascii="Arial" w:hAnsi="Arial" w:cs="Arial"/>
        </w:rPr>
        <w:t xml:space="preserve">, L. (2021). Building Better Schools with Evidence-based Policy. </w:t>
      </w:r>
      <w:r w:rsidR="00236AB0">
        <w:rPr>
          <w:rStyle w:val="Emphasis"/>
          <w:rFonts w:ascii="Arial" w:eastAsiaTheme="majorEastAsia" w:hAnsi="Arial" w:cs="Arial"/>
          <w:i w:val="0"/>
          <w:iCs w:val="0"/>
        </w:rPr>
        <w:t>Oxfordshire: Routledge.</w:t>
      </w:r>
      <w:r w:rsidRPr="00236AB0">
        <w:rPr>
          <w:rFonts w:ascii="Arial" w:hAnsi="Arial" w:cs="Arial"/>
        </w:rPr>
        <w:t xml:space="preserve"> </w:t>
      </w:r>
    </w:p>
    <w:p w14:paraId="12975320" w14:textId="42A0C76F"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 xml:space="preserve">Ansell, C., </w:t>
      </w:r>
      <w:proofErr w:type="spellStart"/>
      <w:r w:rsidRPr="00236AB0">
        <w:rPr>
          <w:rFonts w:ascii="Arial" w:hAnsi="Arial" w:cs="Arial"/>
        </w:rPr>
        <w:t>Sørensen</w:t>
      </w:r>
      <w:proofErr w:type="spellEnd"/>
      <w:r w:rsidRPr="00236AB0">
        <w:rPr>
          <w:rFonts w:ascii="Arial" w:hAnsi="Arial" w:cs="Arial"/>
        </w:rPr>
        <w:t xml:space="preserve">, E., &amp; Torfing, J. (2017). Policy and Politics: Improving policy implementation through collaborative policymaking. </w:t>
      </w:r>
      <w:r w:rsidRPr="00236AB0">
        <w:rPr>
          <w:rStyle w:val="Emphasis"/>
          <w:rFonts w:ascii="Arial" w:eastAsiaTheme="majorEastAsia" w:hAnsi="Arial" w:cs="Arial"/>
        </w:rPr>
        <w:t>Discover Society</w:t>
      </w:r>
      <w:r w:rsidRPr="00236AB0">
        <w:rPr>
          <w:rFonts w:ascii="Arial" w:hAnsi="Arial" w:cs="Arial"/>
        </w:rPr>
        <w:t>. Available at: https://archive.discoversociety.org/2017/09/05/policy-and-politics-improving-policy-implementation-through-collaborative-policymaking/ (Accessed: 11 January 2025).</w:t>
      </w:r>
    </w:p>
    <w:p w14:paraId="525CC066" w14:textId="2D0FCBE3"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 xml:space="preserve">Arije, O., </w:t>
      </w:r>
      <w:proofErr w:type="spellStart"/>
      <w:r w:rsidRPr="00236AB0">
        <w:rPr>
          <w:rFonts w:ascii="Arial" w:hAnsi="Arial" w:cs="Arial"/>
        </w:rPr>
        <w:t>Hlungwani</w:t>
      </w:r>
      <w:proofErr w:type="spellEnd"/>
      <w:r w:rsidRPr="00236AB0">
        <w:rPr>
          <w:rFonts w:ascii="Arial" w:hAnsi="Arial" w:cs="Arial"/>
        </w:rPr>
        <w:t xml:space="preserve">, T., &amp; Madan, J. (2022). Key informants' perspectives on policy- and service-level challenges and opportunities for delivering adolescent and youth-friendly health services in public health facilities in a Nigerian setting. </w:t>
      </w:r>
      <w:r w:rsidRPr="00236AB0">
        <w:rPr>
          <w:rStyle w:val="Emphasis"/>
          <w:rFonts w:ascii="Arial" w:eastAsiaTheme="majorEastAsia" w:hAnsi="Arial" w:cs="Arial"/>
        </w:rPr>
        <w:t>BMC health services research</w:t>
      </w:r>
      <w:r w:rsidRPr="00236AB0">
        <w:rPr>
          <w:rFonts w:ascii="Arial" w:hAnsi="Arial" w:cs="Arial"/>
        </w:rPr>
        <w:t>, 22(1), 1493. Available at: https://doi.org/10.1186/s12913-022-08860-z (Accessed: 11 January 2025).</w:t>
      </w:r>
    </w:p>
    <w:p w14:paraId="4B4DF7B9" w14:textId="520D7FC8"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Asana. (2025). What is strategy implementation? 6 key steps to success. Available at: https://asana.com/resources/strategy-implementation (Accessed: 11 January 2025).</w:t>
      </w:r>
    </w:p>
    <w:p w14:paraId="78D0C147" w14:textId="7A7AAC31"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 xml:space="preserve">Becker, T., Kilian, R., &amp; </w:t>
      </w:r>
      <w:proofErr w:type="spellStart"/>
      <w:r w:rsidRPr="00236AB0">
        <w:rPr>
          <w:rFonts w:ascii="Arial" w:hAnsi="Arial" w:cs="Arial"/>
        </w:rPr>
        <w:t>Kösters</w:t>
      </w:r>
      <w:proofErr w:type="spellEnd"/>
      <w:r w:rsidRPr="00236AB0">
        <w:rPr>
          <w:rFonts w:ascii="Arial" w:hAnsi="Arial" w:cs="Arial"/>
        </w:rPr>
        <w:t xml:space="preserve">, M. (2017). Policies, guideline implementation and practice change - how can the process be understood? </w:t>
      </w:r>
      <w:r w:rsidRPr="00236AB0">
        <w:rPr>
          <w:rStyle w:val="Emphasis"/>
          <w:rFonts w:ascii="Arial" w:eastAsiaTheme="majorEastAsia" w:hAnsi="Arial" w:cs="Arial"/>
        </w:rPr>
        <w:t>Epidemiology and psychiatric sciences</w:t>
      </w:r>
      <w:r w:rsidRPr="00236AB0">
        <w:rPr>
          <w:rFonts w:ascii="Arial" w:hAnsi="Arial" w:cs="Arial"/>
        </w:rPr>
        <w:t>, 26(2), 115–118. Available at: https://doi.org/10.1017/S2045796016000706 (Accessed: 11 January 2025).</w:t>
      </w:r>
    </w:p>
    <w:p w14:paraId="7B93AA70" w14:textId="4F2CCE4F"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 xml:space="preserve">Bevan, L. D. (2022). The ambiguities of uncertainty: A review of uncertainty frameworks relevant to the assessment of environmental change. </w:t>
      </w:r>
      <w:r w:rsidRPr="00236AB0">
        <w:rPr>
          <w:rStyle w:val="Emphasis"/>
          <w:rFonts w:ascii="Arial" w:eastAsiaTheme="majorEastAsia" w:hAnsi="Arial" w:cs="Arial"/>
        </w:rPr>
        <w:t>Futures</w:t>
      </w:r>
      <w:r w:rsidRPr="00236AB0">
        <w:rPr>
          <w:rFonts w:ascii="Arial" w:hAnsi="Arial" w:cs="Arial"/>
        </w:rPr>
        <w:t>. Available at: sciencedirect.com (Accessed: 11 January 2025).</w:t>
      </w:r>
    </w:p>
    <w:p w14:paraId="6AFE8F62" w14:textId="04F385F1"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Bismarck, O. (1881-1890). Bismarck's Social Legislation. Available at: https://www.bismarck-biografie.de/en/politik/bismarcks-sozialgesetzgebung-1881-1890 (Accessed: 11 January 2025).</w:t>
      </w:r>
    </w:p>
    <w:p w14:paraId="30D99F47" w14:textId="241FC21A"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 xml:space="preserve">Bruns, B., &amp; Schneider, B. R. (2016). Managing the Politics of Quality Reforms in Education: Policy Lessons from Global Experience. </w:t>
      </w:r>
      <w:r w:rsidRPr="00236AB0">
        <w:rPr>
          <w:rStyle w:val="Emphasis"/>
          <w:rFonts w:ascii="Arial" w:eastAsiaTheme="majorEastAsia" w:hAnsi="Arial" w:cs="Arial"/>
        </w:rPr>
        <w:t>Education Commission</w:t>
      </w:r>
      <w:r w:rsidRPr="00236AB0">
        <w:rPr>
          <w:rFonts w:ascii="Arial" w:hAnsi="Arial" w:cs="Arial"/>
        </w:rPr>
        <w:t>. Available at: https://report.educationcommission.org/wp-content/uploads/2017/01/Managing-the-Politics-of-Quality-Reforms.pdf (Accessed: 11 January 2025).</w:t>
      </w:r>
    </w:p>
    <w:p w14:paraId="27C027FB" w14:textId="71662AAC"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Chellappa, S. (2023). The importance of implementation and benefits of training and development programs. Available at: https://engagedly.com/blog/importance-implementation-and-benefits-of-training-and-development-program/?utm_source=chatgpt.com (Accessed: 19 January 2025).</w:t>
      </w:r>
    </w:p>
    <w:p w14:paraId="11CAA313" w14:textId="777FF068"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lastRenderedPageBreak/>
        <w:t>Child Protection and Welfare Practice Handbook. (2011).</w:t>
      </w:r>
    </w:p>
    <w:p w14:paraId="25DED00B" w14:textId="0236C39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Children Act 1908 (c. 67). Available at: https://www.legislation.gov.uk/ukpga/Edw7/8/67/contents/enacted (Accessed: 11 January 2025).</w:t>
      </w:r>
    </w:p>
    <w:p w14:paraId="6FDFFC0D" w14:textId="09FA2A70"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Children Act 1989. Available at: https://www.legislation.gov.uk/ukpga/1989/41/contents/enacted (Accessed: 11 January 2025).</w:t>
      </w:r>
    </w:p>
    <w:p w14:paraId="7ED5788D" w14:textId="5D3AAF1B"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Children and Families Act 2014. Available at: https://www.legislation.gov.uk/ukpga/2014/6/contents/enacted (Accessed: 11 January 2025).</w:t>
      </w:r>
    </w:p>
    <w:p w14:paraId="57A1AC79" w14:textId="7776C3D3" w:rsidR="00224DE5" w:rsidRPr="00C62D60" w:rsidRDefault="00224DE5" w:rsidP="00C62D60">
      <w:pPr>
        <w:pStyle w:val="NormalWeb"/>
        <w:numPr>
          <w:ilvl w:val="0"/>
          <w:numId w:val="1"/>
        </w:numPr>
        <w:spacing w:line="360" w:lineRule="auto"/>
        <w:rPr>
          <w:rFonts w:ascii="Arial" w:hAnsi="Arial" w:cs="Arial"/>
        </w:rPr>
      </w:pPr>
      <w:r w:rsidRPr="00236AB0">
        <w:rPr>
          <w:rFonts w:ascii="Arial" w:hAnsi="Arial" w:cs="Arial"/>
        </w:rPr>
        <w:t xml:space="preserve">Colizzi, M., Lasalvia, A., &amp; Ruggeri, M. (2020). Prevention and early intervention in youth mental health: is it time for a multidisciplinary and trans-diagnostic model for care? </w:t>
      </w:r>
      <w:r w:rsidRPr="00236AB0">
        <w:rPr>
          <w:rStyle w:val="Emphasis"/>
          <w:rFonts w:ascii="Arial" w:eastAsiaTheme="majorEastAsia" w:hAnsi="Arial" w:cs="Arial"/>
        </w:rPr>
        <w:t>International Journal of Mental Health Systems</w:t>
      </w:r>
      <w:r w:rsidRPr="00236AB0">
        <w:rPr>
          <w:rFonts w:ascii="Arial" w:hAnsi="Arial" w:cs="Arial"/>
        </w:rPr>
        <w:t>, 14, 23. Available at: https://ijmhs.biomedcentral.com/articles/10.1186/s13033-020-00356-9 (Accessed: 11 January 2025).</w:t>
      </w:r>
    </w:p>
    <w:p w14:paraId="7062740C" w14:textId="7777777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 xml:space="preserve">Dang, D., </w:t>
      </w:r>
      <w:proofErr w:type="spellStart"/>
      <w:r w:rsidRPr="00236AB0">
        <w:rPr>
          <w:rFonts w:ascii="Arial" w:hAnsi="Arial" w:cs="Arial"/>
        </w:rPr>
        <w:t>Dearholt</w:t>
      </w:r>
      <w:proofErr w:type="spellEnd"/>
      <w:r w:rsidRPr="00236AB0">
        <w:rPr>
          <w:rFonts w:ascii="Arial" w:hAnsi="Arial" w:cs="Arial"/>
        </w:rPr>
        <w:t xml:space="preserve">, S. L., Bissett, K., </w:t>
      </w:r>
      <w:proofErr w:type="spellStart"/>
      <w:r w:rsidRPr="00236AB0">
        <w:rPr>
          <w:rFonts w:ascii="Arial" w:hAnsi="Arial" w:cs="Arial"/>
        </w:rPr>
        <w:t>Ascenzi</w:t>
      </w:r>
      <w:proofErr w:type="spellEnd"/>
      <w:r w:rsidRPr="00236AB0">
        <w:rPr>
          <w:rFonts w:ascii="Arial" w:hAnsi="Arial" w:cs="Arial"/>
        </w:rPr>
        <w:t>, J., &amp; Whalen, M. (2021). Johns Hopkins evidence-based practice for nurses and healthcare professionals: Model and guidelines. [HTML].</w:t>
      </w:r>
    </w:p>
    <w:p w14:paraId="0C0AE540" w14:textId="7777777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Dean, M. (2024). What Are Some Barriers to Technology Integration in Education? Available at: https://www.hmhco.com/blog/barriers-of-ict-in-education (Accessed: 19 January 2025).</w:t>
      </w:r>
    </w:p>
    <w:p w14:paraId="19098984" w14:textId="77777777" w:rsidR="00224DE5" w:rsidRPr="00236AB0" w:rsidRDefault="00224DE5" w:rsidP="00236AB0">
      <w:pPr>
        <w:pStyle w:val="NormalWeb"/>
        <w:numPr>
          <w:ilvl w:val="0"/>
          <w:numId w:val="1"/>
        </w:numPr>
        <w:spacing w:line="360" w:lineRule="auto"/>
        <w:rPr>
          <w:rFonts w:ascii="Arial" w:hAnsi="Arial" w:cs="Arial"/>
        </w:rPr>
      </w:pPr>
      <w:proofErr w:type="spellStart"/>
      <w:r w:rsidRPr="00236AB0">
        <w:rPr>
          <w:rFonts w:ascii="Arial" w:hAnsi="Arial" w:cs="Arial"/>
        </w:rPr>
        <w:t>Demkowicz</w:t>
      </w:r>
      <w:proofErr w:type="spellEnd"/>
      <w:r w:rsidRPr="00236AB0">
        <w:rPr>
          <w:rFonts w:ascii="Arial" w:hAnsi="Arial" w:cs="Arial"/>
        </w:rPr>
        <w:t xml:space="preserve">, O., Pert, K., Bond, C., Ashworth, E., Hennessey, A., &amp; Bray, L. (2023). “We want it to be a culture”: children and young people’s perceptions of what underpins and undermines education-based wellbeing provision. </w:t>
      </w:r>
      <w:r w:rsidRPr="00236AB0">
        <w:rPr>
          <w:rStyle w:val="Emphasis"/>
          <w:rFonts w:ascii="Arial" w:eastAsiaTheme="majorEastAsia" w:hAnsi="Arial" w:cs="Arial"/>
        </w:rPr>
        <w:t>BMC Public Health</w:t>
      </w:r>
      <w:r w:rsidRPr="00236AB0">
        <w:rPr>
          <w:rFonts w:ascii="Arial" w:hAnsi="Arial" w:cs="Arial"/>
        </w:rPr>
        <w:t>, 23, Article number: 1305. Available at: https://bmcpublichealth.biomedcentral.com/articles/10.1186/s12889-023-15836-z (Accessed: 11 January 2025).</w:t>
      </w:r>
    </w:p>
    <w:p w14:paraId="1DED4873" w14:textId="7777777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Department for Education. (2024). Behaviour in schools: advice for headteachers and school staff. Available at: https://assets.publishing.service.gov.uk/media/65ce3721e1bdec001a3221fe/Behaviour_in_schools_-_advice_for_headteachers_and_school_staff_Feb_2024.pdf (Accessed: 19 January 2025).</w:t>
      </w:r>
    </w:p>
    <w:p w14:paraId="33011FCC" w14:textId="7777777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 xml:space="preserve">Department for Education. (2021). Promoting and supporting mental health and wellbeing in schools and colleges. Available at: </w:t>
      </w:r>
      <w:r w:rsidRPr="00236AB0">
        <w:rPr>
          <w:rFonts w:ascii="Arial" w:hAnsi="Arial" w:cs="Arial"/>
        </w:rPr>
        <w:lastRenderedPageBreak/>
        <w:t>https://www.gov.uk/guidance/mental-health-and-wellbeing-support-in-schools-and-colleges (Accessed: 11 January 2025).</w:t>
      </w:r>
    </w:p>
    <w:p w14:paraId="4D2D9B8B" w14:textId="7777777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Department for Education. (2024). Children’s Wellbeing and Schools Bill. Available at: https://www.gov.uk/government/news/childrens-bill-to-keep-children-safe-from-exploitation (Accessed: 11 January 2025).</w:t>
      </w:r>
    </w:p>
    <w:p w14:paraId="5DEC2EFC" w14:textId="7777777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Elementary Education Act 1870 (c. 75). Available at: https://www.parliament.uk/about/living-heritage/transformingsociety/livinglearning/school/overview/1870educationact/ (Accessed: 11 January 2025).</w:t>
      </w:r>
    </w:p>
    <w:p w14:paraId="48D359D4" w14:textId="7777777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Equality Act 2010. Available at: https://www.legislation.gov.uk/ukpga/2010/15/contents/enacted (Accessed: 11 January 2025).</w:t>
      </w:r>
    </w:p>
    <w:p w14:paraId="6F2A0383" w14:textId="7777777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 xml:space="preserve">Evans, R., MacDonald, S., Trubey, R., Melendez-Torres, G. J., Robling, M., Willis, S., Boffey, M., Wooders, C., Vinnicombe, S., &amp; Noyes, J. (2024). Interventions Targeting the Mental Health and Well-being of Care-Experienced Children and Young People: Mixed-Methods Systematic Review with Stakeholder Consultation to Inform Transportability and Adaptability to UK Context. </w:t>
      </w:r>
      <w:r w:rsidRPr="00236AB0">
        <w:rPr>
          <w:rStyle w:val="Emphasis"/>
          <w:rFonts w:ascii="Arial" w:eastAsiaTheme="majorEastAsia" w:hAnsi="Arial" w:cs="Arial"/>
        </w:rPr>
        <w:t>The British Journal of Social Work</w:t>
      </w:r>
      <w:r w:rsidRPr="00236AB0">
        <w:rPr>
          <w:rFonts w:ascii="Arial" w:hAnsi="Arial" w:cs="Arial"/>
        </w:rPr>
        <w:t>, bcae061. Available at: https://academic.oup.com/bjsw/advance-article/doi/10.1093/bjsw/bcae061/7825811 (Accessed: 11 January 2025).</w:t>
      </w:r>
    </w:p>
    <w:p w14:paraId="39D5AF34" w14:textId="77777777" w:rsidR="00224DE5" w:rsidRPr="00236AB0" w:rsidRDefault="00224DE5" w:rsidP="00236AB0">
      <w:pPr>
        <w:pStyle w:val="NormalWeb"/>
        <w:numPr>
          <w:ilvl w:val="0"/>
          <w:numId w:val="1"/>
        </w:numPr>
        <w:spacing w:line="360" w:lineRule="auto"/>
        <w:rPr>
          <w:rFonts w:ascii="Arial" w:hAnsi="Arial" w:cs="Arial"/>
        </w:rPr>
      </w:pPr>
      <w:r w:rsidRPr="00236AB0">
        <w:rPr>
          <w:rFonts w:ascii="Arial" w:hAnsi="Arial" w:cs="Arial"/>
        </w:rPr>
        <w:t>Ferguson, H. (2011). Child Protection Practice. London: Palgrave Macmillan.</w:t>
      </w:r>
    </w:p>
    <w:p w14:paraId="78574B2A" w14:textId="77777777" w:rsidR="00872934" w:rsidRPr="00236AB0" w:rsidRDefault="00872934" w:rsidP="00236AB0">
      <w:pPr>
        <w:pStyle w:val="NormalWeb"/>
        <w:numPr>
          <w:ilvl w:val="0"/>
          <w:numId w:val="1"/>
        </w:numPr>
        <w:spacing w:line="360" w:lineRule="auto"/>
        <w:rPr>
          <w:rFonts w:ascii="Arial" w:hAnsi="Arial" w:cs="Arial"/>
        </w:rPr>
      </w:pPr>
      <w:r w:rsidRPr="00236AB0">
        <w:rPr>
          <w:rFonts w:ascii="Arial" w:hAnsi="Arial" w:cs="Arial"/>
        </w:rPr>
        <w:t xml:space="preserve">Haggstrom Westberg, K., Nyholm, M., &amp; Nygren, J. M. (2022). Mental Health Problems among Young People—A Scoping Review of Help-Seeking. </w:t>
      </w:r>
      <w:r w:rsidRPr="00236AB0">
        <w:rPr>
          <w:rStyle w:val="Emphasis"/>
          <w:rFonts w:ascii="Arial" w:eastAsiaTheme="majorEastAsia" w:hAnsi="Arial" w:cs="Arial"/>
        </w:rPr>
        <w:t>International Journal of Environmental Research and Public Health</w:t>
      </w:r>
      <w:r w:rsidRPr="00236AB0">
        <w:rPr>
          <w:rFonts w:ascii="Arial" w:hAnsi="Arial" w:cs="Arial"/>
        </w:rPr>
        <w:t>, 19(3), 1430. Available at: https://www.ncbi.nlm.nih.gov/pmc/articles/PMC8835517/ (Accessed: 11 January 2025).</w:t>
      </w:r>
    </w:p>
    <w:p w14:paraId="47EB7495" w14:textId="77777777" w:rsidR="00872934" w:rsidRPr="00236AB0" w:rsidRDefault="00872934" w:rsidP="00236AB0">
      <w:pPr>
        <w:pStyle w:val="NormalWeb"/>
        <w:numPr>
          <w:ilvl w:val="0"/>
          <w:numId w:val="1"/>
        </w:numPr>
        <w:spacing w:line="360" w:lineRule="auto"/>
        <w:rPr>
          <w:rFonts w:ascii="Arial" w:hAnsi="Arial" w:cs="Arial"/>
        </w:rPr>
      </w:pPr>
      <w:r w:rsidRPr="00236AB0">
        <w:rPr>
          <w:rFonts w:ascii="Arial" w:hAnsi="Arial" w:cs="Arial"/>
        </w:rPr>
        <w:t>Hendrick, H. (1997). Child Welfare: England 1872-1989. London: Routledge.</w:t>
      </w:r>
    </w:p>
    <w:p w14:paraId="2EE44861" w14:textId="77777777" w:rsidR="00872934" w:rsidRPr="00236AB0" w:rsidRDefault="00872934" w:rsidP="00236AB0">
      <w:pPr>
        <w:pStyle w:val="NormalWeb"/>
        <w:numPr>
          <w:ilvl w:val="0"/>
          <w:numId w:val="1"/>
        </w:numPr>
        <w:spacing w:line="360" w:lineRule="auto"/>
        <w:rPr>
          <w:rFonts w:ascii="Arial" w:hAnsi="Arial" w:cs="Arial"/>
        </w:rPr>
      </w:pPr>
      <w:r w:rsidRPr="00236AB0">
        <w:rPr>
          <w:rFonts w:ascii="Arial" w:hAnsi="Arial" w:cs="Arial"/>
        </w:rPr>
        <w:t>Hendrick, H. (2003). Child Welfare: Historical Dimensions, Contemporary Debate. Policy Press. Available at: https://academic.oup.com/policy-press-scholarship-online/book/14181 (Accessed: 11 January 2025).</w:t>
      </w:r>
    </w:p>
    <w:p w14:paraId="14700E97" w14:textId="77777777" w:rsidR="00872934" w:rsidRPr="00236AB0" w:rsidRDefault="00872934" w:rsidP="00236AB0">
      <w:pPr>
        <w:pStyle w:val="NormalWeb"/>
        <w:numPr>
          <w:ilvl w:val="0"/>
          <w:numId w:val="1"/>
        </w:numPr>
        <w:spacing w:line="360" w:lineRule="auto"/>
        <w:rPr>
          <w:rFonts w:ascii="Arial" w:hAnsi="Arial" w:cs="Arial"/>
        </w:rPr>
      </w:pPr>
      <w:r w:rsidRPr="00236AB0">
        <w:rPr>
          <w:rFonts w:ascii="Arial" w:hAnsi="Arial" w:cs="Arial"/>
        </w:rPr>
        <w:t xml:space="preserve">Igwe, P. A., Hack-Polay, D., Mendy, J., Fuller, T., &amp; Lock, D. (2019). Improving higher education standards through reengineering in West African universities – A case study of Nigeria. </w:t>
      </w:r>
      <w:r w:rsidRPr="00236AB0">
        <w:rPr>
          <w:rStyle w:val="Emphasis"/>
          <w:rFonts w:ascii="Arial" w:eastAsiaTheme="majorEastAsia" w:hAnsi="Arial" w:cs="Arial"/>
        </w:rPr>
        <w:t>Studies in Higher Education</w:t>
      </w:r>
      <w:r w:rsidRPr="00236AB0">
        <w:rPr>
          <w:rFonts w:ascii="Arial" w:hAnsi="Arial" w:cs="Arial"/>
        </w:rPr>
        <w:t xml:space="preserve">, 46(8), 1635–1648. </w:t>
      </w:r>
      <w:r w:rsidRPr="00236AB0">
        <w:rPr>
          <w:rFonts w:ascii="Arial" w:hAnsi="Arial" w:cs="Arial"/>
        </w:rPr>
        <w:lastRenderedPageBreak/>
        <w:t>Available at: https://doi.org/10.1080/03075079.2019.1698534 (Accessed: 11 January 2025).</w:t>
      </w:r>
    </w:p>
    <w:p w14:paraId="29EC7B7E" w14:textId="77777777" w:rsidR="00872934" w:rsidRPr="00236AB0" w:rsidRDefault="00872934" w:rsidP="00236AB0">
      <w:pPr>
        <w:pStyle w:val="NormalWeb"/>
        <w:numPr>
          <w:ilvl w:val="0"/>
          <w:numId w:val="1"/>
        </w:numPr>
        <w:spacing w:line="360" w:lineRule="auto"/>
        <w:rPr>
          <w:rFonts w:ascii="Arial" w:hAnsi="Arial" w:cs="Arial"/>
        </w:rPr>
      </w:pPr>
      <w:proofErr w:type="spellStart"/>
      <w:r w:rsidRPr="00236AB0">
        <w:rPr>
          <w:rFonts w:ascii="Arial" w:hAnsi="Arial" w:cs="Arial"/>
        </w:rPr>
        <w:t>Irawan</w:t>
      </w:r>
      <w:proofErr w:type="spellEnd"/>
      <w:r w:rsidRPr="00236AB0">
        <w:rPr>
          <w:rFonts w:ascii="Arial" w:hAnsi="Arial" w:cs="Arial"/>
        </w:rPr>
        <w:t xml:space="preserve">, Benny, </w:t>
      </w:r>
      <w:proofErr w:type="spellStart"/>
      <w:r w:rsidRPr="00236AB0">
        <w:rPr>
          <w:rFonts w:ascii="Arial" w:hAnsi="Arial" w:cs="Arial"/>
        </w:rPr>
        <w:t>Roesminingsih</w:t>
      </w:r>
      <w:proofErr w:type="spellEnd"/>
      <w:r w:rsidRPr="00236AB0">
        <w:rPr>
          <w:rFonts w:ascii="Arial" w:hAnsi="Arial" w:cs="Arial"/>
        </w:rPr>
        <w:t xml:space="preserve">, Maria, Widodo, Bambang &amp; </w:t>
      </w:r>
      <w:proofErr w:type="spellStart"/>
      <w:r w:rsidRPr="00236AB0">
        <w:rPr>
          <w:rFonts w:ascii="Arial" w:hAnsi="Arial" w:cs="Arial"/>
        </w:rPr>
        <w:t>Roesminingsih</w:t>
      </w:r>
      <w:proofErr w:type="spellEnd"/>
      <w:r w:rsidRPr="00236AB0">
        <w:rPr>
          <w:rFonts w:ascii="Arial" w:hAnsi="Arial" w:cs="Arial"/>
        </w:rPr>
        <w:t xml:space="preserve">, </w:t>
      </w:r>
      <w:proofErr w:type="spellStart"/>
      <w:r w:rsidRPr="00236AB0">
        <w:rPr>
          <w:rFonts w:ascii="Arial" w:hAnsi="Arial" w:cs="Arial"/>
        </w:rPr>
        <w:t>Erny</w:t>
      </w:r>
      <w:proofErr w:type="spellEnd"/>
      <w:r w:rsidRPr="00236AB0">
        <w:rPr>
          <w:rFonts w:ascii="Arial" w:hAnsi="Arial" w:cs="Arial"/>
        </w:rPr>
        <w:t xml:space="preserve">. (2024). The influence of communication on policy implementation: The mediating role of disposition. </w:t>
      </w:r>
      <w:r w:rsidRPr="00236AB0">
        <w:rPr>
          <w:rStyle w:val="Emphasis"/>
          <w:rFonts w:ascii="Arial" w:eastAsiaTheme="majorEastAsia" w:hAnsi="Arial" w:cs="Arial"/>
        </w:rPr>
        <w:t>Decision Science Letters</w:t>
      </w:r>
      <w:r w:rsidRPr="00236AB0">
        <w:rPr>
          <w:rFonts w:ascii="Arial" w:hAnsi="Arial" w:cs="Arial"/>
        </w:rPr>
        <w:t>, 13, 19-28. Available at: https://doi.org/10.5267/j.dsl.2023.12.005 (Accessed: 11 January 2025).</w:t>
      </w:r>
    </w:p>
    <w:p w14:paraId="704A52EF" w14:textId="77777777" w:rsidR="00872934" w:rsidRPr="00236AB0" w:rsidRDefault="00872934" w:rsidP="00236AB0">
      <w:pPr>
        <w:pStyle w:val="NormalWeb"/>
        <w:numPr>
          <w:ilvl w:val="0"/>
          <w:numId w:val="1"/>
        </w:numPr>
        <w:spacing w:line="360" w:lineRule="auto"/>
        <w:rPr>
          <w:rFonts w:ascii="Arial" w:hAnsi="Arial" w:cs="Arial"/>
        </w:rPr>
      </w:pPr>
      <w:r w:rsidRPr="00236AB0">
        <w:rPr>
          <w:rFonts w:ascii="Arial" w:hAnsi="Arial" w:cs="Arial"/>
        </w:rPr>
        <w:t xml:space="preserve">Jennings, W., Stoker, G., &amp; Twyman, J. (2016). Dimensions and Impact of Political Discontent in Britain. </w:t>
      </w:r>
      <w:r w:rsidRPr="00236AB0">
        <w:rPr>
          <w:rStyle w:val="Emphasis"/>
          <w:rFonts w:ascii="Arial" w:eastAsiaTheme="majorEastAsia" w:hAnsi="Arial" w:cs="Arial"/>
        </w:rPr>
        <w:t>Parliamentary Affairs</w:t>
      </w:r>
      <w:r w:rsidRPr="00236AB0">
        <w:rPr>
          <w:rFonts w:ascii="Arial" w:hAnsi="Arial" w:cs="Arial"/>
        </w:rPr>
        <w:t>, 69(4), 876-900. Available at: https://academic.oup.com/pa/article/69/4/876/2468902 (Accessed: 11 January 2025).</w:t>
      </w:r>
    </w:p>
    <w:p w14:paraId="5425B868" w14:textId="77777777" w:rsidR="00872934" w:rsidRPr="00236AB0" w:rsidRDefault="00872934" w:rsidP="00236AB0">
      <w:pPr>
        <w:pStyle w:val="NormalWeb"/>
        <w:numPr>
          <w:ilvl w:val="0"/>
          <w:numId w:val="1"/>
        </w:numPr>
        <w:spacing w:line="360" w:lineRule="auto"/>
        <w:rPr>
          <w:rFonts w:ascii="Arial" w:hAnsi="Arial" w:cs="Arial"/>
        </w:rPr>
      </w:pPr>
      <w:r w:rsidRPr="00236AB0">
        <w:rPr>
          <w:rFonts w:ascii="Arial" w:hAnsi="Arial" w:cs="Arial"/>
        </w:rPr>
        <w:t>Lansdown, G. (1994). Children's Rights: Towards the Liberation of the Child. National Children's Bureau. Available at: https://www.taylorfrancis.com/chapters/edit/10.4324/9780203486184-4/children-rights-gerison-lansdown (Accessed: 11 January 2025).</w:t>
      </w:r>
    </w:p>
    <w:p w14:paraId="46205EFF" w14:textId="77777777" w:rsidR="00872934" w:rsidRPr="00236AB0" w:rsidRDefault="00872934" w:rsidP="00236AB0">
      <w:pPr>
        <w:pStyle w:val="NormalWeb"/>
        <w:numPr>
          <w:ilvl w:val="0"/>
          <w:numId w:val="1"/>
        </w:numPr>
        <w:spacing w:line="360" w:lineRule="auto"/>
        <w:rPr>
          <w:rFonts w:ascii="Arial" w:hAnsi="Arial" w:cs="Arial"/>
        </w:rPr>
      </w:pPr>
      <w:r w:rsidRPr="00236AB0">
        <w:rPr>
          <w:rFonts w:ascii="Arial" w:hAnsi="Arial" w:cs="Arial"/>
        </w:rPr>
        <w:t xml:space="preserve">Levy, B. (2022). How Political Contexts Influence Education Systems: Patterns, Constraints, Entry Points. </w:t>
      </w:r>
      <w:r w:rsidRPr="00236AB0">
        <w:rPr>
          <w:rStyle w:val="Emphasis"/>
          <w:rFonts w:ascii="Arial" w:eastAsiaTheme="majorEastAsia" w:hAnsi="Arial" w:cs="Arial"/>
        </w:rPr>
        <w:t>RISE Working Paper Series</w:t>
      </w:r>
      <w:r w:rsidRPr="00236AB0">
        <w:rPr>
          <w:rFonts w:ascii="Arial" w:hAnsi="Arial" w:cs="Arial"/>
        </w:rPr>
        <w:t>. Available at: https://riseprogramme.org/sites/default/files/2022-12/How_Political_Contexts_Influence_Education_Systems.pdf (Accessed: 11 January 2025).</w:t>
      </w:r>
    </w:p>
    <w:p w14:paraId="2A7F399A" w14:textId="77777777" w:rsidR="00872934" w:rsidRPr="00236AB0" w:rsidRDefault="00872934" w:rsidP="00236AB0">
      <w:pPr>
        <w:pStyle w:val="NormalWeb"/>
        <w:numPr>
          <w:ilvl w:val="0"/>
          <w:numId w:val="1"/>
        </w:numPr>
        <w:spacing w:line="360" w:lineRule="auto"/>
        <w:rPr>
          <w:rFonts w:ascii="Arial" w:hAnsi="Arial" w:cs="Arial"/>
        </w:rPr>
      </w:pPr>
      <w:r w:rsidRPr="00236AB0">
        <w:rPr>
          <w:rFonts w:ascii="Arial" w:hAnsi="Arial" w:cs="Arial"/>
        </w:rPr>
        <w:t>National Archives. (1834). Poor Law Amendment Act. Available at: https://www.nationalarchives.gov.uk/education/resources/1834-poor-law/ (Accessed: 11 January 2025).</w:t>
      </w:r>
    </w:p>
    <w:p w14:paraId="442D0959" w14:textId="35278EAF"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National Children's Bureau. (2023). Policy and Practice in Childcare and Youth Work. NCB.</w:t>
      </w:r>
    </w:p>
    <w:p w14:paraId="0ECC7CD1" w14:textId="19F2F993"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 xml:space="preserve">Neas, S., Ward, A., &amp; Bowman, B. (2022). Young people's climate activism: A review of the literature. </w:t>
      </w:r>
      <w:r w:rsidRPr="00236AB0">
        <w:rPr>
          <w:rStyle w:val="Emphasis"/>
          <w:rFonts w:ascii="Arial" w:eastAsiaTheme="majorEastAsia" w:hAnsi="Arial" w:cs="Arial"/>
        </w:rPr>
        <w:t>Frontiers in Political Science</w:t>
      </w:r>
      <w:r w:rsidRPr="00236AB0">
        <w:rPr>
          <w:rFonts w:ascii="Arial" w:hAnsi="Arial" w:cs="Arial"/>
        </w:rPr>
        <w:t>, 4, 940876. Available at: https://doi.org/10.3389/fpos.2022.940876 (Accessed: 11 January 2025).</w:t>
      </w:r>
    </w:p>
    <w:p w14:paraId="1EC03945" w14:textId="3C019B6B"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NHS England. (2021). Mental health support in schools and colleges. Available at: https://www.england.nhs.uk/mental-health/cyp/trailblazers/ (Accessed: 11 January 2025).</w:t>
      </w:r>
    </w:p>
    <w:p w14:paraId="77FA7B41" w14:textId="5FE1B7B9"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O</w:t>
      </w:r>
      <w:r w:rsidR="00C62D60">
        <w:rPr>
          <w:rFonts w:ascii="Arial" w:hAnsi="Arial" w:cs="Arial"/>
        </w:rPr>
        <w:t>ECD</w:t>
      </w:r>
      <w:r w:rsidRPr="00236AB0">
        <w:rPr>
          <w:rFonts w:ascii="Arial" w:hAnsi="Arial" w:cs="Arial"/>
        </w:rPr>
        <w:t>. (2019). Changing the odds for vulnerable children building opportunities and resilience. OECD Publishing.</w:t>
      </w:r>
    </w:p>
    <w:p w14:paraId="5F576732" w14:textId="182325A9"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OECD. (2020). An implementation framework for effective change in schools. OECD Publishing. Available at: https://www.oecd.org/en/publications/an-</w:t>
      </w:r>
      <w:r w:rsidRPr="00236AB0">
        <w:rPr>
          <w:rFonts w:ascii="Arial" w:hAnsi="Arial" w:cs="Arial"/>
        </w:rPr>
        <w:lastRenderedPageBreak/>
        <w:t>implementation-framework-for-effective-change-in-schools_4fd4113f-en.html (Accessed: 11 January 2025).</w:t>
      </w:r>
    </w:p>
    <w:p w14:paraId="371EC94C" w14:textId="4A85CF0E"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Office for National Statistics. (2023). Young people from disadvantaged backgrounds feel less in control of their futures. Retrieved from: https://www.ons.gov.uk/peoplepopulationandcommunity/educationandchildcare/articles/youngpeoplefromdisadvantagedbackgroundsfeellessincontroloftheirfutures/2023-11-06 (Accessed: 11 January 2025).</w:t>
      </w:r>
    </w:p>
    <w:p w14:paraId="331D442C" w14:textId="79E95D4A"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Ofsted. (2012). The importance of leadership in the education and skills system. Available at: https://www.gov.uk/government/news/the-importance-of-leadership-in-the-education-and-skills-system (Accessed: 19 January 2025).</w:t>
      </w:r>
    </w:p>
    <w:p w14:paraId="04CD247B" w14:textId="1EA9408F"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 xml:space="preserve">Parsons, M. (2015). Lord Shaftesbury and the Ten Hours' Act. </w:t>
      </w:r>
      <w:r w:rsidRPr="00236AB0">
        <w:rPr>
          <w:rStyle w:val="Emphasis"/>
          <w:rFonts w:ascii="Arial" w:eastAsiaTheme="majorEastAsia" w:hAnsi="Arial" w:cs="Arial"/>
        </w:rPr>
        <w:t>History Today</w:t>
      </w:r>
      <w:r w:rsidRPr="00236AB0">
        <w:rPr>
          <w:rFonts w:ascii="Arial" w:hAnsi="Arial" w:cs="Arial"/>
        </w:rPr>
        <w:t>, 65(9), pp. 20-25.</w:t>
      </w:r>
    </w:p>
    <w:p w14:paraId="4CFD23A7" w14:textId="5E1E8371"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 xml:space="preserve">Percy-Smith, B., &amp; Burns, D. (2013). Exploring the role of children and young people as agents of change in sustainable community development. </w:t>
      </w:r>
      <w:r w:rsidRPr="00236AB0">
        <w:rPr>
          <w:rStyle w:val="Emphasis"/>
          <w:rFonts w:ascii="Arial" w:eastAsiaTheme="majorEastAsia" w:hAnsi="Arial" w:cs="Arial"/>
        </w:rPr>
        <w:t>Local Environment</w:t>
      </w:r>
      <w:r w:rsidRPr="00236AB0">
        <w:rPr>
          <w:rFonts w:ascii="Arial" w:hAnsi="Arial" w:cs="Arial"/>
        </w:rPr>
        <w:t>, 18(3), 323-339. Available at: https://doi.org/10.1080/13549839.2012.729565 (Accessed: 11 January 2025).</w:t>
      </w:r>
    </w:p>
    <w:p w14:paraId="264D9483" w14:textId="0DB2A53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Pinz</w:t>
      </w:r>
      <w:r w:rsidR="00C62D60">
        <w:rPr>
          <w:rFonts w:ascii="Arial" w:hAnsi="Arial" w:cs="Arial"/>
        </w:rPr>
        <w:t>o</w:t>
      </w:r>
      <w:r w:rsidRPr="00236AB0">
        <w:rPr>
          <w:rFonts w:ascii="Arial" w:hAnsi="Arial" w:cs="Arial"/>
        </w:rPr>
        <w:t xml:space="preserve">n, A., Gómez, P., &amp; González, M. J. (2023). Effects of a professional development programme on teachers’ classroom practices in Colombia. </w:t>
      </w:r>
      <w:r w:rsidRPr="00236AB0">
        <w:rPr>
          <w:rStyle w:val="Emphasis"/>
          <w:rFonts w:ascii="Arial" w:eastAsiaTheme="majorEastAsia" w:hAnsi="Arial" w:cs="Arial"/>
        </w:rPr>
        <w:t>Oxford Review of Education</w:t>
      </w:r>
      <w:r w:rsidRPr="00236AB0">
        <w:rPr>
          <w:rFonts w:ascii="Arial" w:hAnsi="Arial" w:cs="Arial"/>
        </w:rPr>
        <w:t>, 50(5), 607–625. Available at: https://doi.org/10.1080/03054985.2023.2265296 (Accessed: 11 January 2025).</w:t>
      </w:r>
    </w:p>
    <w:p w14:paraId="09472D13" w14:textId="0BCF4ED2"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Powell, T., &amp; Mutebi, N. (2025). Integrating health and social care: a path to better services and outcomes. POST UK Parliament. Available at: https://post.parliament.uk/integrating-health-and-social-care-a-path-to-better-services-and-outcomes/ (Accessed: 11 January 2025).</w:t>
      </w:r>
    </w:p>
    <w:p w14:paraId="0A98F052" w14:textId="3BCB7970"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 xml:space="preserve">Reedy, A. K., </w:t>
      </w:r>
      <w:proofErr w:type="spellStart"/>
      <w:r w:rsidRPr="00236AB0">
        <w:rPr>
          <w:rFonts w:ascii="Arial" w:hAnsi="Arial" w:cs="Arial"/>
        </w:rPr>
        <w:t>Wurm</w:t>
      </w:r>
      <w:proofErr w:type="spellEnd"/>
      <w:r w:rsidRPr="00236AB0">
        <w:rPr>
          <w:rFonts w:ascii="Arial" w:hAnsi="Arial" w:cs="Arial"/>
        </w:rPr>
        <w:t xml:space="preserve">, P. A., Janssen, A., &amp; Lockley, A. (2021). A community of practice approach to enhancing academic integrity policy translation: a case study. </w:t>
      </w:r>
      <w:r w:rsidRPr="00236AB0">
        <w:rPr>
          <w:rStyle w:val="Emphasis"/>
          <w:rFonts w:ascii="Arial" w:eastAsiaTheme="majorEastAsia" w:hAnsi="Arial" w:cs="Arial"/>
        </w:rPr>
        <w:t>International Journal for Educational Integrity</w:t>
      </w:r>
      <w:r w:rsidRPr="00236AB0">
        <w:rPr>
          <w:rFonts w:ascii="Arial" w:hAnsi="Arial" w:cs="Arial"/>
        </w:rPr>
        <w:t>, 17(1), 12. springer.com.</w:t>
      </w:r>
    </w:p>
    <w:p w14:paraId="28483908" w14:textId="165B9056"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 xml:space="preserve">Rooke, P. T., &amp; Schnell, R. L. (1983). </w:t>
      </w:r>
      <w:proofErr w:type="spellStart"/>
      <w:r w:rsidRPr="00236AB0">
        <w:rPr>
          <w:rFonts w:ascii="Arial" w:hAnsi="Arial" w:cs="Arial"/>
        </w:rPr>
        <w:t>Eglantyne</w:t>
      </w:r>
      <w:proofErr w:type="spellEnd"/>
      <w:r w:rsidRPr="00236AB0">
        <w:rPr>
          <w:rFonts w:ascii="Arial" w:hAnsi="Arial" w:cs="Arial"/>
        </w:rPr>
        <w:t xml:space="preserve"> </w:t>
      </w:r>
      <w:proofErr w:type="spellStart"/>
      <w:r w:rsidRPr="00236AB0">
        <w:rPr>
          <w:rFonts w:ascii="Arial" w:hAnsi="Arial" w:cs="Arial"/>
        </w:rPr>
        <w:t>Jebb</w:t>
      </w:r>
      <w:proofErr w:type="spellEnd"/>
      <w:r w:rsidRPr="00236AB0">
        <w:rPr>
          <w:rFonts w:ascii="Arial" w:hAnsi="Arial" w:cs="Arial"/>
        </w:rPr>
        <w:t xml:space="preserve"> and the Transformation of International Philanthropy. </w:t>
      </w:r>
      <w:r w:rsidRPr="00236AB0">
        <w:rPr>
          <w:rStyle w:val="Emphasis"/>
          <w:rFonts w:ascii="Arial" w:eastAsiaTheme="majorEastAsia" w:hAnsi="Arial" w:cs="Arial"/>
        </w:rPr>
        <w:t>History of Education Quarterly</w:t>
      </w:r>
      <w:r w:rsidRPr="00236AB0">
        <w:rPr>
          <w:rFonts w:ascii="Arial" w:hAnsi="Arial" w:cs="Arial"/>
        </w:rPr>
        <w:t>, 23(1), pp. 27-45.</w:t>
      </w:r>
    </w:p>
    <w:p w14:paraId="75C0A711" w14:textId="36DC4464" w:rsidR="00236AB0" w:rsidRPr="00236AB0" w:rsidRDefault="00236AB0" w:rsidP="00C62D60">
      <w:pPr>
        <w:pStyle w:val="NormalWeb"/>
        <w:numPr>
          <w:ilvl w:val="0"/>
          <w:numId w:val="1"/>
        </w:numPr>
        <w:spacing w:line="360" w:lineRule="auto"/>
        <w:rPr>
          <w:rFonts w:ascii="Arial" w:hAnsi="Arial" w:cs="Arial"/>
        </w:rPr>
      </w:pPr>
      <w:r w:rsidRPr="00236AB0">
        <w:rPr>
          <w:rFonts w:ascii="Arial" w:hAnsi="Arial" w:cs="Arial"/>
        </w:rPr>
        <w:t>Save the Children. (2024). Equity and Inclusion for All in Education. Available at: https://www.savethechildren.org.uk/content/dam/global/reports/education-and-child-protection/Equity_and_Inclusion_for_All_in_Education.pdf (Accessed: 11 January 2025).</w:t>
      </w:r>
    </w:p>
    <w:p w14:paraId="7AD63C18" w14:textId="5B593050"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lastRenderedPageBreak/>
        <w:t>Social Mobility Commission. (2017). Social Mobility in the UK: State of the Nation 2017 Report. Available at: https://www.gov.uk/government/publications/state-of-the-nation-2017 (Accessed: 11 January 2025).</w:t>
      </w:r>
    </w:p>
    <w:p w14:paraId="07CC6DEB" w14:textId="28FCDBA4"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Spector, J. M., &amp; Yuen, H. K. (2016). Challenges and Solutions When Using Technologies in the Classroom. Available at: https://files.eric.ed.gov/fulltext/ED577147.pdf (Accessed: 19 January 2025).</w:t>
      </w:r>
    </w:p>
    <w:p w14:paraId="2363F4F1" w14:textId="7777777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The Children's Society. (2021). Dangers of teenage stereotypes. Retrieved from: https://www.childrenssociety.org.uk/what-we-do/blogs/common-teenage-stereotypes (Accessed: 11 January 2025).</w:t>
      </w:r>
    </w:p>
    <w:p w14:paraId="4CB87D31" w14:textId="7777777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Transforming Children and Young People's Mental Health Provision: A Green Paper. Available at: https://www.gov.uk/government/publications/transforming-children-and-young-peoples-mental-health-provision (Accessed: 11 January 2025).</w:t>
      </w:r>
    </w:p>
    <w:p w14:paraId="5CA7B11E" w14:textId="7777777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UK Government. (2020). Headteachers' standards 2020. Available at: https://www.gov.uk/government/publications/national-standards-of-excellence-for-headteachers/headteachers-standards-2020 (Accessed: 19 January 2025).</w:t>
      </w:r>
    </w:p>
    <w:p w14:paraId="2842B074" w14:textId="7777777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UK Government. (2025). Tackling Child Poverty: Developing Our Strategy. Available at: https://www.gov.uk/government/publications/tackling-child-poverty (Accessed: 11 January 2025).</w:t>
      </w:r>
    </w:p>
    <w:p w14:paraId="217822D7" w14:textId="7777777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UN Convention on the Rights of the Child (1989). Available at: https://www.unicef.org/child-rights-convention (Accessed: 11 January 2025).</w:t>
      </w:r>
    </w:p>
    <w:p w14:paraId="18DD5DA3" w14:textId="7777777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 xml:space="preserve">Viennet, R., &amp; Pont, B. (2017). Education policy implementation: A literature review and proposed framework. </w:t>
      </w:r>
      <w:r w:rsidRPr="00236AB0">
        <w:rPr>
          <w:rStyle w:val="Emphasis"/>
          <w:rFonts w:ascii="Arial" w:eastAsiaTheme="majorEastAsia" w:hAnsi="Arial" w:cs="Arial"/>
        </w:rPr>
        <w:t>OECD Education Working Papers</w:t>
      </w:r>
      <w:r w:rsidRPr="00236AB0">
        <w:rPr>
          <w:rFonts w:ascii="Arial" w:hAnsi="Arial" w:cs="Arial"/>
        </w:rPr>
        <w:t>, No. 162. Available at: https://www.oecd.org/en/publications/education-policy-implementation_fc467a64-en.html (Accessed: 11 January 2025).</w:t>
      </w:r>
    </w:p>
    <w:p w14:paraId="7F5DED49" w14:textId="7777777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Welsh Assembly Government. (2008). Foundation Phase Framework for Children’s Learning for 3 to 7-year-olds in Wales. Available at: https://gov.wales/foundation-phase-framework (Accessed: 11 January 2025).</w:t>
      </w:r>
    </w:p>
    <w:p w14:paraId="5164F6C4" w14:textId="7777777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Welsh Government. (2018). Additional Learning Needs and Education Tribunal (Wales) Act 2018. Available at: https://www.legislation.gov.uk/anaw/2018/2/contents/enacted (Accessed: 11 January 2025).</w:t>
      </w:r>
    </w:p>
    <w:p w14:paraId="295B90C0" w14:textId="77777777" w:rsidR="00236AB0" w:rsidRPr="00236AB0" w:rsidRDefault="00236AB0" w:rsidP="00236AB0">
      <w:pPr>
        <w:pStyle w:val="NormalWeb"/>
        <w:numPr>
          <w:ilvl w:val="0"/>
          <w:numId w:val="1"/>
        </w:numPr>
        <w:spacing w:line="360" w:lineRule="auto"/>
        <w:rPr>
          <w:rFonts w:ascii="Arial" w:hAnsi="Arial" w:cs="Arial"/>
        </w:rPr>
      </w:pPr>
      <w:r w:rsidRPr="00236AB0">
        <w:rPr>
          <w:rFonts w:ascii="Arial" w:hAnsi="Arial" w:cs="Arial"/>
        </w:rPr>
        <w:t xml:space="preserve">Welshman, J. (2000). Municipal Medicine: Public Health in </w:t>
      </w:r>
      <w:proofErr w:type="gramStart"/>
      <w:r w:rsidRPr="00236AB0">
        <w:rPr>
          <w:rFonts w:ascii="Arial" w:hAnsi="Arial" w:cs="Arial"/>
        </w:rPr>
        <w:t>Twentieth-Century Britain</w:t>
      </w:r>
      <w:proofErr w:type="gramEnd"/>
      <w:r w:rsidRPr="00236AB0">
        <w:rPr>
          <w:rFonts w:ascii="Arial" w:hAnsi="Arial" w:cs="Arial"/>
        </w:rPr>
        <w:t>. Oxford: Peter Lang.</w:t>
      </w:r>
    </w:p>
    <w:p w14:paraId="190E5004" w14:textId="77777777" w:rsidR="00224DE5" w:rsidRDefault="00224DE5" w:rsidP="00236AB0">
      <w:pPr>
        <w:pStyle w:val="NormalWeb"/>
      </w:pPr>
    </w:p>
    <w:p w14:paraId="33D83936" w14:textId="77777777" w:rsidR="00224DE5" w:rsidRPr="00224DE5" w:rsidRDefault="00224DE5" w:rsidP="008B2C8B">
      <w:pPr>
        <w:spacing w:line="360" w:lineRule="auto"/>
        <w:rPr>
          <w:rFonts w:ascii="Arial" w:hAnsi="Arial" w:cs="Arial"/>
          <w:u w:val="single"/>
        </w:rPr>
      </w:pPr>
    </w:p>
    <w:sectPr w:rsidR="00224DE5" w:rsidRPr="00224DE5">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CA6C5" w14:textId="77777777" w:rsidR="001E7F2B" w:rsidRDefault="001E7F2B" w:rsidP="00DB0980">
      <w:r>
        <w:separator/>
      </w:r>
    </w:p>
  </w:endnote>
  <w:endnote w:type="continuationSeparator" w:id="0">
    <w:p w14:paraId="03B20DA6" w14:textId="77777777" w:rsidR="001E7F2B" w:rsidRDefault="001E7F2B" w:rsidP="00DB0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26725871"/>
      <w:docPartObj>
        <w:docPartGallery w:val="Page Numbers (Bottom of Page)"/>
        <w:docPartUnique/>
      </w:docPartObj>
    </w:sdtPr>
    <w:sdtContent>
      <w:p w14:paraId="2817E990" w14:textId="0652C5CB" w:rsidR="00DB0980" w:rsidRDefault="00DB0980" w:rsidP="003E1A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2387A8" w14:textId="77777777" w:rsidR="00DB0980" w:rsidRDefault="00DB09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87488427"/>
      <w:docPartObj>
        <w:docPartGallery w:val="Page Numbers (Bottom of Page)"/>
        <w:docPartUnique/>
      </w:docPartObj>
    </w:sdtPr>
    <w:sdtContent>
      <w:p w14:paraId="4BA12938" w14:textId="4B69C8E3" w:rsidR="00DB0980" w:rsidRDefault="00DB0980" w:rsidP="003E1A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D36A48" w14:textId="77777777" w:rsidR="00DB0980" w:rsidRDefault="00DB0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C2483" w14:textId="77777777" w:rsidR="001E7F2B" w:rsidRDefault="001E7F2B" w:rsidP="00DB0980">
      <w:r>
        <w:separator/>
      </w:r>
    </w:p>
  </w:footnote>
  <w:footnote w:type="continuationSeparator" w:id="0">
    <w:p w14:paraId="4F9E1541" w14:textId="77777777" w:rsidR="001E7F2B" w:rsidRDefault="001E7F2B" w:rsidP="00DB0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3D179" w14:textId="70C3DD29" w:rsidR="00DB0980" w:rsidRDefault="00DB0980">
    <w:pPr>
      <w:pStyle w:val="Header"/>
    </w:pPr>
    <w:r>
      <w:t>Siobhan Roper 2015464</w:t>
    </w:r>
    <w:r>
      <w:ptab w:relativeTo="margin" w:alignment="center" w:leader="none"/>
    </w:r>
    <w:r>
      <w:ptab w:relativeTo="margin" w:alignment="right" w:leader="none"/>
    </w:r>
    <w:r>
      <w:br/>
    </w:r>
    <w:r>
      <w:t>ECCP7002 Part 1</w:t>
    </w:r>
    <w:r>
      <w:ptab w:relativeTo="margin" w:alignment="right" w:leader="none"/>
    </w:r>
    <w:r>
      <w:t>Word Count: 3659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E37C8"/>
    <w:multiLevelType w:val="multilevel"/>
    <w:tmpl w:val="5720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136893"/>
    <w:multiLevelType w:val="hybridMultilevel"/>
    <w:tmpl w:val="ECD8DF4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E0FB0"/>
    <w:multiLevelType w:val="multilevel"/>
    <w:tmpl w:val="F500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487C"/>
    <w:multiLevelType w:val="multilevel"/>
    <w:tmpl w:val="19AA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792328"/>
    <w:multiLevelType w:val="hybridMultilevel"/>
    <w:tmpl w:val="DC8EBC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2979703">
    <w:abstractNumId w:val="4"/>
  </w:num>
  <w:num w:numId="2" w16cid:durableId="738023122">
    <w:abstractNumId w:val="1"/>
  </w:num>
  <w:num w:numId="3" w16cid:durableId="1509906485">
    <w:abstractNumId w:val="3"/>
  </w:num>
  <w:num w:numId="4" w16cid:durableId="1226375293">
    <w:abstractNumId w:val="2"/>
  </w:num>
  <w:num w:numId="5" w16cid:durableId="1638687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C8B"/>
    <w:rsid w:val="001E7F2B"/>
    <w:rsid w:val="00224DE5"/>
    <w:rsid w:val="00236AB0"/>
    <w:rsid w:val="002D2B6B"/>
    <w:rsid w:val="004A200A"/>
    <w:rsid w:val="00872934"/>
    <w:rsid w:val="008B2C8B"/>
    <w:rsid w:val="009F7BC3"/>
    <w:rsid w:val="00A832B8"/>
    <w:rsid w:val="00C62D60"/>
    <w:rsid w:val="00CA5BE5"/>
    <w:rsid w:val="00DB0980"/>
    <w:rsid w:val="00F97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90AD6D"/>
  <w15:chartTrackingRefBased/>
  <w15:docId w15:val="{50D8243D-9CD8-464D-87A6-64452C6D7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C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C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C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C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C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C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C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C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2C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2C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2C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C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C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C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C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C8B"/>
    <w:rPr>
      <w:rFonts w:eastAsiaTheme="majorEastAsia" w:cstheme="majorBidi"/>
      <w:color w:val="272727" w:themeColor="text1" w:themeTint="D8"/>
    </w:rPr>
  </w:style>
  <w:style w:type="paragraph" w:styleId="Title">
    <w:name w:val="Title"/>
    <w:basedOn w:val="Normal"/>
    <w:next w:val="Normal"/>
    <w:link w:val="TitleChar"/>
    <w:uiPriority w:val="10"/>
    <w:qFormat/>
    <w:rsid w:val="008B2C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C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C8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C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C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2C8B"/>
    <w:rPr>
      <w:i/>
      <w:iCs/>
      <w:color w:val="404040" w:themeColor="text1" w:themeTint="BF"/>
    </w:rPr>
  </w:style>
  <w:style w:type="paragraph" w:styleId="ListParagraph">
    <w:name w:val="List Paragraph"/>
    <w:basedOn w:val="Normal"/>
    <w:uiPriority w:val="34"/>
    <w:qFormat/>
    <w:rsid w:val="008B2C8B"/>
    <w:pPr>
      <w:ind w:left="720"/>
      <w:contextualSpacing/>
    </w:pPr>
  </w:style>
  <w:style w:type="character" w:styleId="IntenseEmphasis">
    <w:name w:val="Intense Emphasis"/>
    <w:basedOn w:val="DefaultParagraphFont"/>
    <w:uiPriority w:val="21"/>
    <w:qFormat/>
    <w:rsid w:val="008B2C8B"/>
    <w:rPr>
      <w:i/>
      <w:iCs/>
      <w:color w:val="0F4761" w:themeColor="accent1" w:themeShade="BF"/>
    </w:rPr>
  </w:style>
  <w:style w:type="paragraph" w:styleId="IntenseQuote">
    <w:name w:val="Intense Quote"/>
    <w:basedOn w:val="Normal"/>
    <w:next w:val="Normal"/>
    <w:link w:val="IntenseQuoteChar"/>
    <w:uiPriority w:val="30"/>
    <w:qFormat/>
    <w:rsid w:val="008B2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C8B"/>
    <w:rPr>
      <w:i/>
      <w:iCs/>
      <w:color w:val="0F4761" w:themeColor="accent1" w:themeShade="BF"/>
    </w:rPr>
  </w:style>
  <w:style w:type="character" w:styleId="IntenseReference">
    <w:name w:val="Intense Reference"/>
    <w:basedOn w:val="DefaultParagraphFont"/>
    <w:uiPriority w:val="32"/>
    <w:qFormat/>
    <w:rsid w:val="008B2C8B"/>
    <w:rPr>
      <w:b/>
      <w:bCs/>
      <w:smallCaps/>
      <w:color w:val="0F4761" w:themeColor="accent1" w:themeShade="BF"/>
      <w:spacing w:val="5"/>
    </w:rPr>
  </w:style>
  <w:style w:type="paragraph" w:styleId="Header">
    <w:name w:val="header"/>
    <w:basedOn w:val="Normal"/>
    <w:link w:val="HeaderChar"/>
    <w:uiPriority w:val="99"/>
    <w:unhideWhenUsed/>
    <w:rsid w:val="00DB0980"/>
    <w:pPr>
      <w:tabs>
        <w:tab w:val="center" w:pos="4513"/>
        <w:tab w:val="right" w:pos="9026"/>
      </w:tabs>
    </w:pPr>
  </w:style>
  <w:style w:type="character" w:customStyle="1" w:styleId="HeaderChar">
    <w:name w:val="Header Char"/>
    <w:basedOn w:val="DefaultParagraphFont"/>
    <w:link w:val="Header"/>
    <w:uiPriority w:val="99"/>
    <w:rsid w:val="00DB0980"/>
  </w:style>
  <w:style w:type="paragraph" w:styleId="Footer">
    <w:name w:val="footer"/>
    <w:basedOn w:val="Normal"/>
    <w:link w:val="FooterChar"/>
    <w:uiPriority w:val="99"/>
    <w:unhideWhenUsed/>
    <w:rsid w:val="00DB0980"/>
    <w:pPr>
      <w:tabs>
        <w:tab w:val="center" w:pos="4513"/>
        <w:tab w:val="right" w:pos="9026"/>
      </w:tabs>
    </w:pPr>
  </w:style>
  <w:style w:type="character" w:customStyle="1" w:styleId="FooterChar">
    <w:name w:val="Footer Char"/>
    <w:basedOn w:val="DefaultParagraphFont"/>
    <w:link w:val="Footer"/>
    <w:uiPriority w:val="99"/>
    <w:rsid w:val="00DB0980"/>
  </w:style>
  <w:style w:type="character" w:styleId="PageNumber">
    <w:name w:val="page number"/>
    <w:basedOn w:val="DefaultParagraphFont"/>
    <w:uiPriority w:val="99"/>
    <w:semiHidden/>
    <w:unhideWhenUsed/>
    <w:rsid w:val="00DB0980"/>
  </w:style>
  <w:style w:type="paragraph" w:styleId="NormalWeb">
    <w:name w:val="Normal (Web)"/>
    <w:basedOn w:val="Normal"/>
    <w:uiPriority w:val="99"/>
    <w:semiHidden/>
    <w:unhideWhenUsed/>
    <w:rsid w:val="00224DE5"/>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224D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428657">
      <w:bodyDiv w:val="1"/>
      <w:marLeft w:val="0"/>
      <w:marRight w:val="0"/>
      <w:marTop w:val="0"/>
      <w:marBottom w:val="0"/>
      <w:divBdr>
        <w:top w:val="none" w:sz="0" w:space="0" w:color="auto"/>
        <w:left w:val="none" w:sz="0" w:space="0" w:color="auto"/>
        <w:bottom w:val="none" w:sz="0" w:space="0" w:color="auto"/>
        <w:right w:val="none" w:sz="0" w:space="0" w:color="auto"/>
      </w:divBdr>
    </w:div>
    <w:div w:id="566499241">
      <w:bodyDiv w:val="1"/>
      <w:marLeft w:val="0"/>
      <w:marRight w:val="0"/>
      <w:marTop w:val="0"/>
      <w:marBottom w:val="0"/>
      <w:divBdr>
        <w:top w:val="none" w:sz="0" w:space="0" w:color="auto"/>
        <w:left w:val="none" w:sz="0" w:space="0" w:color="auto"/>
        <w:bottom w:val="none" w:sz="0" w:space="0" w:color="auto"/>
        <w:right w:val="none" w:sz="0" w:space="0" w:color="auto"/>
      </w:divBdr>
    </w:div>
    <w:div w:id="802577292">
      <w:bodyDiv w:val="1"/>
      <w:marLeft w:val="0"/>
      <w:marRight w:val="0"/>
      <w:marTop w:val="0"/>
      <w:marBottom w:val="0"/>
      <w:divBdr>
        <w:top w:val="none" w:sz="0" w:space="0" w:color="auto"/>
        <w:left w:val="none" w:sz="0" w:space="0" w:color="auto"/>
        <w:bottom w:val="none" w:sz="0" w:space="0" w:color="auto"/>
        <w:right w:val="none" w:sz="0" w:space="0" w:color="auto"/>
      </w:divBdr>
    </w:div>
    <w:div w:id="1055739994">
      <w:bodyDiv w:val="1"/>
      <w:marLeft w:val="0"/>
      <w:marRight w:val="0"/>
      <w:marTop w:val="0"/>
      <w:marBottom w:val="0"/>
      <w:divBdr>
        <w:top w:val="none" w:sz="0" w:space="0" w:color="auto"/>
        <w:left w:val="none" w:sz="0" w:space="0" w:color="auto"/>
        <w:bottom w:val="none" w:sz="0" w:space="0" w:color="auto"/>
        <w:right w:val="none" w:sz="0" w:space="0" w:color="auto"/>
      </w:divBdr>
    </w:div>
    <w:div w:id="170355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18</Pages>
  <Words>5511</Words>
  <Characters>31417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Roper (2015464)</dc:creator>
  <cp:keywords/>
  <dc:description/>
  <cp:lastModifiedBy>Siobhan Roper (2015464)</cp:lastModifiedBy>
  <cp:revision>1</cp:revision>
  <dcterms:created xsi:type="dcterms:W3CDTF">2025-01-19T17:58:00Z</dcterms:created>
  <dcterms:modified xsi:type="dcterms:W3CDTF">2025-01-19T19:14:00Z</dcterms:modified>
</cp:coreProperties>
</file>