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52B64" w14:textId="3165690C" w:rsidR="00FB65AF" w:rsidRDefault="002E6BE5" w:rsidP="002E6BE5">
      <w:pPr>
        <w:pStyle w:val="Title"/>
        <w:rPr>
          <w:b/>
          <w:bCs/>
          <w:u w:val="single"/>
        </w:rPr>
      </w:pPr>
      <w:r w:rsidRPr="002E6BE5">
        <w:rPr>
          <w:b/>
          <w:bCs/>
          <w:u w:val="single"/>
        </w:rPr>
        <w:t>Merleau-Ponty Coursework Questions</w:t>
      </w:r>
    </w:p>
    <w:p w14:paraId="1A7BBD90" w14:textId="18240CBD" w:rsidR="00685C00" w:rsidRDefault="00685C00" w:rsidP="00685C00"/>
    <w:p w14:paraId="3A0976D1" w14:textId="13AC4390" w:rsidR="00685C00" w:rsidRPr="003E4AE7" w:rsidRDefault="00685C00" w:rsidP="003E4AE7">
      <w:pPr>
        <w:spacing w:line="360" w:lineRule="auto"/>
        <w:rPr>
          <w:rFonts w:ascii="Times New Roman" w:hAnsi="Times New Roman" w:cs="Times New Roman"/>
          <w:b/>
          <w:bCs/>
          <w:sz w:val="24"/>
          <w:szCs w:val="24"/>
          <w:u w:val="single"/>
        </w:rPr>
      </w:pPr>
      <w:r w:rsidRPr="003E4AE7">
        <w:rPr>
          <w:rFonts w:ascii="Times New Roman" w:hAnsi="Times New Roman" w:cs="Times New Roman"/>
          <w:b/>
          <w:bCs/>
          <w:sz w:val="24"/>
          <w:szCs w:val="24"/>
          <w:u w:val="single"/>
        </w:rPr>
        <w:t>2. What Idea is Merleau-Ponty referring to when he speaks of an ‘Inner man’? What does he think is wrong with that idea?</w:t>
      </w:r>
    </w:p>
    <w:p w14:paraId="52A8B005" w14:textId="19D52DD7" w:rsidR="00685C00" w:rsidRDefault="00685C00" w:rsidP="003E4AE7">
      <w:pPr>
        <w:spacing w:line="360" w:lineRule="auto"/>
        <w:rPr>
          <w:rFonts w:ascii="Times New Roman" w:hAnsi="Times New Roman" w:cs="Times New Roman"/>
          <w:sz w:val="24"/>
          <w:szCs w:val="24"/>
        </w:rPr>
      </w:pPr>
    </w:p>
    <w:p w14:paraId="224C4FAC" w14:textId="5DFEE5F1" w:rsidR="003E4AE7" w:rsidRDefault="003E4AE7" w:rsidP="003E4AE7">
      <w:pPr>
        <w:spacing w:line="360" w:lineRule="auto"/>
        <w:rPr>
          <w:rFonts w:ascii="Times New Roman" w:hAnsi="Times New Roman" w:cs="Times New Roman"/>
          <w:sz w:val="24"/>
          <w:szCs w:val="24"/>
        </w:rPr>
      </w:pPr>
      <w:r>
        <w:rPr>
          <w:rFonts w:ascii="Times New Roman" w:hAnsi="Times New Roman" w:cs="Times New Roman"/>
          <w:sz w:val="24"/>
          <w:szCs w:val="24"/>
        </w:rPr>
        <w:t>One of the issues in philosophy that Merleau-Ponty tackles in his works is the idea of the ‘</w:t>
      </w:r>
      <w:r w:rsidR="00BF69D6">
        <w:rPr>
          <w:rFonts w:ascii="Times New Roman" w:hAnsi="Times New Roman" w:cs="Times New Roman"/>
          <w:sz w:val="24"/>
          <w:szCs w:val="24"/>
        </w:rPr>
        <w:t>i</w:t>
      </w:r>
      <w:r>
        <w:rPr>
          <w:rFonts w:ascii="Times New Roman" w:hAnsi="Times New Roman" w:cs="Times New Roman"/>
          <w:sz w:val="24"/>
          <w:szCs w:val="24"/>
        </w:rPr>
        <w:t xml:space="preserve">nner </w:t>
      </w:r>
      <w:r w:rsidR="00BF69D6">
        <w:rPr>
          <w:rFonts w:ascii="Times New Roman" w:hAnsi="Times New Roman" w:cs="Times New Roman"/>
          <w:sz w:val="24"/>
          <w:szCs w:val="24"/>
        </w:rPr>
        <w:t>m</w:t>
      </w:r>
      <w:r>
        <w:rPr>
          <w:rFonts w:ascii="Times New Roman" w:hAnsi="Times New Roman" w:cs="Times New Roman"/>
          <w:sz w:val="24"/>
          <w:szCs w:val="24"/>
        </w:rPr>
        <w:t xml:space="preserve">an’. </w:t>
      </w:r>
      <w:r w:rsidR="00BF69D6">
        <w:rPr>
          <w:rFonts w:ascii="Times New Roman" w:hAnsi="Times New Roman" w:cs="Times New Roman"/>
          <w:sz w:val="24"/>
          <w:szCs w:val="24"/>
        </w:rPr>
        <w:t>As Merleau-Ponty puts it rather bluntly in the preface to the Phenom</w:t>
      </w:r>
      <w:r w:rsidR="009E3D58">
        <w:rPr>
          <w:rFonts w:ascii="Times New Roman" w:hAnsi="Times New Roman" w:cs="Times New Roman"/>
          <w:sz w:val="24"/>
          <w:szCs w:val="24"/>
        </w:rPr>
        <w:t>en</w:t>
      </w:r>
      <w:r w:rsidR="00BF69D6">
        <w:rPr>
          <w:rFonts w:ascii="Times New Roman" w:hAnsi="Times New Roman" w:cs="Times New Roman"/>
          <w:sz w:val="24"/>
          <w:szCs w:val="24"/>
        </w:rPr>
        <w:t>ology of Perception, “…there is no inner man…</w:t>
      </w:r>
      <w:r w:rsidR="00BF69D6">
        <w:rPr>
          <w:rStyle w:val="FootnoteReference"/>
          <w:rFonts w:ascii="Times New Roman" w:hAnsi="Times New Roman" w:cs="Times New Roman"/>
          <w:sz w:val="24"/>
          <w:szCs w:val="24"/>
        </w:rPr>
        <w:footnoteReference w:id="1"/>
      </w:r>
      <w:r w:rsidR="00BF69D6">
        <w:rPr>
          <w:rFonts w:ascii="Times New Roman" w:hAnsi="Times New Roman" w:cs="Times New Roman"/>
          <w:sz w:val="24"/>
          <w:szCs w:val="24"/>
        </w:rPr>
        <w:t xml:space="preserve">”. Yet what is meant by the term ‘inner man’ and what about it does Merleau-Ponty think is wrong? </w:t>
      </w:r>
      <w:r w:rsidR="006549E1">
        <w:rPr>
          <w:rFonts w:ascii="Times New Roman" w:hAnsi="Times New Roman" w:cs="Times New Roman"/>
          <w:sz w:val="24"/>
          <w:szCs w:val="24"/>
        </w:rPr>
        <w:t>Essentially, Merleau-Ponty’s ma</w:t>
      </w:r>
      <w:r w:rsidR="00DA70F9">
        <w:rPr>
          <w:rFonts w:ascii="Times New Roman" w:hAnsi="Times New Roman" w:cs="Times New Roman"/>
          <w:sz w:val="24"/>
          <w:szCs w:val="24"/>
        </w:rPr>
        <w:t xml:space="preserve">in criticism of the idea boils down to its attempt to separate the experience of the body from the body, displacing it unto some perceived ‘within’ to account for feelings and such. As follows is an examination of the main points of Merleau-Ponty’s criticisms of this idea. </w:t>
      </w:r>
    </w:p>
    <w:p w14:paraId="2A97E437" w14:textId="1D712FC8" w:rsidR="00BF69D6" w:rsidRDefault="00BF69D6" w:rsidP="003E4AE7">
      <w:pPr>
        <w:spacing w:line="360" w:lineRule="auto"/>
        <w:rPr>
          <w:rFonts w:ascii="Times New Roman" w:hAnsi="Times New Roman" w:cs="Times New Roman"/>
          <w:sz w:val="24"/>
          <w:szCs w:val="24"/>
        </w:rPr>
      </w:pPr>
      <w:r>
        <w:rPr>
          <w:rFonts w:ascii="Times New Roman" w:hAnsi="Times New Roman" w:cs="Times New Roman"/>
          <w:sz w:val="24"/>
          <w:szCs w:val="24"/>
        </w:rPr>
        <w:t>To begin, the idea of the inner man is a</w:t>
      </w:r>
      <w:r w:rsidR="0079113E">
        <w:rPr>
          <w:rFonts w:ascii="Times New Roman" w:hAnsi="Times New Roman" w:cs="Times New Roman"/>
          <w:sz w:val="24"/>
          <w:szCs w:val="24"/>
        </w:rPr>
        <w:t>n idea that has</w:t>
      </w:r>
      <w:r w:rsidR="00FC52DE">
        <w:rPr>
          <w:rFonts w:ascii="Times New Roman" w:hAnsi="Times New Roman" w:cs="Times New Roman"/>
          <w:sz w:val="24"/>
          <w:szCs w:val="24"/>
        </w:rPr>
        <w:t xml:space="preserve"> its interpretations</w:t>
      </w:r>
      <w:r w:rsidR="0079113E">
        <w:rPr>
          <w:rFonts w:ascii="Times New Roman" w:hAnsi="Times New Roman" w:cs="Times New Roman"/>
          <w:sz w:val="24"/>
          <w:szCs w:val="24"/>
        </w:rPr>
        <w:t xml:space="preserve"> root</w:t>
      </w:r>
      <w:r w:rsidR="00FC52DE">
        <w:rPr>
          <w:rFonts w:ascii="Times New Roman" w:hAnsi="Times New Roman" w:cs="Times New Roman"/>
          <w:sz w:val="24"/>
          <w:szCs w:val="24"/>
        </w:rPr>
        <w:t>ed</w:t>
      </w:r>
      <w:r w:rsidR="0079113E">
        <w:rPr>
          <w:rFonts w:ascii="Times New Roman" w:hAnsi="Times New Roman" w:cs="Times New Roman"/>
          <w:sz w:val="24"/>
          <w:szCs w:val="24"/>
        </w:rPr>
        <w:t xml:space="preserve"> </w:t>
      </w:r>
      <w:r w:rsidR="00BD34C4">
        <w:rPr>
          <w:rFonts w:ascii="Times New Roman" w:hAnsi="Times New Roman" w:cs="Times New Roman"/>
          <w:sz w:val="24"/>
          <w:szCs w:val="24"/>
        </w:rPr>
        <w:t>in both Christian thinking and the Scientism that emerged in the enlightenment and scientific revolutions of the 17</w:t>
      </w:r>
      <w:r w:rsidR="00BD34C4" w:rsidRPr="00BD34C4">
        <w:rPr>
          <w:rFonts w:ascii="Times New Roman" w:hAnsi="Times New Roman" w:cs="Times New Roman"/>
          <w:sz w:val="24"/>
          <w:szCs w:val="24"/>
          <w:vertAlign w:val="superscript"/>
        </w:rPr>
        <w:t>th</w:t>
      </w:r>
      <w:r w:rsidR="00BD34C4">
        <w:rPr>
          <w:rFonts w:ascii="Times New Roman" w:hAnsi="Times New Roman" w:cs="Times New Roman"/>
          <w:sz w:val="24"/>
          <w:szCs w:val="24"/>
        </w:rPr>
        <w:t xml:space="preserve"> and 18</w:t>
      </w:r>
      <w:r w:rsidR="00BD34C4" w:rsidRPr="00BD34C4">
        <w:rPr>
          <w:rFonts w:ascii="Times New Roman" w:hAnsi="Times New Roman" w:cs="Times New Roman"/>
          <w:sz w:val="24"/>
          <w:szCs w:val="24"/>
          <w:vertAlign w:val="superscript"/>
        </w:rPr>
        <w:t>th</w:t>
      </w:r>
      <w:r w:rsidR="00BD34C4">
        <w:rPr>
          <w:rFonts w:ascii="Times New Roman" w:hAnsi="Times New Roman" w:cs="Times New Roman"/>
          <w:sz w:val="24"/>
          <w:szCs w:val="24"/>
        </w:rPr>
        <w:t xml:space="preserve"> Centuries. For the Christian philosopher, the idea of the inner man is rather simple: it refers to the soul of a human being. At its simplest</w:t>
      </w:r>
      <w:r w:rsidR="00391DDC">
        <w:rPr>
          <w:rFonts w:ascii="Times New Roman" w:hAnsi="Times New Roman" w:cs="Times New Roman"/>
          <w:sz w:val="24"/>
          <w:szCs w:val="24"/>
        </w:rPr>
        <w:t xml:space="preserve"> “a man is not just body, or just a soul, but a being made up of both body and soul…</w:t>
      </w:r>
      <w:r w:rsidR="00391DDC">
        <w:rPr>
          <w:rStyle w:val="FootnoteReference"/>
          <w:rFonts w:ascii="Times New Roman" w:hAnsi="Times New Roman" w:cs="Times New Roman"/>
          <w:sz w:val="24"/>
          <w:szCs w:val="24"/>
        </w:rPr>
        <w:footnoteReference w:id="2"/>
      </w:r>
      <w:r w:rsidR="00391DDC">
        <w:rPr>
          <w:rFonts w:ascii="Times New Roman" w:hAnsi="Times New Roman" w:cs="Times New Roman"/>
          <w:sz w:val="24"/>
          <w:szCs w:val="24"/>
        </w:rPr>
        <w:t>”</w:t>
      </w:r>
      <w:r w:rsidR="00C90952">
        <w:rPr>
          <w:rFonts w:ascii="Times New Roman" w:hAnsi="Times New Roman" w:cs="Times New Roman"/>
          <w:sz w:val="24"/>
          <w:szCs w:val="24"/>
        </w:rPr>
        <w:t xml:space="preserve">. This idea posits that the body is a physical vessel for the soul through which </w:t>
      </w:r>
      <w:r w:rsidR="00FC52DE">
        <w:rPr>
          <w:rFonts w:ascii="Times New Roman" w:hAnsi="Times New Roman" w:cs="Times New Roman"/>
          <w:sz w:val="24"/>
          <w:szCs w:val="24"/>
        </w:rPr>
        <w:t xml:space="preserve">we </w:t>
      </w:r>
      <w:r w:rsidR="00C90952">
        <w:rPr>
          <w:rFonts w:ascii="Times New Roman" w:hAnsi="Times New Roman" w:cs="Times New Roman"/>
          <w:sz w:val="24"/>
          <w:szCs w:val="24"/>
        </w:rPr>
        <w:t xml:space="preserve">experience life, but it is the soul or ‘inner’ that is expressed through the body and is affected by the body’s experiences. </w:t>
      </w:r>
      <w:r w:rsidR="00DA6E63">
        <w:rPr>
          <w:rFonts w:ascii="Times New Roman" w:hAnsi="Times New Roman" w:cs="Times New Roman"/>
          <w:sz w:val="24"/>
          <w:szCs w:val="24"/>
        </w:rPr>
        <w:t>Similarly</w:t>
      </w:r>
      <w:r w:rsidR="00C90952">
        <w:rPr>
          <w:rFonts w:ascii="Times New Roman" w:hAnsi="Times New Roman" w:cs="Times New Roman"/>
          <w:sz w:val="24"/>
          <w:szCs w:val="24"/>
        </w:rPr>
        <w:t xml:space="preserve">, the </w:t>
      </w:r>
      <w:r w:rsidR="00DA6E63">
        <w:rPr>
          <w:rFonts w:ascii="Times New Roman" w:hAnsi="Times New Roman" w:cs="Times New Roman"/>
          <w:sz w:val="24"/>
          <w:szCs w:val="24"/>
        </w:rPr>
        <w:t xml:space="preserve">scientism view, </w:t>
      </w:r>
      <w:r w:rsidR="00FC52DE">
        <w:rPr>
          <w:rFonts w:ascii="Times New Roman" w:hAnsi="Times New Roman" w:cs="Times New Roman"/>
          <w:sz w:val="24"/>
          <w:szCs w:val="24"/>
        </w:rPr>
        <w:t xml:space="preserve">holds that while the idea of a soul </w:t>
      </w:r>
      <w:r w:rsidR="005707CF">
        <w:rPr>
          <w:rFonts w:ascii="Times New Roman" w:hAnsi="Times New Roman" w:cs="Times New Roman"/>
          <w:sz w:val="24"/>
          <w:szCs w:val="24"/>
        </w:rPr>
        <w:t xml:space="preserve">is rather irrational, the idea of something </w:t>
      </w:r>
      <w:r w:rsidR="00B36D3E">
        <w:rPr>
          <w:rFonts w:ascii="Times New Roman" w:hAnsi="Times New Roman" w:cs="Times New Roman"/>
          <w:sz w:val="24"/>
          <w:szCs w:val="24"/>
        </w:rPr>
        <w:t xml:space="preserve">within was intriguing and was elaborated on most clearly by Rene Descartes. </w:t>
      </w:r>
      <w:r w:rsidR="00EF6E1C">
        <w:rPr>
          <w:rFonts w:ascii="Times New Roman" w:hAnsi="Times New Roman" w:cs="Times New Roman"/>
          <w:sz w:val="24"/>
          <w:szCs w:val="24"/>
        </w:rPr>
        <w:t>As Descartes says in Meditations</w:t>
      </w:r>
      <w:r w:rsidR="00D14682">
        <w:rPr>
          <w:rFonts w:ascii="Times New Roman" w:hAnsi="Times New Roman" w:cs="Times New Roman"/>
          <w:sz w:val="24"/>
          <w:szCs w:val="24"/>
        </w:rPr>
        <w:t>,</w:t>
      </w:r>
      <w:r w:rsidR="00EF6E1C">
        <w:rPr>
          <w:rFonts w:ascii="Times New Roman" w:hAnsi="Times New Roman" w:cs="Times New Roman"/>
          <w:sz w:val="24"/>
          <w:szCs w:val="24"/>
        </w:rPr>
        <w:t xml:space="preserve"> “</w:t>
      </w:r>
      <w:r w:rsidR="00F47EDC">
        <w:rPr>
          <w:rFonts w:ascii="Times New Roman" w:hAnsi="Times New Roman" w:cs="Times New Roman"/>
          <w:sz w:val="24"/>
          <w:szCs w:val="24"/>
        </w:rPr>
        <w:t xml:space="preserve">it is certain </w:t>
      </w:r>
      <w:r w:rsidR="00EF6E1C">
        <w:rPr>
          <w:rFonts w:ascii="Times New Roman" w:hAnsi="Times New Roman" w:cs="Times New Roman"/>
          <w:sz w:val="24"/>
          <w:szCs w:val="24"/>
        </w:rPr>
        <w:t>I am really distinct from my bo</w:t>
      </w:r>
      <w:r w:rsidR="00F47EDC">
        <w:rPr>
          <w:rFonts w:ascii="Times New Roman" w:hAnsi="Times New Roman" w:cs="Times New Roman"/>
          <w:sz w:val="24"/>
          <w:szCs w:val="24"/>
        </w:rPr>
        <w:t>d</w:t>
      </w:r>
      <w:r w:rsidR="00EF6E1C">
        <w:rPr>
          <w:rFonts w:ascii="Times New Roman" w:hAnsi="Times New Roman" w:cs="Times New Roman"/>
          <w:sz w:val="24"/>
          <w:szCs w:val="24"/>
        </w:rPr>
        <w:t>y,</w:t>
      </w:r>
      <w:r w:rsidR="00F47EDC">
        <w:rPr>
          <w:rFonts w:ascii="Times New Roman" w:hAnsi="Times New Roman" w:cs="Times New Roman"/>
          <w:sz w:val="24"/>
          <w:szCs w:val="24"/>
        </w:rPr>
        <w:t xml:space="preserve"> </w:t>
      </w:r>
      <w:r w:rsidR="00EF6E1C">
        <w:rPr>
          <w:rFonts w:ascii="Times New Roman" w:hAnsi="Times New Roman" w:cs="Times New Roman"/>
          <w:sz w:val="24"/>
          <w:szCs w:val="24"/>
        </w:rPr>
        <w:t>and can exists without it</w:t>
      </w:r>
      <w:r w:rsidR="00EF6E1C">
        <w:rPr>
          <w:rStyle w:val="FootnoteReference"/>
          <w:rFonts w:ascii="Times New Roman" w:hAnsi="Times New Roman" w:cs="Times New Roman"/>
          <w:sz w:val="24"/>
          <w:szCs w:val="24"/>
        </w:rPr>
        <w:footnoteReference w:id="3"/>
      </w:r>
      <w:r w:rsidR="00EF6E1C">
        <w:rPr>
          <w:rFonts w:ascii="Times New Roman" w:hAnsi="Times New Roman" w:cs="Times New Roman"/>
          <w:sz w:val="24"/>
          <w:szCs w:val="24"/>
        </w:rPr>
        <w:t xml:space="preserve">” </w:t>
      </w:r>
      <w:r w:rsidR="00D14682">
        <w:rPr>
          <w:rFonts w:ascii="Times New Roman" w:hAnsi="Times New Roman" w:cs="Times New Roman"/>
          <w:sz w:val="24"/>
          <w:szCs w:val="24"/>
        </w:rPr>
        <w:t xml:space="preserve">In addition to this, </w:t>
      </w:r>
      <w:r w:rsidR="00B36D3E">
        <w:rPr>
          <w:rFonts w:ascii="Times New Roman" w:hAnsi="Times New Roman" w:cs="Times New Roman"/>
          <w:sz w:val="24"/>
          <w:szCs w:val="24"/>
        </w:rPr>
        <w:t>Descartes</w:t>
      </w:r>
      <w:r w:rsidR="00D14682">
        <w:rPr>
          <w:rFonts w:ascii="Times New Roman" w:hAnsi="Times New Roman" w:cs="Times New Roman"/>
          <w:sz w:val="24"/>
          <w:szCs w:val="24"/>
        </w:rPr>
        <w:t xml:space="preserve"> expanded upon this idea by</w:t>
      </w:r>
      <w:r w:rsidR="00B36D3E">
        <w:rPr>
          <w:rFonts w:ascii="Times New Roman" w:hAnsi="Times New Roman" w:cs="Times New Roman"/>
          <w:sz w:val="24"/>
          <w:szCs w:val="24"/>
        </w:rPr>
        <w:t xml:space="preserve"> </w:t>
      </w:r>
      <w:r w:rsidR="00575452">
        <w:rPr>
          <w:rFonts w:ascii="Times New Roman" w:hAnsi="Times New Roman" w:cs="Times New Roman"/>
          <w:sz w:val="24"/>
          <w:szCs w:val="24"/>
        </w:rPr>
        <w:t>put</w:t>
      </w:r>
      <w:r w:rsidR="00D14682">
        <w:rPr>
          <w:rFonts w:ascii="Times New Roman" w:hAnsi="Times New Roman" w:cs="Times New Roman"/>
          <w:sz w:val="24"/>
          <w:szCs w:val="24"/>
        </w:rPr>
        <w:t>ting</w:t>
      </w:r>
      <w:r w:rsidR="00575452">
        <w:rPr>
          <w:rFonts w:ascii="Times New Roman" w:hAnsi="Times New Roman" w:cs="Times New Roman"/>
          <w:sz w:val="24"/>
          <w:szCs w:val="24"/>
        </w:rPr>
        <w:t xml:space="preserve"> forward the notion that the human body, with its muscles and organs and such, was little more </w:t>
      </w:r>
      <w:r w:rsidR="00726141">
        <w:rPr>
          <w:rFonts w:ascii="Times New Roman" w:hAnsi="Times New Roman" w:cs="Times New Roman"/>
          <w:sz w:val="24"/>
          <w:szCs w:val="24"/>
        </w:rPr>
        <w:t>than a ‘machine</w:t>
      </w:r>
      <w:r w:rsidR="00156711">
        <w:rPr>
          <w:rFonts w:ascii="Times New Roman" w:hAnsi="Times New Roman" w:cs="Times New Roman"/>
          <w:sz w:val="24"/>
          <w:szCs w:val="24"/>
        </w:rPr>
        <w:t>’</w:t>
      </w:r>
      <w:r w:rsidR="00D14682">
        <w:rPr>
          <w:rFonts w:ascii="Times New Roman" w:hAnsi="Times New Roman" w:cs="Times New Roman"/>
          <w:sz w:val="24"/>
          <w:szCs w:val="24"/>
        </w:rPr>
        <w:t>, a vessel perhaps. And while Descartes would note some difficulty with this conclusion,</w:t>
      </w:r>
      <w:r w:rsidR="00156711">
        <w:rPr>
          <w:rFonts w:ascii="Times New Roman" w:hAnsi="Times New Roman" w:cs="Times New Roman"/>
          <w:sz w:val="24"/>
          <w:szCs w:val="24"/>
        </w:rPr>
        <w:t xml:space="preserve"> </w:t>
      </w:r>
      <w:r w:rsidR="00D14682">
        <w:rPr>
          <w:rFonts w:ascii="Times New Roman" w:hAnsi="Times New Roman" w:cs="Times New Roman"/>
          <w:sz w:val="24"/>
          <w:szCs w:val="24"/>
        </w:rPr>
        <w:t>He did argue</w:t>
      </w:r>
      <w:r w:rsidR="00156711">
        <w:rPr>
          <w:rFonts w:ascii="Times New Roman" w:hAnsi="Times New Roman" w:cs="Times New Roman"/>
          <w:sz w:val="24"/>
          <w:szCs w:val="24"/>
        </w:rPr>
        <w:t xml:space="preserve"> that in order to say a person is something beyond the mere language of physics</w:t>
      </w:r>
      <w:r w:rsidR="00D14682">
        <w:rPr>
          <w:rFonts w:ascii="Times New Roman" w:hAnsi="Times New Roman" w:cs="Times New Roman"/>
          <w:sz w:val="24"/>
          <w:szCs w:val="24"/>
        </w:rPr>
        <w:t>; for example, defining an eye via how many millimetres it is in diameter;</w:t>
      </w:r>
      <w:r w:rsidR="00156711">
        <w:rPr>
          <w:rFonts w:ascii="Times New Roman" w:hAnsi="Times New Roman" w:cs="Times New Roman"/>
          <w:sz w:val="24"/>
          <w:szCs w:val="24"/>
        </w:rPr>
        <w:t xml:space="preserve"> there must be something distinct</w:t>
      </w:r>
      <w:r w:rsidR="00AF7801">
        <w:rPr>
          <w:rFonts w:ascii="Times New Roman" w:hAnsi="Times New Roman" w:cs="Times New Roman"/>
          <w:sz w:val="24"/>
          <w:szCs w:val="24"/>
        </w:rPr>
        <w:t xml:space="preserve"> and within the body, thus the idea of the inner man. </w:t>
      </w:r>
      <w:r w:rsidR="00D63620">
        <w:rPr>
          <w:rFonts w:ascii="Times New Roman" w:hAnsi="Times New Roman" w:cs="Times New Roman"/>
          <w:sz w:val="24"/>
          <w:szCs w:val="24"/>
        </w:rPr>
        <w:t xml:space="preserve">It is this </w:t>
      </w:r>
      <w:r w:rsidR="006F1B61">
        <w:rPr>
          <w:rFonts w:ascii="Times New Roman" w:hAnsi="Times New Roman" w:cs="Times New Roman"/>
          <w:sz w:val="24"/>
          <w:szCs w:val="24"/>
        </w:rPr>
        <w:lastRenderedPageBreak/>
        <w:t>‘</w:t>
      </w:r>
      <w:r w:rsidR="00D63620">
        <w:rPr>
          <w:rFonts w:ascii="Times New Roman" w:hAnsi="Times New Roman" w:cs="Times New Roman"/>
          <w:sz w:val="24"/>
          <w:szCs w:val="24"/>
        </w:rPr>
        <w:t>inner man</w:t>
      </w:r>
      <w:r w:rsidR="006F1B61">
        <w:rPr>
          <w:rFonts w:ascii="Times New Roman" w:hAnsi="Times New Roman" w:cs="Times New Roman"/>
          <w:sz w:val="24"/>
          <w:szCs w:val="24"/>
        </w:rPr>
        <w:t>’</w:t>
      </w:r>
      <w:r w:rsidR="00D63620">
        <w:rPr>
          <w:rFonts w:ascii="Times New Roman" w:hAnsi="Times New Roman" w:cs="Times New Roman"/>
          <w:sz w:val="24"/>
          <w:szCs w:val="24"/>
        </w:rPr>
        <w:t xml:space="preserve"> that perceives, feels a</w:t>
      </w:r>
      <w:r w:rsidR="006F1B61">
        <w:rPr>
          <w:rFonts w:ascii="Times New Roman" w:hAnsi="Times New Roman" w:cs="Times New Roman"/>
          <w:sz w:val="24"/>
          <w:szCs w:val="24"/>
        </w:rPr>
        <w:t xml:space="preserve">nd does related actions, a separate entity from the actual body. </w:t>
      </w:r>
    </w:p>
    <w:p w14:paraId="2F643602" w14:textId="14E5A2FE" w:rsidR="00F8759C" w:rsidRDefault="00AF7801" w:rsidP="003E4AE7">
      <w:pPr>
        <w:spacing w:line="360" w:lineRule="auto"/>
        <w:rPr>
          <w:rFonts w:ascii="Times New Roman" w:hAnsi="Times New Roman" w:cs="Times New Roman"/>
          <w:sz w:val="24"/>
          <w:szCs w:val="24"/>
        </w:rPr>
      </w:pPr>
      <w:r>
        <w:rPr>
          <w:rFonts w:ascii="Times New Roman" w:hAnsi="Times New Roman" w:cs="Times New Roman"/>
          <w:sz w:val="24"/>
          <w:szCs w:val="24"/>
        </w:rPr>
        <w:t xml:space="preserve">Now, Merleau-Ponty views the overall idea of the inner man as one with deep seated difficulty. </w:t>
      </w:r>
      <w:r w:rsidR="00C62A07">
        <w:rPr>
          <w:rFonts w:ascii="Times New Roman" w:hAnsi="Times New Roman" w:cs="Times New Roman"/>
          <w:sz w:val="24"/>
          <w:szCs w:val="24"/>
        </w:rPr>
        <w:t xml:space="preserve">He rejects the idea that there must be an inner </w:t>
      </w:r>
      <w:r w:rsidR="00B20F2A">
        <w:rPr>
          <w:rFonts w:ascii="Times New Roman" w:hAnsi="Times New Roman" w:cs="Times New Roman"/>
          <w:sz w:val="24"/>
          <w:szCs w:val="24"/>
        </w:rPr>
        <w:t>idea</w:t>
      </w:r>
      <w:r w:rsidR="00C62A07">
        <w:rPr>
          <w:rFonts w:ascii="Times New Roman" w:hAnsi="Times New Roman" w:cs="Times New Roman"/>
          <w:sz w:val="24"/>
          <w:szCs w:val="24"/>
        </w:rPr>
        <w:t xml:space="preserve"> of some kind that directs </w:t>
      </w:r>
      <w:r w:rsidR="000240D0">
        <w:rPr>
          <w:rFonts w:ascii="Times New Roman" w:hAnsi="Times New Roman" w:cs="Times New Roman"/>
          <w:sz w:val="24"/>
          <w:szCs w:val="24"/>
        </w:rPr>
        <w:t>action or remains apart from the human body</w:t>
      </w:r>
      <w:r w:rsidR="00B20F2A">
        <w:rPr>
          <w:rFonts w:ascii="Times New Roman" w:hAnsi="Times New Roman" w:cs="Times New Roman"/>
          <w:sz w:val="24"/>
          <w:szCs w:val="24"/>
        </w:rPr>
        <w:t xml:space="preserve"> in order to perceive or experience</w:t>
      </w:r>
      <w:r w:rsidR="000240D0">
        <w:rPr>
          <w:rFonts w:ascii="Times New Roman" w:hAnsi="Times New Roman" w:cs="Times New Roman"/>
          <w:sz w:val="24"/>
          <w:szCs w:val="24"/>
        </w:rPr>
        <w:t>. To reiterate the earlier quote in its entirety, “…</w:t>
      </w:r>
      <w:r w:rsidR="000240D0" w:rsidRPr="000240D0">
        <w:rPr>
          <w:rFonts w:ascii="Times New Roman" w:hAnsi="Times New Roman" w:cs="Times New Roman"/>
          <w:sz w:val="24"/>
          <w:szCs w:val="24"/>
        </w:rPr>
        <w:t>there is no inner man, man is in the world, and only in the world does he know himself</w:t>
      </w:r>
      <w:r w:rsidR="000240D0">
        <w:rPr>
          <w:rFonts w:ascii="Times New Roman" w:hAnsi="Times New Roman" w:cs="Times New Roman"/>
          <w:sz w:val="24"/>
          <w:szCs w:val="24"/>
        </w:rPr>
        <w:t>…</w:t>
      </w:r>
      <w:r w:rsidR="000240D0">
        <w:rPr>
          <w:rStyle w:val="FootnoteReference"/>
          <w:rFonts w:ascii="Times New Roman" w:hAnsi="Times New Roman" w:cs="Times New Roman"/>
          <w:sz w:val="24"/>
          <w:szCs w:val="24"/>
        </w:rPr>
        <w:footnoteReference w:id="4"/>
      </w:r>
      <w:r w:rsidR="000240D0">
        <w:rPr>
          <w:rFonts w:ascii="Times New Roman" w:hAnsi="Times New Roman" w:cs="Times New Roman"/>
          <w:sz w:val="24"/>
          <w:szCs w:val="24"/>
        </w:rPr>
        <w:t>”</w:t>
      </w:r>
      <w:r w:rsidR="006D62B6">
        <w:rPr>
          <w:rFonts w:ascii="Times New Roman" w:hAnsi="Times New Roman" w:cs="Times New Roman"/>
          <w:sz w:val="24"/>
          <w:szCs w:val="24"/>
        </w:rPr>
        <w:t xml:space="preserve"> </w:t>
      </w:r>
      <w:r w:rsidR="00B20F2A">
        <w:rPr>
          <w:rFonts w:ascii="Times New Roman" w:hAnsi="Times New Roman" w:cs="Times New Roman"/>
          <w:sz w:val="24"/>
          <w:szCs w:val="24"/>
        </w:rPr>
        <w:t xml:space="preserve">Dissecting this quote presents us with Merleau-Ponty’s view that the inner is non-existent in the conceptual sense and that is only the material body that exists. </w:t>
      </w:r>
      <w:r w:rsidR="006D62B6">
        <w:rPr>
          <w:rFonts w:ascii="Times New Roman" w:hAnsi="Times New Roman" w:cs="Times New Roman"/>
          <w:sz w:val="24"/>
          <w:szCs w:val="24"/>
        </w:rPr>
        <w:t xml:space="preserve">For Merleau-Ponty, the body and ‘inner’ are one and the same, that </w:t>
      </w:r>
      <w:r w:rsidR="00A67ED8">
        <w:rPr>
          <w:rFonts w:ascii="Times New Roman" w:hAnsi="Times New Roman" w:cs="Times New Roman"/>
          <w:sz w:val="24"/>
          <w:szCs w:val="24"/>
        </w:rPr>
        <w:t xml:space="preserve">man does not process or experience </w:t>
      </w:r>
      <w:r w:rsidR="00B20F2A">
        <w:rPr>
          <w:rFonts w:ascii="Times New Roman" w:hAnsi="Times New Roman" w:cs="Times New Roman"/>
          <w:sz w:val="24"/>
          <w:szCs w:val="24"/>
        </w:rPr>
        <w:t xml:space="preserve">the </w:t>
      </w:r>
      <w:r w:rsidR="00A67ED8">
        <w:rPr>
          <w:rFonts w:ascii="Times New Roman" w:hAnsi="Times New Roman" w:cs="Times New Roman"/>
          <w:sz w:val="24"/>
          <w:szCs w:val="24"/>
        </w:rPr>
        <w:t xml:space="preserve">world separately, but rather only through his body. </w:t>
      </w:r>
      <w:r w:rsidR="006549E1">
        <w:rPr>
          <w:rFonts w:ascii="Times New Roman" w:hAnsi="Times New Roman" w:cs="Times New Roman"/>
          <w:sz w:val="24"/>
          <w:szCs w:val="24"/>
        </w:rPr>
        <w:t xml:space="preserve">Furthermore, the idea that a part of us is outside the world doesn’t </w:t>
      </w:r>
      <w:r w:rsidR="002B28DA">
        <w:rPr>
          <w:rFonts w:ascii="Times New Roman" w:hAnsi="Times New Roman" w:cs="Times New Roman"/>
          <w:sz w:val="24"/>
          <w:szCs w:val="24"/>
        </w:rPr>
        <w:t xml:space="preserve">to Merleau-Ponty make sense, as to him this impacts the way </w:t>
      </w:r>
      <w:r w:rsidR="00B20F2A">
        <w:rPr>
          <w:rFonts w:ascii="Times New Roman" w:hAnsi="Times New Roman" w:cs="Times New Roman"/>
          <w:sz w:val="24"/>
          <w:szCs w:val="24"/>
        </w:rPr>
        <w:t xml:space="preserve">in which </w:t>
      </w:r>
      <w:r w:rsidR="002B28DA">
        <w:rPr>
          <w:rFonts w:ascii="Times New Roman" w:hAnsi="Times New Roman" w:cs="Times New Roman"/>
          <w:sz w:val="24"/>
          <w:szCs w:val="24"/>
        </w:rPr>
        <w:t>we would experience objects in the world. If we were to have as Descartes claims a separate ‘inner man’ to process our experience of objects in the world, they would</w:t>
      </w:r>
      <w:r w:rsidR="00B20F2A">
        <w:rPr>
          <w:rFonts w:ascii="Times New Roman" w:hAnsi="Times New Roman" w:cs="Times New Roman"/>
          <w:sz w:val="24"/>
          <w:szCs w:val="24"/>
        </w:rPr>
        <w:t xml:space="preserve"> have to</w:t>
      </w:r>
      <w:r w:rsidR="002B28DA">
        <w:rPr>
          <w:rFonts w:ascii="Times New Roman" w:hAnsi="Times New Roman" w:cs="Times New Roman"/>
          <w:sz w:val="24"/>
          <w:szCs w:val="24"/>
        </w:rPr>
        <w:t xml:space="preserve"> start out as determinate qualities. Yet the normal perceptive experience is to experience objects as they are significant to us or “it is through my body that I perceive things</w:t>
      </w:r>
      <w:r w:rsidR="002B28DA">
        <w:rPr>
          <w:rStyle w:val="FootnoteReference"/>
          <w:rFonts w:ascii="Times New Roman" w:hAnsi="Times New Roman" w:cs="Times New Roman"/>
          <w:sz w:val="24"/>
          <w:szCs w:val="24"/>
        </w:rPr>
        <w:footnoteReference w:id="5"/>
      </w:r>
      <w:r w:rsidR="002B28DA">
        <w:rPr>
          <w:rFonts w:ascii="Times New Roman" w:hAnsi="Times New Roman" w:cs="Times New Roman"/>
          <w:sz w:val="24"/>
          <w:szCs w:val="24"/>
        </w:rPr>
        <w:t>”</w:t>
      </w:r>
      <w:r w:rsidR="00824CEE">
        <w:rPr>
          <w:rFonts w:ascii="Times New Roman" w:hAnsi="Times New Roman" w:cs="Times New Roman"/>
          <w:sz w:val="24"/>
          <w:szCs w:val="24"/>
        </w:rPr>
        <w:t>.</w:t>
      </w:r>
      <w:r w:rsidR="00F04381">
        <w:rPr>
          <w:rFonts w:ascii="Times New Roman" w:hAnsi="Times New Roman" w:cs="Times New Roman"/>
          <w:sz w:val="24"/>
          <w:szCs w:val="24"/>
        </w:rPr>
        <w:t xml:space="preserve"> Simply, we experience an object in the meaning it has for us, not in a quality and identify style. For example, I know an apple through the meaning of it as food</w:t>
      </w:r>
      <w:r w:rsidR="00B20F2A">
        <w:rPr>
          <w:rFonts w:ascii="Times New Roman" w:hAnsi="Times New Roman" w:cs="Times New Roman"/>
          <w:sz w:val="24"/>
          <w:szCs w:val="24"/>
        </w:rPr>
        <w:t xml:space="preserve"> or as something in my hand</w:t>
      </w:r>
      <w:r w:rsidR="00F04381">
        <w:rPr>
          <w:rFonts w:ascii="Times New Roman" w:hAnsi="Times New Roman" w:cs="Times New Roman"/>
          <w:sz w:val="24"/>
          <w:szCs w:val="24"/>
        </w:rPr>
        <w:t xml:space="preserve">, not as a roundish red blotch </w:t>
      </w:r>
      <w:r w:rsidR="00B20F2A">
        <w:rPr>
          <w:rFonts w:ascii="Times New Roman" w:hAnsi="Times New Roman" w:cs="Times New Roman"/>
          <w:sz w:val="24"/>
          <w:szCs w:val="24"/>
        </w:rPr>
        <w:t xml:space="preserve">I must begin a though process within to decipher </w:t>
      </w:r>
      <w:r w:rsidR="00F04381">
        <w:rPr>
          <w:rFonts w:ascii="Times New Roman" w:hAnsi="Times New Roman" w:cs="Times New Roman"/>
          <w:sz w:val="24"/>
          <w:szCs w:val="24"/>
        </w:rPr>
        <w:t xml:space="preserve">as Descartes would suggest. </w:t>
      </w:r>
      <w:r w:rsidR="00B20F2A">
        <w:rPr>
          <w:rFonts w:ascii="Times New Roman" w:hAnsi="Times New Roman" w:cs="Times New Roman"/>
          <w:sz w:val="24"/>
          <w:szCs w:val="24"/>
        </w:rPr>
        <w:t xml:space="preserve">Therefore, while this is another topic entirely, it to Merleau-Ponty represents a key weakness in the dialogue of the ‘inner man’. </w:t>
      </w:r>
    </w:p>
    <w:p w14:paraId="226DF310" w14:textId="7F8561D4" w:rsidR="00AF7801" w:rsidRDefault="00B20F2A" w:rsidP="003E4AE7">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r w:rsidR="009E3D58">
        <w:rPr>
          <w:rFonts w:ascii="Times New Roman" w:hAnsi="Times New Roman" w:cs="Times New Roman"/>
          <w:sz w:val="24"/>
          <w:szCs w:val="24"/>
        </w:rPr>
        <w:t>addition</w:t>
      </w:r>
      <w:r w:rsidR="00A67ED8">
        <w:rPr>
          <w:rFonts w:ascii="Times New Roman" w:hAnsi="Times New Roman" w:cs="Times New Roman"/>
          <w:sz w:val="24"/>
          <w:szCs w:val="24"/>
        </w:rPr>
        <w:t>, in order to further understand</w:t>
      </w:r>
      <w:r>
        <w:rPr>
          <w:rFonts w:ascii="Times New Roman" w:hAnsi="Times New Roman" w:cs="Times New Roman"/>
          <w:sz w:val="24"/>
          <w:szCs w:val="24"/>
        </w:rPr>
        <w:t xml:space="preserve"> the weakness of the ‘inner man’</w:t>
      </w:r>
      <w:r w:rsidR="00A67ED8">
        <w:rPr>
          <w:rFonts w:ascii="Times New Roman" w:hAnsi="Times New Roman" w:cs="Times New Roman"/>
          <w:sz w:val="24"/>
          <w:szCs w:val="24"/>
        </w:rPr>
        <w:t xml:space="preserve">, a slight diversion into the view of the body by those like Descartes must be done. For Descartes, the human body is </w:t>
      </w:r>
      <w:r w:rsidR="00F8759C">
        <w:rPr>
          <w:rFonts w:ascii="Times New Roman" w:hAnsi="Times New Roman" w:cs="Times New Roman"/>
          <w:sz w:val="24"/>
          <w:szCs w:val="24"/>
        </w:rPr>
        <w:t xml:space="preserve">a </w:t>
      </w:r>
      <w:r>
        <w:rPr>
          <w:rFonts w:ascii="Times New Roman" w:hAnsi="Times New Roman" w:cs="Times New Roman"/>
          <w:sz w:val="24"/>
          <w:szCs w:val="24"/>
        </w:rPr>
        <w:t>‘</w:t>
      </w:r>
      <w:r w:rsidR="00F8759C">
        <w:rPr>
          <w:rFonts w:ascii="Times New Roman" w:hAnsi="Times New Roman" w:cs="Times New Roman"/>
          <w:sz w:val="24"/>
          <w:szCs w:val="24"/>
        </w:rPr>
        <w:t>machine</w:t>
      </w:r>
      <w:r>
        <w:rPr>
          <w:rFonts w:ascii="Times New Roman" w:hAnsi="Times New Roman" w:cs="Times New Roman"/>
          <w:sz w:val="24"/>
          <w:szCs w:val="24"/>
        </w:rPr>
        <w:t>’</w:t>
      </w:r>
      <w:r w:rsidR="00F8759C">
        <w:rPr>
          <w:rFonts w:ascii="Times New Roman" w:hAnsi="Times New Roman" w:cs="Times New Roman"/>
          <w:sz w:val="24"/>
          <w:szCs w:val="24"/>
        </w:rPr>
        <w:t xml:space="preserve"> or rather an object that </w:t>
      </w:r>
      <w:r w:rsidR="00C3712A">
        <w:rPr>
          <w:rFonts w:ascii="Times New Roman" w:hAnsi="Times New Roman" w:cs="Times New Roman"/>
          <w:sz w:val="24"/>
          <w:szCs w:val="24"/>
        </w:rPr>
        <w:t>is encountered in the world in the way one would a pen</w:t>
      </w:r>
      <w:r>
        <w:rPr>
          <w:rFonts w:ascii="Times New Roman" w:hAnsi="Times New Roman" w:cs="Times New Roman"/>
          <w:sz w:val="24"/>
          <w:szCs w:val="24"/>
        </w:rPr>
        <w:t xml:space="preserve"> for example</w:t>
      </w:r>
      <w:r w:rsidR="00C3712A">
        <w:rPr>
          <w:rFonts w:ascii="Times New Roman" w:hAnsi="Times New Roman" w:cs="Times New Roman"/>
          <w:sz w:val="24"/>
          <w:szCs w:val="24"/>
        </w:rPr>
        <w:t xml:space="preserve">. As I can encounter it in the world, </w:t>
      </w:r>
      <w:r>
        <w:rPr>
          <w:rFonts w:ascii="Times New Roman" w:hAnsi="Times New Roman" w:cs="Times New Roman"/>
          <w:sz w:val="24"/>
          <w:szCs w:val="24"/>
        </w:rPr>
        <w:t xml:space="preserve">this ‘object’ </w:t>
      </w:r>
      <w:r w:rsidR="00C3712A">
        <w:rPr>
          <w:rFonts w:ascii="Times New Roman" w:hAnsi="Times New Roman" w:cs="Times New Roman"/>
          <w:sz w:val="24"/>
          <w:szCs w:val="24"/>
        </w:rPr>
        <w:t>is distinctive from me,</w:t>
      </w:r>
      <w:r>
        <w:rPr>
          <w:rFonts w:ascii="Times New Roman" w:hAnsi="Times New Roman" w:cs="Times New Roman"/>
          <w:sz w:val="24"/>
          <w:szCs w:val="24"/>
        </w:rPr>
        <w:t xml:space="preserve"> separate and apart,</w:t>
      </w:r>
      <w:r w:rsidR="00C3712A">
        <w:rPr>
          <w:rFonts w:ascii="Times New Roman" w:hAnsi="Times New Roman" w:cs="Times New Roman"/>
          <w:sz w:val="24"/>
          <w:szCs w:val="24"/>
        </w:rPr>
        <w:t xml:space="preserve"> and thus this</w:t>
      </w:r>
      <w:r>
        <w:rPr>
          <w:rFonts w:ascii="Times New Roman" w:hAnsi="Times New Roman" w:cs="Times New Roman"/>
          <w:sz w:val="24"/>
          <w:szCs w:val="24"/>
        </w:rPr>
        <w:t xml:space="preserve"> to Descartes</w:t>
      </w:r>
      <w:r w:rsidR="00C3712A">
        <w:rPr>
          <w:rFonts w:ascii="Times New Roman" w:hAnsi="Times New Roman" w:cs="Times New Roman"/>
          <w:sz w:val="24"/>
          <w:szCs w:val="24"/>
        </w:rPr>
        <w:t xml:space="preserve"> facilitates a dual notion of body and ‘inner man’. This </w:t>
      </w:r>
      <w:r w:rsidR="00AE5E61">
        <w:rPr>
          <w:rFonts w:ascii="Times New Roman" w:hAnsi="Times New Roman" w:cs="Times New Roman"/>
          <w:sz w:val="24"/>
          <w:szCs w:val="24"/>
        </w:rPr>
        <w:t xml:space="preserve">to Merleau-Ponty is just wrong, as an object to him is defined as something that is in the world, a definition that Descartes puts forward, but rather Merleau-Ponty differs by saying it </w:t>
      </w:r>
      <w:r>
        <w:rPr>
          <w:rFonts w:ascii="Times New Roman" w:hAnsi="Times New Roman" w:cs="Times New Roman"/>
          <w:sz w:val="24"/>
          <w:szCs w:val="24"/>
        </w:rPr>
        <w:t xml:space="preserve">is </w:t>
      </w:r>
      <w:r w:rsidR="00AE5E61">
        <w:rPr>
          <w:rFonts w:ascii="Times New Roman" w:hAnsi="Times New Roman" w:cs="Times New Roman"/>
          <w:sz w:val="24"/>
          <w:szCs w:val="24"/>
        </w:rPr>
        <w:t xml:space="preserve">something that is used and observable. A person’s own body is not like that, and thus the conclusion is that it cannot be an object in the world. Therefore, the idea that the body is separate from some ‘inner man’ is thus to Merleau-Ponty disproven, for if there were to be a separate ‘inner’ the body would have to be separate as well and this is not the case. </w:t>
      </w:r>
      <w:r>
        <w:rPr>
          <w:rFonts w:ascii="Times New Roman" w:hAnsi="Times New Roman" w:cs="Times New Roman"/>
          <w:sz w:val="24"/>
          <w:szCs w:val="24"/>
        </w:rPr>
        <w:t xml:space="preserve">To </w:t>
      </w:r>
      <w:r>
        <w:rPr>
          <w:rFonts w:ascii="Times New Roman" w:hAnsi="Times New Roman" w:cs="Times New Roman"/>
          <w:sz w:val="24"/>
          <w:szCs w:val="24"/>
        </w:rPr>
        <w:lastRenderedPageBreak/>
        <w:t xml:space="preserve">further illustrate this, one can observe one’s own hand in the world and from this conclude it is separate. But to Merleau-Ponty one is unable to do several actions that one could do to another object in the world, such as a book. While a book may be put down, observed from multiple angles or simply moved away from, the hand, and thus the body, cannot be. </w:t>
      </w:r>
      <w:r w:rsidR="00007548">
        <w:rPr>
          <w:rFonts w:ascii="Times New Roman" w:hAnsi="Times New Roman" w:cs="Times New Roman"/>
          <w:sz w:val="24"/>
          <w:szCs w:val="24"/>
        </w:rPr>
        <w:t>Therefore,</w:t>
      </w:r>
      <w:r>
        <w:rPr>
          <w:rFonts w:ascii="Times New Roman" w:hAnsi="Times New Roman" w:cs="Times New Roman"/>
          <w:sz w:val="24"/>
          <w:szCs w:val="24"/>
        </w:rPr>
        <w:t xml:space="preserve"> it is not a separate object in the world, and thus cannot as Descartes puts it, be a separate </w:t>
      </w:r>
      <w:r w:rsidR="00007548">
        <w:rPr>
          <w:rFonts w:ascii="Times New Roman" w:hAnsi="Times New Roman" w:cs="Times New Roman"/>
          <w:sz w:val="24"/>
          <w:szCs w:val="24"/>
        </w:rPr>
        <w:t>object, thus disproving the notion that the body is somehow a separate thing in the world from a person</w:t>
      </w:r>
      <w:r>
        <w:rPr>
          <w:rFonts w:ascii="Times New Roman" w:hAnsi="Times New Roman" w:cs="Times New Roman"/>
          <w:sz w:val="24"/>
          <w:szCs w:val="24"/>
        </w:rPr>
        <w:t xml:space="preserve"> in which a ‘inner’ could be housed. </w:t>
      </w:r>
    </w:p>
    <w:p w14:paraId="13853EC5" w14:textId="5CC5ABCC" w:rsidR="004C4EB7" w:rsidRPr="003E4AE7" w:rsidRDefault="004C4EB7" w:rsidP="003E4AE7">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Merleau-Ponty’s belief that the ‘inner man’ theory is false carries with it several merits. To myself, what he concludes does seem to reflect how one normal perceives things in the world and thus make it seem far more acceptable that other Scientism ideas are incorrect. </w:t>
      </w:r>
    </w:p>
    <w:p w14:paraId="376D7E54" w14:textId="265C864E" w:rsidR="00685C00" w:rsidRDefault="00685C00" w:rsidP="00685C00"/>
    <w:p w14:paraId="469925F8" w14:textId="373C2B57" w:rsidR="004C4EB7" w:rsidRPr="009E3D58" w:rsidRDefault="004C4EB7" w:rsidP="004961DE">
      <w:pPr>
        <w:spacing w:line="360" w:lineRule="auto"/>
        <w:rPr>
          <w:rFonts w:ascii="Times New Roman" w:hAnsi="Times New Roman" w:cs="Times New Roman"/>
          <w:b/>
          <w:bCs/>
          <w:sz w:val="28"/>
          <w:szCs w:val="28"/>
          <w:u w:val="single"/>
        </w:rPr>
      </w:pPr>
      <w:r w:rsidRPr="009E3D58">
        <w:rPr>
          <w:rFonts w:ascii="Times New Roman" w:hAnsi="Times New Roman" w:cs="Times New Roman"/>
          <w:b/>
          <w:bCs/>
          <w:sz w:val="28"/>
          <w:szCs w:val="28"/>
          <w:u w:val="single"/>
        </w:rPr>
        <w:t>4. What is the confusion (if there is one) in representing the individual’s own body a tool – an object he encounters – in his dealings with the world?</w:t>
      </w:r>
    </w:p>
    <w:p w14:paraId="1A57800D" w14:textId="50314D2A" w:rsidR="00930132" w:rsidRPr="004961DE" w:rsidRDefault="00930132" w:rsidP="004961DE">
      <w:pPr>
        <w:spacing w:line="360" w:lineRule="auto"/>
        <w:rPr>
          <w:rFonts w:ascii="Times New Roman" w:hAnsi="Times New Roman" w:cs="Times New Roman"/>
          <w:sz w:val="24"/>
          <w:szCs w:val="24"/>
        </w:rPr>
      </w:pPr>
      <w:r w:rsidRPr="004961DE">
        <w:rPr>
          <w:rFonts w:ascii="Times New Roman" w:hAnsi="Times New Roman" w:cs="Times New Roman"/>
          <w:sz w:val="24"/>
          <w:szCs w:val="24"/>
        </w:rPr>
        <w:t xml:space="preserve">Notions and ideas about personhood and the relation to our own body are nothing new in philosophy, with concepts stretching </w:t>
      </w:r>
      <w:r w:rsidR="00860293" w:rsidRPr="004961DE">
        <w:rPr>
          <w:rFonts w:ascii="Times New Roman" w:hAnsi="Times New Roman" w:cs="Times New Roman"/>
          <w:sz w:val="24"/>
          <w:szCs w:val="24"/>
        </w:rPr>
        <w:t xml:space="preserve">back to the early ideas of the Christians and earlier. Yet the case that shall be examined today is the notion that the individuals </w:t>
      </w:r>
      <w:r w:rsidR="006B5858" w:rsidRPr="004961DE">
        <w:rPr>
          <w:rFonts w:ascii="Times New Roman" w:hAnsi="Times New Roman" w:cs="Times New Roman"/>
          <w:sz w:val="24"/>
          <w:szCs w:val="24"/>
        </w:rPr>
        <w:t xml:space="preserve">is a tool, akin to an object he encounters, in </w:t>
      </w:r>
      <w:r w:rsidR="009E3D58" w:rsidRPr="004961DE">
        <w:rPr>
          <w:rFonts w:ascii="Times New Roman" w:hAnsi="Times New Roman" w:cs="Times New Roman"/>
          <w:sz w:val="24"/>
          <w:szCs w:val="24"/>
        </w:rPr>
        <w:t>one’s</w:t>
      </w:r>
      <w:r w:rsidR="006B5858" w:rsidRPr="004961DE">
        <w:rPr>
          <w:rFonts w:ascii="Times New Roman" w:hAnsi="Times New Roman" w:cs="Times New Roman"/>
          <w:sz w:val="24"/>
          <w:szCs w:val="24"/>
        </w:rPr>
        <w:t xml:space="preserve"> dealings with the world. This is a particularly difficult idea, and it is one that Merleau-Ponty thoroughly disagrees with.</w:t>
      </w:r>
    </w:p>
    <w:p w14:paraId="36C96D97" w14:textId="5AD95D48" w:rsidR="00D81936" w:rsidRDefault="006B5858" w:rsidP="004961DE">
      <w:pPr>
        <w:spacing w:line="360" w:lineRule="auto"/>
        <w:rPr>
          <w:rFonts w:ascii="Times New Roman" w:hAnsi="Times New Roman" w:cs="Times New Roman"/>
          <w:sz w:val="24"/>
          <w:szCs w:val="24"/>
        </w:rPr>
      </w:pPr>
      <w:r w:rsidRPr="004961DE">
        <w:rPr>
          <w:rFonts w:ascii="Times New Roman" w:hAnsi="Times New Roman" w:cs="Times New Roman"/>
          <w:sz w:val="24"/>
          <w:szCs w:val="24"/>
        </w:rPr>
        <w:t>First off, it is necessary to identify how t</w:t>
      </w:r>
      <w:r w:rsidR="00D830B0" w:rsidRPr="004961DE">
        <w:rPr>
          <w:rFonts w:ascii="Times New Roman" w:hAnsi="Times New Roman" w:cs="Times New Roman"/>
          <w:sz w:val="24"/>
          <w:szCs w:val="24"/>
        </w:rPr>
        <w:t xml:space="preserve">he philosophical idea that </w:t>
      </w:r>
      <w:r w:rsidR="004168C3" w:rsidRPr="004961DE">
        <w:rPr>
          <w:rFonts w:ascii="Times New Roman" w:hAnsi="Times New Roman" w:cs="Times New Roman"/>
          <w:sz w:val="24"/>
          <w:szCs w:val="24"/>
        </w:rPr>
        <w:t xml:space="preserve">an individual’s body is tool </w:t>
      </w:r>
      <w:r w:rsidRPr="004961DE">
        <w:rPr>
          <w:rFonts w:ascii="Times New Roman" w:hAnsi="Times New Roman" w:cs="Times New Roman"/>
          <w:sz w:val="24"/>
          <w:szCs w:val="24"/>
        </w:rPr>
        <w:t xml:space="preserve">came about and what the extent of it </w:t>
      </w:r>
      <w:r w:rsidR="00026AAB" w:rsidRPr="004961DE">
        <w:rPr>
          <w:rFonts w:ascii="Times New Roman" w:hAnsi="Times New Roman" w:cs="Times New Roman"/>
          <w:sz w:val="24"/>
          <w:szCs w:val="24"/>
        </w:rPr>
        <w:t xml:space="preserve">is. The idea of the body as a tool in the sense that Merleau-Ponty criticises </w:t>
      </w:r>
      <w:r w:rsidR="00DE589E" w:rsidRPr="004961DE">
        <w:rPr>
          <w:rFonts w:ascii="Times New Roman" w:hAnsi="Times New Roman" w:cs="Times New Roman"/>
          <w:sz w:val="24"/>
          <w:szCs w:val="24"/>
        </w:rPr>
        <w:t xml:space="preserve">originates with Descartes, which are expressed most clearly in his Treatise on Man. Descartes writes that “I </w:t>
      </w:r>
      <w:r w:rsidR="004961DE" w:rsidRPr="004961DE">
        <w:rPr>
          <w:rFonts w:ascii="Times New Roman" w:hAnsi="Times New Roman" w:cs="Times New Roman"/>
          <w:sz w:val="24"/>
          <w:szCs w:val="24"/>
        </w:rPr>
        <w:t>suppose</w:t>
      </w:r>
      <w:r w:rsidR="00DE589E" w:rsidRPr="004961DE">
        <w:rPr>
          <w:rFonts w:ascii="Times New Roman" w:hAnsi="Times New Roman" w:cs="Times New Roman"/>
          <w:sz w:val="24"/>
          <w:szCs w:val="24"/>
        </w:rPr>
        <w:t xml:space="preserve"> the body to be nothing but a statue or machine made of earth</w:t>
      </w:r>
      <w:r w:rsidR="00DE589E" w:rsidRPr="004961DE">
        <w:rPr>
          <w:rStyle w:val="FootnoteReference"/>
          <w:rFonts w:ascii="Times New Roman" w:hAnsi="Times New Roman" w:cs="Times New Roman"/>
          <w:sz w:val="24"/>
          <w:szCs w:val="24"/>
        </w:rPr>
        <w:footnoteReference w:id="6"/>
      </w:r>
      <w:r w:rsidR="00DE589E" w:rsidRPr="004961DE">
        <w:rPr>
          <w:rFonts w:ascii="Times New Roman" w:hAnsi="Times New Roman" w:cs="Times New Roman"/>
          <w:sz w:val="24"/>
          <w:szCs w:val="24"/>
        </w:rPr>
        <w:t>”</w:t>
      </w:r>
      <w:r w:rsidR="004961DE" w:rsidRPr="004961DE">
        <w:rPr>
          <w:rFonts w:ascii="Times New Roman" w:hAnsi="Times New Roman" w:cs="Times New Roman"/>
          <w:sz w:val="24"/>
          <w:szCs w:val="24"/>
        </w:rPr>
        <w:t xml:space="preserve">, which </w:t>
      </w:r>
      <w:r w:rsidR="00221843">
        <w:rPr>
          <w:rFonts w:ascii="Times New Roman" w:hAnsi="Times New Roman" w:cs="Times New Roman"/>
          <w:sz w:val="24"/>
          <w:szCs w:val="24"/>
        </w:rPr>
        <w:t>argues that there is nothing special about the body and that from this</w:t>
      </w:r>
      <w:r w:rsidR="00EC1BCC">
        <w:rPr>
          <w:rFonts w:ascii="Times New Roman" w:hAnsi="Times New Roman" w:cs="Times New Roman"/>
          <w:sz w:val="24"/>
          <w:szCs w:val="24"/>
        </w:rPr>
        <w:t>,</w:t>
      </w:r>
      <w:r w:rsidR="00221843">
        <w:rPr>
          <w:rFonts w:ascii="Times New Roman" w:hAnsi="Times New Roman" w:cs="Times New Roman"/>
          <w:sz w:val="24"/>
          <w:szCs w:val="24"/>
        </w:rPr>
        <w:t xml:space="preserve"> the notion of viewing </w:t>
      </w:r>
      <w:r w:rsidR="00EC1BCC">
        <w:rPr>
          <w:rFonts w:ascii="Times New Roman" w:hAnsi="Times New Roman" w:cs="Times New Roman"/>
          <w:sz w:val="24"/>
          <w:szCs w:val="24"/>
        </w:rPr>
        <w:t xml:space="preserve">it </w:t>
      </w:r>
      <w:r w:rsidR="002A60F9">
        <w:rPr>
          <w:rFonts w:ascii="Times New Roman" w:hAnsi="Times New Roman" w:cs="Times New Roman"/>
          <w:sz w:val="24"/>
          <w:szCs w:val="24"/>
        </w:rPr>
        <w:t>merely</w:t>
      </w:r>
      <w:r w:rsidR="00221843">
        <w:rPr>
          <w:rFonts w:ascii="Times New Roman" w:hAnsi="Times New Roman" w:cs="Times New Roman"/>
          <w:sz w:val="24"/>
          <w:szCs w:val="24"/>
        </w:rPr>
        <w:t xml:space="preserve"> as another tool in the world begins to form. </w:t>
      </w:r>
      <w:r w:rsidR="008D666B">
        <w:rPr>
          <w:rFonts w:ascii="Times New Roman" w:hAnsi="Times New Roman" w:cs="Times New Roman"/>
          <w:sz w:val="24"/>
          <w:szCs w:val="24"/>
        </w:rPr>
        <w:t>Furthermore</w:t>
      </w:r>
      <w:r w:rsidR="00221843">
        <w:rPr>
          <w:rFonts w:ascii="Times New Roman" w:hAnsi="Times New Roman" w:cs="Times New Roman"/>
          <w:sz w:val="24"/>
          <w:szCs w:val="24"/>
        </w:rPr>
        <w:t xml:space="preserve">, </w:t>
      </w:r>
      <w:r w:rsidR="00424774">
        <w:rPr>
          <w:rFonts w:ascii="Times New Roman" w:hAnsi="Times New Roman" w:cs="Times New Roman"/>
          <w:sz w:val="24"/>
          <w:szCs w:val="24"/>
        </w:rPr>
        <w:t xml:space="preserve">it </w:t>
      </w:r>
      <w:r w:rsidR="00EC1BCC">
        <w:rPr>
          <w:rFonts w:ascii="Times New Roman" w:hAnsi="Times New Roman" w:cs="Times New Roman"/>
          <w:sz w:val="24"/>
          <w:szCs w:val="24"/>
        </w:rPr>
        <w:t xml:space="preserve">is </w:t>
      </w:r>
      <w:r w:rsidR="00424774">
        <w:rPr>
          <w:rFonts w:ascii="Times New Roman" w:hAnsi="Times New Roman" w:cs="Times New Roman"/>
          <w:sz w:val="24"/>
          <w:szCs w:val="24"/>
        </w:rPr>
        <w:t>from this view as the body as something ‘earthly’ that Descartes</w:t>
      </w:r>
      <w:r w:rsidR="00EC1BCC">
        <w:rPr>
          <w:rFonts w:ascii="Times New Roman" w:hAnsi="Times New Roman" w:cs="Times New Roman"/>
          <w:sz w:val="24"/>
          <w:szCs w:val="24"/>
        </w:rPr>
        <w:t>’</w:t>
      </w:r>
      <w:r w:rsidR="00424774">
        <w:rPr>
          <w:rFonts w:ascii="Times New Roman" w:hAnsi="Times New Roman" w:cs="Times New Roman"/>
          <w:sz w:val="24"/>
          <w:szCs w:val="24"/>
        </w:rPr>
        <w:t xml:space="preserve"> view of </w:t>
      </w:r>
      <w:r w:rsidR="00EC1BCC">
        <w:rPr>
          <w:rFonts w:ascii="Times New Roman" w:hAnsi="Times New Roman" w:cs="Times New Roman"/>
          <w:sz w:val="24"/>
          <w:szCs w:val="24"/>
        </w:rPr>
        <w:t xml:space="preserve">an ‘inner man’ </w:t>
      </w:r>
      <w:r w:rsidR="00424774">
        <w:rPr>
          <w:rFonts w:ascii="Times New Roman" w:hAnsi="Times New Roman" w:cs="Times New Roman"/>
          <w:sz w:val="24"/>
          <w:szCs w:val="24"/>
        </w:rPr>
        <w:t xml:space="preserve">appears, meaning the </w:t>
      </w:r>
      <w:r w:rsidR="008D666B">
        <w:rPr>
          <w:rFonts w:ascii="Times New Roman" w:hAnsi="Times New Roman" w:cs="Times New Roman"/>
          <w:sz w:val="24"/>
          <w:szCs w:val="24"/>
        </w:rPr>
        <w:t xml:space="preserve">body comes to represent something separate from the ‘soul’ or ‘inner man’ as was discussed previously. </w:t>
      </w:r>
      <w:r w:rsidR="004D728F">
        <w:rPr>
          <w:rFonts w:ascii="Times New Roman" w:hAnsi="Times New Roman" w:cs="Times New Roman"/>
          <w:sz w:val="24"/>
          <w:szCs w:val="24"/>
        </w:rPr>
        <w:t xml:space="preserve">And as Descartes sees the body as being </w:t>
      </w:r>
      <w:r w:rsidR="004D728F">
        <w:rPr>
          <w:rFonts w:ascii="Times New Roman" w:hAnsi="Times New Roman" w:cs="Times New Roman"/>
          <w:sz w:val="24"/>
          <w:szCs w:val="24"/>
        </w:rPr>
        <w:lastRenderedPageBreak/>
        <w:t>“capable of a greater variety of movements…</w:t>
      </w:r>
      <w:r w:rsidR="004D728F">
        <w:rPr>
          <w:rStyle w:val="FootnoteReference"/>
          <w:rFonts w:ascii="Times New Roman" w:hAnsi="Times New Roman" w:cs="Times New Roman"/>
          <w:sz w:val="24"/>
          <w:szCs w:val="24"/>
        </w:rPr>
        <w:footnoteReference w:id="7"/>
      </w:r>
      <w:r w:rsidR="004D728F">
        <w:rPr>
          <w:rFonts w:ascii="Times New Roman" w:hAnsi="Times New Roman" w:cs="Times New Roman"/>
          <w:sz w:val="24"/>
          <w:szCs w:val="24"/>
        </w:rPr>
        <w:t>” as well as “exhibiting more artistry</w:t>
      </w:r>
      <w:r w:rsidR="004D728F">
        <w:rPr>
          <w:rStyle w:val="FootnoteReference"/>
          <w:rFonts w:ascii="Times New Roman" w:hAnsi="Times New Roman" w:cs="Times New Roman"/>
          <w:sz w:val="24"/>
          <w:szCs w:val="24"/>
        </w:rPr>
        <w:footnoteReference w:id="8"/>
      </w:r>
      <w:r w:rsidR="004D728F">
        <w:rPr>
          <w:rFonts w:ascii="Times New Roman" w:hAnsi="Times New Roman" w:cs="Times New Roman"/>
          <w:sz w:val="24"/>
          <w:szCs w:val="24"/>
        </w:rPr>
        <w:t xml:space="preserve">” it is not too much of a leap for a conclusion to be drawn that the body as machine. </w:t>
      </w:r>
      <w:r w:rsidR="002A60F9">
        <w:rPr>
          <w:rFonts w:ascii="Times New Roman" w:hAnsi="Times New Roman" w:cs="Times New Roman"/>
          <w:sz w:val="24"/>
          <w:szCs w:val="24"/>
        </w:rPr>
        <w:t xml:space="preserve">Yet </w:t>
      </w:r>
      <w:r w:rsidR="00EC1BCC">
        <w:rPr>
          <w:rFonts w:ascii="Times New Roman" w:hAnsi="Times New Roman" w:cs="Times New Roman"/>
          <w:sz w:val="24"/>
          <w:szCs w:val="24"/>
        </w:rPr>
        <w:t xml:space="preserve">to </w:t>
      </w:r>
      <w:r w:rsidR="002A60F9">
        <w:rPr>
          <w:rFonts w:ascii="Times New Roman" w:hAnsi="Times New Roman" w:cs="Times New Roman"/>
          <w:sz w:val="24"/>
          <w:szCs w:val="24"/>
        </w:rPr>
        <w:t xml:space="preserve">Descartes </w:t>
      </w:r>
      <w:r w:rsidR="00EC1BCC">
        <w:rPr>
          <w:rFonts w:ascii="Times New Roman" w:hAnsi="Times New Roman" w:cs="Times New Roman"/>
          <w:sz w:val="24"/>
          <w:szCs w:val="24"/>
        </w:rPr>
        <w:t xml:space="preserve">what makes the body an encounterable object in the world is the </w:t>
      </w:r>
      <w:r w:rsidR="00286B31">
        <w:rPr>
          <w:rFonts w:ascii="Times New Roman" w:hAnsi="Times New Roman" w:cs="Times New Roman"/>
          <w:sz w:val="24"/>
          <w:szCs w:val="24"/>
        </w:rPr>
        <w:t>mechanical</w:t>
      </w:r>
      <w:r w:rsidR="00EC1BCC">
        <w:rPr>
          <w:rFonts w:ascii="Times New Roman" w:hAnsi="Times New Roman" w:cs="Times New Roman"/>
          <w:sz w:val="24"/>
          <w:szCs w:val="24"/>
        </w:rPr>
        <w:t xml:space="preserve"> complexity, the separate nature of the ‘inner man’ from the body and the distinctness from the true individual. </w:t>
      </w:r>
      <w:r w:rsidR="00286B31">
        <w:rPr>
          <w:rFonts w:ascii="Times New Roman" w:hAnsi="Times New Roman" w:cs="Times New Roman"/>
          <w:sz w:val="24"/>
          <w:szCs w:val="24"/>
        </w:rPr>
        <w:t>Thus,</w:t>
      </w:r>
      <w:r w:rsidR="00EC1BCC">
        <w:rPr>
          <w:rFonts w:ascii="Times New Roman" w:hAnsi="Times New Roman" w:cs="Times New Roman"/>
          <w:sz w:val="24"/>
          <w:szCs w:val="24"/>
        </w:rPr>
        <w:t xml:space="preserve"> he </w:t>
      </w:r>
      <w:r w:rsidR="002A60F9">
        <w:rPr>
          <w:rFonts w:ascii="Times New Roman" w:hAnsi="Times New Roman" w:cs="Times New Roman"/>
          <w:sz w:val="24"/>
          <w:szCs w:val="24"/>
        </w:rPr>
        <w:t xml:space="preserve">argues that the body is separate from the ‘inner’, the body remains a machine and </w:t>
      </w:r>
      <w:r w:rsidR="00EC1BCC">
        <w:rPr>
          <w:rFonts w:ascii="Times New Roman" w:hAnsi="Times New Roman" w:cs="Times New Roman"/>
          <w:sz w:val="24"/>
          <w:szCs w:val="24"/>
        </w:rPr>
        <w:t>therefore a</w:t>
      </w:r>
      <w:r w:rsidR="002A60F9">
        <w:rPr>
          <w:rFonts w:ascii="Times New Roman" w:hAnsi="Times New Roman" w:cs="Times New Roman"/>
          <w:sz w:val="24"/>
          <w:szCs w:val="24"/>
        </w:rPr>
        <w:t xml:space="preserve"> tool that the ‘inner’ utilises like any other. </w:t>
      </w:r>
    </w:p>
    <w:p w14:paraId="592476D7" w14:textId="6AC71F88" w:rsidR="00EC1BCC" w:rsidRDefault="00EC1BCC" w:rsidP="004961DE">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to Merleau-Ponty and the </w:t>
      </w:r>
      <w:r w:rsidR="009E3D58">
        <w:rPr>
          <w:rFonts w:ascii="Times New Roman" w:hAnsi="Times New Roman" w:cs="Times New Roman"/>
          <w:sz w:val="24"/>
          <w:szCs w:val="24"/>
        </w:rPr>
        <w:t>phenomenology</w:t>
      </w:r>
      <w:r>
        <w:rPr>
          <w:rFonts w:ascii="Times New Roman" w:hAnsi="Times New Roman" w:cs="Times New Roman"/>
          <w:sz w:val="24"/>
          <w:szCs w:val="24"/>
        </w:rPr>
        <w:t xml:space="preserve"> school of thought, this view of the </w:t>
      </w:r>
      <w:r w:rsidR="00EC7BAA">
        <w:rPr>
          <w:rFonts w:ascii="Times New Roman" w:hAnsi="Times New Roman" w:cs="Times New Roman"/>
          <w:sz w:val="24"/>
          <w:szCs w:val="24"/>
        </w:rPr>
        <w:t>individual’s</w:t>
      </w:r>
      <w:r>
        <w:rPr>
          <w:rFonts w:ascii="Times New Roman" w:hAnsi="Times New Roman" w:cs="Times New Roman"/>
          <w:sz w:val="24"/>
          <w:szCs w:val="24"/>
        </w:rPr>
        <w:t xml:space="preserve"> body is radically misguided.</w:t>
      </w:r>
      <w:r w:rsidR="00EC7BAA">
        <w:rPr>
          <w:rFonts w:ascii="Times New Roman" w:hAnsi="Times New Roman" w:cs="Times New Roman"/>
          <w:sz w:val="24"/>
          <w:szCs w:val="24"/>
        </w:rPr>
        <w:t xml:space="preserve"> For Merleau-Ponty, to label the individuals body as an object to begin with is wrong, which he proceeds to define as “that it exists </w:t>
      </w:r>
      <w:proofErr w:type="spellStart"/>
      <w:r w:rsidR="00EC7BAA" w:rsidRPr="009E3D58">
        <w:rPr>
          <w:rFonts w:ascii="Times New Roman" w:hAnsi="Times New Roman" w:cs="Times New Roman"/>
          <w:i/>
          <w:iCs/>
          <w:sz w:val="24"/>
          <w:szCs w:val="24"/>
        </w:rPr>
        <w:t>partes</w:t>
      </w:r>
      <w:proofErr w:type="spellEnd"/>
      <w:r w:rsidR="00EC7BAA" w:rsidRPr="009E3D58">
        <w:rPr>
          <w:rFonts w:ascii="Times New Roman" w:hAnsi="Times New Roman" w:cs="Times New Roman"/>
          <w:i/>
          <w:iCs/>
          <w:sz w:val="24"/>
          <w:szCs w:val="24"/>
        </w:rPr>
        <w:t xml:space="preserve"> extra </w:t>
      </w:r>
      <w:proofErr w:type="spellStart"/>
      <w:r w:rsidR="00EC7BAA" w:rsidRPr="009E3D58">
        <w:rPr>
          <w:rFonts w:ascii="Times New Roman" w:hAnsi="Times New Roman" w:cs="Times New Roman"/>
          <w:i/>
          <w:iCs/>
          <w:sz w:val="24"/>
          <w:szCs w:val="24"/>
        </w:rPr>
        <w:t>partes</w:t>
      </w:r>
      <w:proofErr w:type="spellEnd"/>
      <w:r w:rsidR="00EC7BAA">
        <w:rPr>
          <w:rStyle w:val="FootnoteReference"/>
          <w:rFonts w:ascii="Times New Roman" w:hAnsi="Times New Roman" w:cs="Times New Roman"/>
          <w:sz w:val="24"/>
          <w:szCs w:val="24"/>
        </w:rPr>
        <w:footnoteReference w:id="9"/>
      </w:r>
      <w:r w:rsidR="00EC7BAA">
        <w:rPr>
          <w:rFonts w:ascii="Times New Roman" w:hAnsi="Times New Roman" w:cs="Times New Roman"/>
          <w:sz w:val="24"/>
          <w:szCs w:val="24"/>
        </w:rPr>
        <w:t xml:space="preserve">” or that things </w:t>
      </w:r>
      <w:r w:rsidR="009E3D58">
        <w:rPr>
          <w:rFonts w:ascii="Times New Roman" w:hAnsi="Times New Roman" w:cs="Times New Roman"/>
          <w:sz w:val="24"/>
          <w:szCs w:val="24"/>
        </w:rPr>
        <w:t>exist</w:t>
      </w:r>
      <w:r w:rsidR="00EC7BAA">
        <w:rPr>
          <w:rFonts w:ascii="Times New Roman" w:hAnsi="Times New Roman" w:cs="Times New Roman"/>
          <w:sz w:val="24"/>
          <w:szCs w:val="24"/>
        </w:rPr>
        <w:t xml:space="preserve"> not interdependently, but rather have their own external independent existence. To put this more simply, Merleau-Ponty is arguing here that an object in the world </w:t>
      </w:r>
      <w:r w:rsidR="004F1B26">
        <w:rPr>
          <w:rFonts w:ascii="Times New Roman" w:hAnsi="Times New Roman" w:cs="Times New Roman"/>
          <w:sz w:val="24"/>
          <w:szCs w:val="24"/>
        </w:rPr>
        <w:t xml:space="preserve">is something that can at the mot basic level be come across in the world at large. As one may know from experience, in order to encounter our own body in the world requires the use of external factors, ideally in this case another body to examine our original. Yet this is not possible to do. Of course it is possible to argue that it is possible to come across our body in the world through the use of technology such as cameras or videos, but that is just encountering a portrayal of the individuals body, not doing it in the way that truly makes the original individuals body an object. Moreover, to Merleau-Ponty, an object also has other factors attached to it. Take a pipe for example. A pipe can be taken by an outstretched hand, or misplaced in a moment of irritation, </w:t>
      </w:r>
      <w:r w:rsidR="00366B9A">
        <w:rPr>
          <w:rFonts w:ascii="Times New Roman" w:hAnsi="Times New Roman" w:cs="Times New Roman"/>
          <w:sz w:val="24"/>
          <w:szCs w:val="24"/>
        </w:rPr>
        <w:t xml:space="preserve">or more simply moved away from when one leaves the vicinity and so on. Now contrast that with the body. If you were to desire to, could you move away from the vicinity of your body? Of course not. The individual cannot move away from their body in any meaningful sense; baring a severe dismembering, of which is another matter entirely. Therefore, to Merleau-Ponty, the body can be discounted as an object and as an encounterable object in the world </w:t>
      </w:r>
    </w:p>
    <w:p w14:paraId="6F9AEEAC" w14:textId="19EC4693" w:rsidR="00366B9A" w:rsidRPr="004961DE" w:rsidRDefault="00366B9A" w:rsidP="004961DE">
      <w:pPr>
        <w:spacing w:line="360" w:lineRule="auto"/>
        <w:rPr>
          <w:rFonts w:ascii="Times New Roman" w:hAnsi="Times New Roman" w:cs="Times New Roman"/>
          <w:sz w:val="24"/>
          <w:szCs w:val="24"/>
        </w:rPr>
      </w:pPr>
      <w:r>
        <w:rPr>
          <w:rFonts w:ascii="Times New Roman" w:hAnsi="Times New Roman" w:cs="Times New Roman"/>
          <w:sz w:val="24"/>
          <w:szCs w:val="24"/>
        </w:rPr>
        <w:t xml:space="preserve">Now onto the idea of the body as a tool. As discussed above, if the body is not an object that can be encountered in the world, it cannot realistically be a tool either. But this does require further dissection, </w:t>
      </w:r>
      <w:r w:rsidR="00195E2A">
        <w:rPr>
          <w:rFonts w:ascii="Times New Roman" w:hAnsi="Times New Roman" w:cs="Times New Roman"/>
          <w:sz w:val="24"/>
          <w:szCs w:val="24"/>
        </w:rPr>
        <w:t>which can be illustrated by a discussion on the nature of tools. A tool often has certain methods by which it can be manipulated in the world</w:t>
      </w:r>
      <w:r w:rsidR="00AE44C6">
        <w:rPr>
          <w:rFonts w:ascii="Times New Roman" w:hAnsi="Times New Roman" w:cs="Times New Roman"/>
          <w:sz w:val="24"/>
          <w:szCs w:val="24"/>
        </w:rPr>
        <w:t xml:space="preserve"> in order to get it to do things</w:t>
      </w:r>
      <w:r w:rsidR="00195E2A">
        <w:rPr>
          <w:rFonts w:ascii="Times New Roman" w:hAnsi="Times New Roman" w:cs="Times New Roman"/>
          <w:sz w:val="24"/>
          <w:szCs w:val="24"/>
        </w:rPr>
        <w:t xml:space="preserve">. For example, water can flow from a pipe by the turning of a valve, </w:t>
      </w:r>
      <w:r w:rsidR="00AE44C6">
        <w:rPr>
          <w:rFonts w:ascii="Times New Roman" w:hAnsi="Times New Roman" w:cs="Times New Roman"/>
          <w:sz w:val="24"/>
          <w:szCs w:val="24"/>
        </w:rPr>
        <w:t xml:space="preserve">or a gun can be </w:t>
      </w:r>
      <w:r w:rsidR="00AE44C6">
        <w:rPr>
          <w:rFonts w:ascii="Times New Roman" w:hAnsi="Times New Roman" w:cs="Times New Roman"/>
          <w:sz w:val="24"/>
          <w:szCs w:val="24"/>
        </w:rPr>
        <w:lastRenderedPageBreak/>
        <w:t xml:space="preserve">cocked by pulling the hammer back. But considering this in relation to the human body, there is nothing akin to this in it performing actions. Straight away, Descartes would suggest that it is a mental function: act of will, that enables such actions to occur, thus tying into his beliefs on the ‘inner man’. </w:t>
      </w:r>
      <w:r w:rsidR="00286B31">
        <w:rPr>
          <w:rFonts w:ascii="Times New Roman" w:hAnsi="Times New Roman" w:cs="Times New Roman"/>
          <w:sz w:val="24"/>
          <w:szCs w:val="24"/>
        </w:rPr>
        <w:t>So,</w:t>
      </w:r>
      <w:r w:rsidR="00AE44C6">
        <w:rPr>
          <w:rFonts w:ascii="Times New Roman" w:hAnsi="Times New Roman" w:cs="Times New Roman"/>
          <w:sz w:val="24"/>
          <w:szCs w:val="24"/>
        </w:rPr>
        <w:t xml:space="preserve"> to illustrate Descartes point, </w:t>
      </w:r>
      <w:r w:rsidR="000F6771">
        <w:rPr>
          <w:rFonts w:ascii="Times New Roman" w:hAnsi="Times New Roman" w:cs="Times New Roman"/>
          <w:sz w:val="24"/>
          <w:szCs w:val="24"/>
        </w:rPr>
        <w:t xml:space="preserve">when </w:t>
      </w:r>
      <w:r w:rsidR="001934E5">
        <w:rPr>
          <w:rFonts w:ascii="Times New Roman" w:hAnsi="Times New Roman" w:cs="Times New Roman"/>
          <w:sz w:val="24"/>
          <w:szCs w:val="24"/>
        </w:rPr>
        <w:t>I wish to close my hand, I perform this mental task that allows it to happen, more than likely subconsciously. Still, to Merleau-Ponty this doesn’t make sense. The process that Descartes points to show how this is case cannot be described in any meaningful or satisfactory sense. As he puts it in the Phenom</w:t>
      </w:r>
      <w:r w:rsidR="00286B31">
        <w:rPr>
          <w:rFonts w:ascii="Times New Roman" w:hAnsi="Times New Roman" w:cs="Times New Roman"/>
          <w:sz w:val="24"/>
          <w:szCs w:val="24"/>
        </w:rPr>
        <w:t>en</w:t>
      </w:r>
      <w:r w:rsidR="001934E5">
        <w:rPr>
          <w:rFonts w:ascii="Times New Roman" w:hAnsi="Times New Roman" w:cs="Times New Roman"/>
          <w:sz w:val="24"/>
          <w:szCs w:val="24"/>
        </w:rPr>
        <w:t>ology of Perception, “the position of my hand is not determined discursively by the angle which it makes with my forearm…</w:t>
      </w:r>
      <w:r w:rsidR="001934E5">
        <w:rPr>
          <w:rStyle w:val="FootnoteReference"/>
          <w:rFonts w:ascii="Times New Roman" w:hAnsi="Times New Roman" w:cs="Times New Roman"/>
          <w:sz w:val="24"/>
          <w:szCs w:val="24"/>
        </w:rPr>
        <w:footnoteReference w:id="10"/>
      </w:r>
      <w:r w:rsidR="001934E5">
        <w:rPr>
          <w:rFonts w:ascii="Times New Roman" w:hAnsi="Times New Roman" w:cs="Times New Roman"/>
          <w:sz w:val="24"/>
          <w:szCs w:val="24"/>
        </w:rPr>
        <w:t xml:space="preserve">”. By this he means that if it were to occur as Descartes puts it, then each movement would require a mental process or action, but this is not the case. It simply occurs and I close my hand without appealing to any other power to do it. As a result of this, the human body cannot be a tool, for the motions and processes that characterise the tool and its usages cannot be satisfactorily applied to the human body in Merleau-Ponty’s eyes. </w:t>
      </w:r>
    </w:p>
    <w:p w14:paraId="206A4B0A" w14:textId="19CBA534" w:rsidR="00EF4B76" w:rsidRDefault="001934E5" w:rsidP="004961DE">
      <w:pPr>
        <w:spacing w:line="360" w:lineRule="auto"/>
        <w:rPr>
          <w:rFonts w:ascii="Times New Roman" w:hAnsi="Times New Roman" w:cs="Times New Roman"/>
          <w:sz w:val="24"/>
          <w:szCs w:val="24"/>
        </w:rPr>
      </w:pPr>
      <w:r>
        <w:rPr>
          <w:rFonts w:ascii="Times New Roman" w:hAnsi="Times New Roman" w:cs="Times New Roman"/>
          <w:sz w:val="24"/>
          <w:szCs w:val="24"/>
        </w:rPr>
        <w:t xml:space="preserve">To </w:t>
      </w:r>
      <w:r w:rsidR="00BA3245">
        <w:rPr>
          <w:rFonts w:ascii="Times New Roman" w:hAnsi="Times New Roman" w:cs="Times New Roman"/>
          <w:sz w:val="24"/>
          <w:szCs w:val="24"/>
        </w:rPr>
        <w:t>bring this to a close</w:t>
      </w:r>
      <w:r>
        <w:rPr>
          <w:rFonts w:ascii="Times New Roman" w:hAnsi="Times New Roman" w:cs="Times New Roman"/>
          <w:sz w:val="24"/>
          <w:szCs w:val="24"/>
        </w:rPr>
        <w:t xml:space="preserve">, the idea that the human body is a tool and an object that can be encountered in the world is false to Merleau-Ponty. For to him, the dualist arguments that characterise the body as both tool and object, fail to correctly define what </w:t>
      </w:r>
      <w:proofErr w:type="gramStart"/>
      <w:r>
        <w:rPr>
          <w:rFonts w:ascii="Times New Roman" w:hAnsi="Times New Roman" w:cs="Times New Roman"/>
          <w:sz w:val="24"/>
          <w:szCs w:val="24"/>
        </w:rPr>
        <w:t>both of these</w:t>
      </w:r>
      <w:proofErr w:type="gramEnd"/>
      <w:r>
        <w:rPr>
          <w:rFonts w:ascii="Times New Roman" w:hAnsi="Times New Roman" w:cs="Times New Roman"/>
          <w:sz w:val="24"/>
          <w:szCs w:val="24"/>
        </w:rPr>
        <w:t xml:space="preserve"> statements are, and thus are at their core incorrect assumptions. </w:t>
      </w:r>
      <w:r w:rsidR="00EF4B76" w:rsidRPr="004961DE">
        <w:rPr>
          <w:rFonts w:ascii="Times New Roman" w:hAnsi="Times New Roman" w:cs="Times New Roman"/>
          <w:sz w:val="24"/>
          <w:szCs w:val="24"/>
        </w:rPr>
        <w:t>From my own perspective,</w:t>
      </w:r>
      <w:r>
        <w:rPr>
          <w:rFonts w:ascii="Times New Roman" w:hAnsi="Times New Roman" w:cs="Times New Roman"/>
          <w:sz w:val="24"/>
          <w:szCs w:val="24"/>
        </w:rPr>
        <w:t xml:space="preserve"> Merleau-Ponty makes a rather clear case for the body not being an encounterable object, with the being as tool notion one that </w:t>
      </w:r>
      <w:r w:rsidR="00BA3245">
        <w:rPr>
          <w:rFonts w:ascii="Times New Roman" w:hAnsi="Times New Roman" w:cs="Times New Roman"/>
          <w:sz w:val="24"/>
          <w:szCs w:val="24"/>
        </w:rPr>
        <w:t>I see as</w:t>
      </w:r>
      <w:r w:rsidR="00EF4B76" w:rsidRPr="004961DE">
        <w:rPr>
          <w:rFonts w:ascii="Times New Roman" w:hAnsi="Times New Roman" w:cs="Times New Roman"/>
          <w:sz w:val="24"/>
          <w:szCs w:val="24"/>
        </w:rPr>
        <w:t xml:space="preserve"> worryingly reductive</w:t>
      </w:r>
      <w:r w:rsidR="00BA3245">
        <w:rPr>
          <w:rFonts w:ascii="Times New Roman" w:hAnsi="Times New Roman" w:cs="Times New Roman"/>
          <w:sz w:val="24"/>
          <w:szCs w:val="24"/>
        </w:rPr>
        <w:t xml:space="preserve"> of the human body</w:t>
      </w:r>
      <w:r w:rsidR="00EF4B76" w:rsidRPr="004961DE">
        <w:rPr>
          <w:rFonts w:ascii="Times New Roman" w:hAnsi="Times New Roman" w:cs="Times New Roman"/>
          <w:sz w:val="24"/>
          <w:szCs w:val="24"/>
        </w:rPr>
        <w:t xml:space="preserve">. </w:t>
      </w:r>
      <w:r w:rsidR="00BA3245">
        <w:rPr>
          <w:rFonts w:ascii="Times New Roman" w:hAnsi="Times New Roman" w:cs="Times New Roman"/>
          <w:sz w:val="24"/>
          <w:szCs w:val="24"/>
        </w:rPr>
        <w:t xml:space="preserve">Thus, to conclude, there is much confusion in identifying the body as an object and tool. </w:t>
      </w:r>
    </w:p>
    <w:p w14:paraId="348D7C8E" w14:textId="32F0240F" w:rsidR="00286B31" w:rsidRDefault="00286B31" w:rsidP="004961DE">
      <w:pPr>
        <w:spacing w:line="360" w:lineRule="auto"/>
        <w:rPr>
          <w:rFonts w:ascii="Times New Roman" w:hAnsi="Times New Roman" w:cs="Times New Roman"/>
          <w:sz w:val="24"/>
          <w:szCs w:val="24"/>
        </w:rPr>
      </w:pPr>
    </w:p>
    <w:p w14:paraId="41A4306F" w14:textId="52E2FC1F" w:rsidR="00286B31" w:rsidRDefault="00286B31" w:rsidP="004961DE">
      <w:pPr>
        <w:spacing w:line="360" w:lineRule="auto"/>
        <w:rPr>
          <w:rFonts w:ascii="Times New Roman" w:hAnsi="Times New Roman" w:cs="Times New Roman"/>
          <w:sz w:val="24"/>
          <w:szCs w:val="24"/>
        </w:rPr>
      </w:pPr>
    </w:p>
    <w:p w14:paraId="68EF1D62" w14:textId="38471690" w:rsidR="00286B31" w:rsidRDefault="00286B31" w:rsidP="004961DE">
      <w:pPr>
        <w:spacing w:line="360" w:lineRule="auto"/>
        <w:rPr>
          <w:rFonts w:ascii="Times New Roman" w:hAnsi="Times New Roman" w:cs="Times New Roman"/>
          <w:sz w:val="24"/>
          <w:szCs w:val="24"/>
        </w:rPr>
      </w:pPr>
    </w:p>
    <w:p w14:paraId="1A39639D" w14:textId="660C5F8F" w:rsidR="00286B31" w:rsidRDefault="00286B31" w:rsidP="004961DE">
      <w:pPr>
        <w:spacing w:line="360" w:lineRule="auto"/>
        <w:rPr>
          <w:rFonts w:ascii="Times New Roman" w:hAnsi="Times New Roman" w:cs="Times New Roman"/>
          <w:sz w:val="24"/>
          <w:szCs w:val="24"/>
        </w:rPr>
      </w:pPr>
    </w:p>
    <w:p w14:paraId="03BAE145" w14:textId="3360D242" w:rsidR="008A735F" w:rsidRDefault="008A735F" w:rsidP="004961DE">
      <w:pPr>
        <w:spacing w:line="360" w:lineRule="auto"/>
        <w:rPr>
          <w:rFonts w:ascii="Times New Roman" w:hAnsi="Times New Roman" w:cs="Times New Roman"/>
          <w:sz w:val="24"/>
          <w:szCs w:val="24"/>
        </w:rPr>
      </w:pPr>
    </w:p>
    <w:p w14:paraId="246EFEAD" w14:textId="512CFE60" w:rsidR="008A735F" w:rsidRDefault="008A735F" w:rsidP="004961DE">
      <w:pPr>
        <w:spacing w:line="360" w:lineRule="auto"/>
        <w:rPr>
          <w:rFonts w:ascii="Times New Roman" w:hAnsi="Times New Roman" w:cs="Times New Roman"/>
          <w:sz w:val="24"/>
          <w:szCs w:val="24"/>
        </w:rPr>
      </w:pPr>
    </w:p>
    <w:p w14:paraId="4627864F" w14:textId="77777777" w:rsidR="008A735F" w:rsidRPr="004961DE" w:rsidRDefault="008A735F" w:rsidP="004961DE">
      <w:pPr>
        <w:spacing w:line="360" w:lineRule="auto"/>
        <w:rPr>
          <w:rFonts w:ascii="Times New Roman" w:hAnsi="Times New Roman" w:cs="Times New Roman"/>
          <w:sz w:val="24"/>
          <w:szCs w:val="24"/>
        </w:rPr>
      </w:pPr>
      <w:bookmarkStart w:id="0" w:name="_GoBack"/>
      <w:bookmarkEnd w:id="0"/>
    </w:p>
    <w:p w14:paraId="01EBB8AD" w14:textId="173FF755" w:rsidR="00391DDC" w:rsidRDefault="00391DDC" w:rsidP="00685C00">
      <w:pPr>
        <w:rPr>
          <w:rFonts w:ascii="Times New Roman" w:hAnsi="Times New Roman" w:cs="Times New Roman"/>
          <w:b/>
          <w:bCs/>
          <w:sz w:val="28"/>
          <w:szCs w:val="28"/>
          <w:u w:val="single"/>
        </w:rPr>
      </w:pPr>
      <w:r w:rsidRPr="00286B31">
        <w:rPr>
          <w:rFonts w:ascii="Times New Roman" w:hAnsi="Times New Roman" w:cs="Times New Roman"/>
          <w:b/>
          <w:bCs/>
          <w:sz w:val="28"/>
          <w:szCs w:val="28"/>
          <w:u w:val="single"/>
        </w:rPr>
        <w:lastRenderedPageBreak/>
        <w:t xml:space="preserve">Bibliography </w:t>
      </w:r>
    </w:p>
    <w:p w14:paraId="3915BCD4" w14:textId="77777777" w:rsidR="00FC65C9" w:rsidRPr="00FC65C9" w:rsidRDefault="00FC65C9" w:rsidP="00FC65C9">
      <w:pPr>
        <w:rPr>
          <w:rFonts w:ascii="Times New Roman" w:hAnsi="Times New Roman" w:cs="Times New Roman"/>
          <w:sz w:val="24"/>
          <w:szCs w:val="24"/>
        </w:rPr>
      </w:pPr>
      <w:r w:rsidRPr="00FC65C9">
        <w:rPr>
          <w:rFonts w:ascii="Times New Roman" w:hAnsi="Times New Roman" w:cs="Times New Roman"/>
          <w:sz w:val="24"/>
          <w:szCs w:val="24"/>
        </w:rPr>
        <w:t xml:space="preserve">Gert-Jan </w:t>
      </w:r>
      <w:proofErr w:type="spellStart"/>
      <w:r w:rsidRPr="00FC65C9">
        <w:rPr>
          <w:rFonts w:ascii="Times New Roman" w:hAnsi="Times New Roman" w:cs="Times New Roman"/>
          <w:sz w:val="24"/>
          <w:szCs w:val="24"/>
        </w:rPr>
        <w:t>Lokhorst</w:t>
      </w:r>
      <w:proofErr w:type="spellEnd"/>
      <w:r w:rsidRPr="00FC65C9">
        <w:rPr>
          <w:rFonts w:ascii="Times New Roman" w:hAnsi="Times New Roman" w:cs="Times New Roman"/>
          <w:sz w:val="24"/>
          <w:szCs w:val="24"/>
        </w:rPr>
        <w:t xml:space="preserve">, "Descartes and the Pineal Gland", </w:t>
      </w:r>
      <w:r w:rsidRPr="00FC65C9">
        <w:rPr>
          <w:rFonts w:ascii="Times New Roman" w:hAnsi="Times New Roman" w:cs="Times New Roman"/>
          <w:i/>
          <w:iCs/>
          <w:sz w:val="24"/>
          <w:szCs w:val="24"/>
        </w:rPr>
        <w:t xml:space="preserve">The Stanford </w:t>
      </w:r>
      <w:proofErr w:type="spellStart"/>
      <w:r w:rsidRPr="00FC65C9">
        <w:rPr>
          <w:rFonts w:ascii="Times New Roman" w:hAnsi="Times New Roman" w:cs="Times New Roman"/>
          <w:i/>
          <w:iCs/>
          <w:sz w:val="24"/>
          <w:szCs w:val="24"/>
        </w:rPr>
        <w:t>Encyclopedia</w:t>
      </w:r>
      <w:proofErr w:type="spellEnd"/>
      <w:r w:rsidRPr="00FC65C9">
        <w:rPr>
          <w:rFonts w:ascii="Times New Roman" w:hAnsi="Times New Roman" w:cs="Times New Roman"/>
          <w:i/>
          <w:iCs/>
          <w:sz w:val="24"/>
          <w:szCs w:val="24"/>
        </w:rPr>
        <w:t xml:space="preserve"> of Philosophy </w:t>
      </w:r>
      <w:r w:rsidRPr="00FC65C9">
        <w:rPr>
          <w:rFonts w:ascii="Times New Roman" w:hAnsi="Times New Roman" w:cs="Times New Roman"/>
          <w:sz w:val="24"/>
          <w:szCs w:val="24"/>
        </w:rPr>
        <w:t xml:space="preserve">(Winter 2018 Edition), Edward N. </w:t>
      </w:r>
      <w:proofErr w:type="spellStart"/>
      <w:r w:rsidRPr="00FC65C9">
        <w:rPr>
          <w:rFonts w:ascii="Times New Roman" w:hAnsi="Times New Roman" w:cs="Times New Roman"/>
          <w:sz w:val="24"/>
          <w:szCs w:val="24"/>
        </w:rPr>
        <w:t>Zalta</w:t>
      </w:r>
      <w:proofErr w:type="spellEnd"/>
      <w:r w:rsidRPr="00FC65C9">
        <w:rPr>
          <w:rFonts w:ascii="Times New Roman" w:hAnsi="Times New Roman" w:cs="Times New Roman"/>
          <w:sz w:val="24"/>
          <w:szCs w:val="24"/>
        </w:rPr>
        <w:t xml:space="preserve"> (ed.), available Online: </w:t>
      </w:r>
      <w:hyperlink r:id="rId7" w:history="1">
        <w:r w:rsidRPr="00FC65C9">
          <w:rPr>
            <w:rStyle w:val="Hyperlink"/>
            <w:rFonts w:ascii="Times New Roman" w:hAnsi="Times New Roman" w:cs="Times New Roman"/>
            <w:sz w:val="24"/>
            <w:szCs w:val="24"/>
          </w:rPr>
          <w:t>https://plato.stanford.edu/archives/win2018/entries/pineal-gland</w:t>
        </w:r>
      </w:hyperlink>
      <w:r w:rsidRPr="00FC65C9">
        <w:rPr>
          <w:rFonts w:ascii="Times New Roman" w:hAnsi="Times New Roman" w:cs="Times New Roman"/>
          <w:sz w:val="24"/>
          <w:szCs w:val="24"/>
        </w:rPr>
        <w:t xml:space="preserve"> [Accessed: 18/12/19]</w:t>
      </w:r>
    </w:p>
    <w:p w14:paraId="0C0035EC" w14:textId="77777777" w:rsidR="00FC65C9" w:rsidRDefault="00FC65C9" w:rsidP="00685C00">
      <w:pPr>
        <w:rPr>
          <w:rFonts w:ascii="Times New Roman" w:hAnsi="Times New Roman" w:cs="Times New Roman"/>
          <w:b/>
          <w:bCs/>
          <w:sz w:val="28"/>
          <w:szCs w:val="28"/>
          <w:u w:val="single"/>
        </w:rPr>
      </w:pPr>
    </w:p>
    <w:p w14:paraId="2A811AF6" w14:textId="1A0114BD" w:rsidR="00286B31" w:rsidRPr="00FC65C9" w:rsidRDefault="00286B31" w:rsidP="00685C00">
      <w:pPr>
        <w:rPr>
          <w:rFonts w:ascii="Times New Roman" w:hAnsi="Times New Roman" w:cs="Times New Roman"/>
          <w:sz w:val="24"/>
          <w:szCs w:val="24"/>
        </w:rPr>
      </w:pPr>
      <w:bookmarkStart w:id="1" w:name="_Hlk27605187"/>
      <w:r w:rsidRPr="00FC65C9">
        <w:rPr>
          <w:rFonts w:ascii="Times New Roman" w:hAnsi="Times New Roman" w:cs="Times New Roman"/>
          <w:sz w:val="24"/>
          <w:szCs w:val="24"/>
        </w:rPr>
        <w:t xml:space="preserve">Merleau-Ponty, M., </w:t>
      </w:r>
      <w:r w:rsidRPr="00FC65C9">
        <w:rPr>
          <w:rFonts w:ascii="Times New Roman" w:hAnsi="Times New Roman" w:cs="Times New Roman"/>
          <w:i/>
          <w:iCs/>
          <w:sz w:val="24"/>
          <w:szCs w:val="24"/>
        </w:rPr>
        <w:t>Phenomenology of Perception</w:t>
      </w:r>
      <w:r w:rsidRPr="00FC65C9">
        <w:rPr>
          <w:rFonts w:ascii="Times New Roman" w:hAnsi="Times New Roman" w:cs="Times New Roman"/>
          <w:sz w:val="24"/>
          <w:szCs w:val="24"/>
        </w:rPr>
        <w:t xml:space="preserve">. London: Routledge Classics, 2002. </w:t>
      </w:r>
    </w:p>
    <w:bookmarkEnd w:id="1"/>
    <w:p w14:paraId="660D106D" w14:textId="3CF49281" w:rsidR="00391DDC" w:rsidRPr="00FC65C9" w:rsidRDefault="00391DDC" w:rsidP="00685C00">
      <w:pPr>
        <w:rPr>
          <w:rFonts w:ascii="Times New Roman" w:hAnsi="Times New Roman" w:cs="Times New Roman"/>
          <w:color w:val="333333"/>
          <w:sz w:val="24"/>
          <w:szCs w:val="24"/>
          <w:shd w:val="clear" w:color="auto" w:fill="FFFFFF"/>
        </w:rPr>
      </w:pPr>
      <w:r w:rsidRPr="00FC65C9">
        <w:rPr>
          <w:rFonts w:ascii="Times New Roman" w:hAnsi="Times New Roman" w:cs="Times New Roman"/>
          <w:color w:val="333333"/>
          <w:sz w:val="24"/>
          <w:szCs w:val="24"/>
          <w:shd w:val="clear" w:color="auto" w:fill="FFFFFF"/>
        </w:rPr>
        <w:t xml:space="preserve">Matthews, Gareth B. “The Inner Man.” </w:t>
      </w:r>
      <w:r w:rsidRPr="00FC65C9">
        <w:rPr>
          <w:rFonts w:ascii="Times New Roman" w:hAnsi="Times New Roman" w:cs="Times New Roman"/>
          <w:i/>
          <w:iCs/>
          <w:color w:val="333333"/>
          <w:sz w:val="24"/>
          <w:szCs w:val="24"/>
        </w:rPr>
        <w:t>American Philosophical Quarterly</w:t>
      </w:r>
      <w:r w:rsidRPr="00FC65C9">
        <w:rPr>
          <w:rFonts w:ascii="Times New Roman" w:hAnsi="Times New Roman" w:cs="Times New Roman"/>
          <w:color w:val="333333"/>
          <w:sz w:val="24"/>
          <w:szCs w:val="24"/>
          <w:shd w:val="clear" w:color="auto" w:fill="FFFFFF"/>
        </w:rPr>
        <w:t xml:space="preserve">, vol. 4, no. 2, 1967, pp. 166–172. </w:t>
      </w:r>
      <w:r w:rsidRPr="00FC65C9">
        <w:rPr>
          <w:rFonts w:ascii="Times New Roman" w:hAnsi="Times New Roman" w:cs="Times New Roman"/>
          <w:i/>
          <w:iCs/>
          <w:color w:val="333333"/>
          <w:sz w:val="24"/>
          <w:szCs w:val="24"/>
        </w:rPr>
        <w:t>JSTOR</w:t>
      </w:r>
      <w:r w:rsidRPr="00FC65C9">
        <w:rPr>
          <w:rFonts w:ascii="Times New Roman" w:hAnsi="Times New Roman" w:cs="Times New Roman"/>
          <w:color w:val="333333"/>
          <w:sz w:val="24"/>
          <w:szCs w:val="24"/>
          <w:shd w:val="clear" w:color="auto" w:fill="FFFFFF"/>
        </w:rPr>
        <w:t xml:space="preserve">, </w:t>
      </w:r>
      <w:r w:rsidR="00286B31" w:rsidRPr="00FC65C9">
        <w:rPr>
          <w:rFonts w:ascii="Times New Roman" w:hAnsi="Times New Roman" w:cs="Times New Roman"/>
          <w:color w:val="333333"/>
          <w:sz w:val="24"/>
          <w:szCs w:val="24"/>
          <w:shd w:val="clear" w:color="auto" w:fill="FFFFFF"/>
        </w:rPr>
        <w:t xml:space="preserve">Available Online: </w:t>
      </w:r>
      <w:hyperlink r:id="rId8" w:history="1">
        <w:r w:rsidR="00286B31" w:rsidRPr="00FC65C9">
          <w:rPr>
            <w:rStyle w:val="Hyperlink"/>
            <w:rFonts w:ascii="Times New Roman" w:hAnsi="Times New Roman" w:cs="Times New Roman"/>
            <w:sz w:val="24"/>
            <w:szCs w:val="24"/>
            <w:shd w:val="clear" w:color="auto" w:fill="FFFFFF"/>
          </w:rPr>
          <w:t>www.jstor.org/sta</w:t>
        </w:r>
        <w:r w:rsidR="00286B31" w:rsidRPr="00FC65C9">
          <w:rPr>
            <w:rStyle w:val="Hyperlink"/>
            <w:rFonts w:ascii="Times New Roman" w:hAnsi="Times New Roman" w:cs="Times New Roman"/>
            <w:sz w:val="24"/>
            <w:szCs w:val="24"/>
            <w:shd w:val="clear" w:color="auto" w:fill="FFFFFF"/>
          </w:rPr>
          <w:t>b</w:t>
        </w:r>
        <w:r w:rsidR="00286B31" w:rsidRPr="00FC65C9">
          <w:rPr>
            <w:rStyle w:val="Hyperlink"/>
            <w:rFonts w:ascii="Times New Roman" w:hAnsi="Times New Roman" w:cs="Times New Roman"/>
            <w:sz w:val="24"/>
            <w:szCs w:val="24"/>
            <w:shd w:val="clear" w:color="auto" w:fill="FFFFFF"/>
          </w:rPr>
          <w:t>le/20009240</w:t>
        </w:r>
      </w:hyperlink>
      <w:r w:rsidRPr="00FC65C9">
        <w:rPr>
          <w:rFonts w:ascii="Times New Roman" w:hAnsi="Times New Roman" w:cs="Times New Roman"/>
          <w:color w:val="333333"/>
          <w:sz w:val="24"/>
          <w:szCs w:val="24"/>
          <w:shd w:val="clear" w:color="auto" w:fill="FFFFFF"/>
        </w:rPr>
        <w:t>.</w:t>
      </w:r>
      <w:r w:rsidR="00286B31" w:rsidRPr="00FC65C9">
        <w:rPr>
          <w:rFonts w:ascii="Times New Roman" w:hAnsi="Times New Roman" w:cs="Times New Roman"/>
          <w:color w:val="333333"/>
          <w:sz w:val="24"/>
          <w:szCs w:val="24"/>
          <w:shd w:val="clear" w:color="auto" w:fill="FFFFFF"/>
        </w:rPr>
        <w:t xml:space="preserve"> [Accessed 17/12/2019]</w:t>
      </w:r>
    </w:p>
    <w:p w14:paraId="4C760FB3" w14:textId="004A3475" w:rsidR="00C90952" w:rsidRPr="00FC65C9" w:rsidRDefault="00E91554" w:rsidP="00685C00">
      <w:pPr>
        <w:rPr>
          <w:rFonts w:ascii="Times New Roman" w:hAnsi="Times New Roman" w:cs="Times New Roman"/>
          <w:color w:val="333333"/>
          <w:sz w:val="24"/>
          <w:szCs w:val="24"/>
          <w:shd w:val="clear" w:color="auto" w:fill="FFFFFF"/>
        </w:rPr>
      </w:pPr>
      <w:r w:rsidRPr="00FC65C9">
        <w:rPr>
          <w:rFonts w:ascii="Times New Roman" w:hAnsi="Times New Roman" w:cs="Times New Roman"/>
          <w:color w:val="333333"/>
          <w:sz w:val="24"/>
          <w:szCs w:val="24"/>
          <w:shd w:val="clear" w:color="auto" w:fill="FFFFFF"/>
        </w:rPr>
        <w:t xml:space="preserve">R. Descartes, </w:t>
      </w:r>
      <w:r w:rsidRPr="00FC65C9">
        <w:rPr>
          <w:rFonts w:ascii="Times New Roman" w:hAnsi="Times New Roman" w:cs="Times New Roman"/>
          <w:i/>
          <w:iCs/>
          <w:color w:val="333333"/>
          <w:sz w:val="24"/>
          <w:szCs w:val="24"/>
          <w:shd w:val="clear" w:color="auto" w:fill="FFFFFF"/>
        </w:rPr>
        <w:t>Meditations on First philosophy. Cambridge: Cambridge University Press, 1996</w:t>
      </w:r>
      <w:r w:rsidRPr="00FC65C9">
        <w:rPr>
          <w:rFonts w:ascii="Times New Roman" w:hAnsi="Times New Roman" w:cs="Times New Roman"/>
          <w:i/>
          <w:iCs/>
          <w:color w:val="333333"/>
          <w:sz w:val="24"/>
          <w:szCs w:val="24"/>
          <w:shd w:val="clear" w:color="auto" w:fill="FFFFFF"/>
        </w:rPr>
        <w:t xml:space="preserve">. </w:t>
      </w:r>
    </w:p>
    <w:p w14:paraId="7F21617E" w14:textId="77777777" w:rsidR="00FC65C9" w:rsidRPr="00FC65C9" w:rsidRDefault="00FC65C9">
      <w:pPr>
        <w:rPr>
          <w:rFonts w:ascii="Times New Roman" w:hAnsi="Times New Roman" w:cs="Times New Roman"/>
          <w:sz w:val="24"/>
          <w:szCs w:val="24"/>
        </w:rPr>
      </w:pPr>
    </w:p>
    <w:sectPr w:rsidR="00FC65C9" w:rsidRPr="00FC65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EBDF0" w14:textId="77777777" w:rsidR="00EC7BAA" w:rsidRDefault="00EC7BAA" w:rsidP="00BF69D6">
      <w:pPr>
        <w:spacing w:after="0" w:line="240" w:lineRule="auto"/>
      </w:pPr>
      <w:r>
        <w:separator/>
      </w:r>
    </w:p>
  </w:endnote>
  <w:endnote w:type="continuationSeparator" w:id="0">
    <w:p w14:paraId="70FE7954" w14:textId="77777777" w:rsidR="00EC7BAA" w:rsidRDefault="00EC7BAA" w:rsidP="00BF6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C9B10B" w14:textId="77777777" w:rsidR="00EC7BAA" w:rsidRDefault="00EC7BAA" w:rsidP="00BF69D6">
      <w:pPr>
        <w:spacing w:after="0" w:line="240" w:lineRule="auto"/>
      </w:pPr>
      <w:r>
        <w:separator/>
      </w:r>
    </w:p>
  </w:footnote>
  <w:footnote w:type="continuationSeparator" w:id="0">
    <w:p w14:paraId="1C875F49" w14:textId="77777777" w:rsidR="00EC7BAA" w:rsidRDefault="00EC7BAA" w:rsidP="00BF69D6">
      <w:pPr>
        <w:spacing w:after="0" w:line="240" w:lineRule="auto"/>
      </w:pPr>
      <w:r>
        <w:continuationSeparator/>
      </w:r>
    </w:p>
  </w:footnote>
  <w:footnote w:id="1">
    <w:p w14:paraId="23D8412E" w14:textId="09335228" w:rsidR="00EC7BAA" w:rsidRDefault="00EC7BAA">
      <w:pPr>
        <w:pStyle w:val="FootnoteText"/>
      </w:pPr>
      <w:r>
        <w:rPr>
          <w:rStyle w:val="FootnoteReference"/>
        </w:rPr>
        <w:footnoteRef/>
      </w:r>
      <w:r>
        <w:t xml:space="preserve"> </w:t>
      </w:r>
      <w:r w:rsidR="00286B31" w:rsidRPr="00286B31">
        <w:t xml:space="preserve">M. Merleau-Ponty, </w:t>
      </w:r>
      <w:r w:rsidR="00286B31" w:rsidRPr="00286B31">
        <w:rPr>
          <w:i/>
          <w:iCs/>
        </w:rPr>
        <w:t>Phenomenology of Perception</w:t>
      </w:r>
      <w:r w:rsidR="00286B31" w:rsidRPr="00286B31">
        <w:t xml:space="preserve">. (London: Routledge Classics, 2002). </w:t>
      </w:r>
      <w:r w:rsidR="00286B31">
        <w:t>X</w:t>
      </w:r>
      <w:r>
        <w:t>ii</w:t>
      </w:r>
      <w:r w:rsidR="00286B31">
        <w:t>.</w:t>
      </w:r>
    </w:p>
  </w:footnote>
  <w:footnote w:id="2">
    <w:p w14:paraId="4B094F87" w14:textId="74583A5D" w:rsidR="00EC7BAA" w:rsidRDefault="00EC7BAA">
      <w:pPr>
        <w:pStyle w:val="FootnoteText"/>
      </w:pPr>
      <w:r>
        <w:rPr>
          <w:rStyle w:val="FootnoteReference"/>
        </w:rPr>
        <w:footnoteRef/>
      </w:r>
      <w:r>
        <w:t xml:space="preserve"> </w:t>
      </w:r>
      <w:r w:rsidR="002E55AD" w:rsidRPr="002E55AD">
        <w:t>Gareth B</w:t>
      </w:r>
      <w:r w:rsidR="002E55AD">
        <w:t>.</w:t>
      </w:r>
      <w:r w:rsidR="002E55AD" w:rsidRPr="002E55AD">
        <w:t xml:space="preserve"> Matthews,</w:t>
      </w:r>
      <w:r w:rsidR="002E55AD" w:rsidRPr="002E55AD">
        <w:t xml:space="preserve"> “The Inner Man.” </w:t>
      </w:r>
      <w:r w:rsidR="002E55AD" w:rsidRPr="002E55AD">
        <w:rPr>
          <w:i/>
          <w:iCs/>
        </w:rPr>
        <w:t>American Philosophical Quarterly</w:t>
      </w:r>
      <w:r w:rsidR="002E55AD" w:rsidRPr="002E55AD">
        <w:t xml:space="preserve">, vol. 4, no. 2, 1967, pp. 166–172. </w:t>
      </w:r>
      <w:r w:rsidR="002E55AD" w:rsidRPr="002E55AD">
        <w:rPr>
          <w:i/>
          <w:iCs/>
        </w:rPr>
        <w:t>JSTOR</w:t>
      </w:r>
      <w:r w:rsidR="002E55AD" w:rsidRPr="002E55AD">
        <w:t xml:space="preserve">, Available Online: </w:t>
      </w:r>
      <w:hyperlink r:id="rId1" w:history="1">
        <w:r w:rsidR="002E55AD" w:rsidRPr="002E55AD">
          <w:rPr>
            <w:rStyle w:val="Hyperlink"/>
          </w:rPr>
          <w:t>www.jstor.org/stable/20009240</w:t>
        </w:r>
      </w:hyperlink>
      <w:r w:rsidR="002E55AD" w:rsidRPr="002E55AD">
        <w:t>. [Accessed 17/12/2019]</w:t>
      </w:r>
      <w:r w:rsidR="002E55AD">
        <w:t xml:space="preserve">. </w:t>
      </w:r>
      <w:r>
        <w:t>167</w:t>
      </w:r>
      <w:r w:rsidR="002E55AD">
        <w:t>.</w:t>
      </w:r>
    </w:p>
  </w:footnote>
  <w:footnote w:id="3">
    <w:p w14:paraId="49D94D39" w14:textId="53D148DC" w:rsidR="00EC7BAA" w:rsidRDefault="00EC7BAA">
      <w:pPr>
        <w:pStyle w:val="FootnoteText"/>
      </w:pPr>
      <w:r>
        <w:rPr>
          <w:rStyle w:val="FootnoteReference"/>
        </w:rPr>
        <w:footnoteRef/>
      </w:r>
      <w:r>
        <w:t xml:space="preserve"> </w:t>
      </w:r>
      <w:r w:rsidR="002E55AD">
        <w:t xml:space="preserve">R. </w:t>
      </w:r>
      <w:r>
        <w:t>Descartes</w:t>
      </w:r>
      <w:r w:rsidR="002E55AD">
        <w:t>,</w:t>
      </w:r>
      <w:r>
        <w:t xml:space="preserve"> </w:t>
      </w:r>
      <w:r w:rsidR="00E91554" w:rsidRPr="00E91554">
        <w:rPr>
          <w:i/>
          <w:iCs/>
        </w:rPr>
        <w:t>Meditations</w:t>
      </w:r>
      <w:r w:rsidRPr="00E91554">
        <w:rPr>
          <w:i/>
          <w:iCs/>
        </w:rPr>
        <w:t xml:space="preserve"> on First philo</w:t>
      </w:r>
      <w:r w:rsidR="00E91554" w:rsidRPr="00E91554">
        <w:rPr>
          <w:i/>
          <w:iCs/>
        </w:rPr>
        <w:t>sophy</w:t>
      </w:r>
      <w:r w:rsidR="00E91554">
        <w:rPr>
          <w:i/>
          <w:iCs/>
        </w:rPr>
        <w:t>. (Cambridge: Cambridge University Press, 1996)</w:t>
      </w:r>
      <w:r>
        <w:t xml:space="preserve"> </w:t>
      </w:r>
      <w:r w:rsidR="00E91554">
        <w:t>part 6.</w:t>
      </w:r>
    </w:p>
  </w:footnote>
  <w:footnote w:id="4">
    <w:p w14:paraId="189B0561" w14:textId="15FFF867" w:rsidR="00EC7BAA" w:rsidRDefault="00EC7BAA">
      <w:pPr>
        <w:pStyle w:val="FootnoteText"/>
      </w:pPr>
      <w:r>
        <w:rPr>
          <w:rStyle w:val="FootnoteReference"/>
        </w:rPr>
        <w:footnoteRef/>
      </w:r>
      <w:r>
        <w:t xml:space="preserve"> </w:t>
      </w:r>
      <w:r w:rsidR="00286B31" w:rsidRPr="00286B31">
        <w:t xml:space="preserve">M. Merleau-Ponty, </w:t>
      </w:r>
      <w:r w:rsidR="00286B31" w:rsidRPr="00286B31">
        <w:rPr>
          <w:i/>
          <w:iCs/>
        </w:rPr>
        <w:t>Phenomenology of Perception</w:t>
      </w:r>
      <w:r w:rsidR="00286B31" w:rsidRPr="00286B31">
        <w:t xml:space="preserve">. </w:t>
      </w:r>
      <w:r w:rsidR="00286B31">
        <w:t>(</w:t>
      </w:r>
      <w:r w:rsidR="00286B31" w:rsidRPr="00286B31">
        <w:t>London: Routledge Classics, 2002</w:t>
      </w:r>
      <w:r w:rsidR="00286B31">
        <w:t>)</w:t>
      </w:r>
      <w:r w:rsidR="00286B31" w:rsidRPr="00286B31">
        <w:t xml:space="preserve">. </w:t>
      </w:r>
      <w:r w:rsidR="00286B31">
        <w:t>X</w:t>
      </w:r>
      <w:r>
        <w:t>ii</w:t>
      </w:r>
      <w:r w:rsidR="00286B31">
        <w:t>.</w:t>
      </w:r>
    </w:p>
  </w:footnote>
  <w:footnote w:id="5">
    <w:p w14:paraId="4DABB3DC" w14:textId="49D9C7EF" w:rsidR="00EC7BAA" w:rsidRDefault="00EC7BAA">
      <w:pPr>
        <w:pStyle w:val="FootnoteText"/>
      </w:pPr>
      <w:r>
        <w:rPr>
          <w:rStyle w:val="FootnoteReference"/>
        </w:rPr>
        <w:footnoteRef/>
      </w:r>
      <w:r>
        <w:t xml:space="preserve"> </w:t>
      </w:r>
      <w:r w:rsidR="00286B31" w:rsidRPr="00286B31">
        <w:t xml:space="preserve">M. Merleau-Ponty, </w:t>
      </w:r>
      <w:r w:rsidR="00286B31" w:rsidRPr="00286B31">
        <w:rPr>
          <w:i/>
          <w:iCs/>
        </w:rPr>
        <w:t>Phenomenology of Perception</w:t>
      </w:r>
      <w:r w:rsidR="00286B31" w:rsidRPr="00286B31">
        <w:t xml:space="preserve">. </w:t>
      </w:r>
      <w:r w:rsidR="00286B31">
        <w:t>(</w:t>
      </w:r>
      <w:r w:rsidR="00286B31" w:rsidRPr="00286B31">
        <w:t>London: Routledge Classics, 2002</w:t>
      </w:r>
      <w:r w:rsidR="00286B31">
        <w:t>)</w:t>
      </w:r>
      <w:r w:rsidR="00286B31" w:rsidRPr="00286B31">
        <w:t xml:space="preserve">. </w:t>
      </w:r>
      <w:r>
        <w:t>216</w:t>
      </w:r>
      <w:r w:rsidR="00286B31">
        <w:t>.</w:t>
      </w:r>
    </w:p>
  </w:footnote>
  <w:footnote w:id="6">
    <w:p w14:paraId="0E171FA7" w14:textId="70BB8614" w:rsidR="00E91554" w:rsidRDefault="00EC7BAA">
      <w:pPr>
        <w:pStyle w:val="FootnoteText"/>
      </w:pPr>
      <w:r>
        <w:rPr>
          <w:rStyle w:val="FootnoteReference"/>
        </w:rPr>
        <w:footnoteRef/>
      </w:r>
      <w:r>
        <w:t xml:space="preserve"> </w:t>
      </w:r>
      <w:proofErr w:type="spellStart"/>
      <w:r w:rsidR="00E91554" w:rsidRPr="00E91554">
        <w:t>Lokhorst</w:t>
      </w:r>
      <w:proofErr w:type="spellEnd"/>
      <w:r w:rsidR="00E91554" w:rsidRPr="00E91554">
        <w:t xml:space="preserve">, Gert-Jan, "Descartes and the Pineal Gland", </w:t>
      </w:r>
      <w:r w:rsidR="00E91554" w:rsidRPr="00E91554">
        <w:rPr>
          <w:i/>
          <w:iCs/>
        </w:rPr>
        <w:t xml:space="preserve">The Stanford </w:t>
      </w:r>
      <w:proofErr w:type="spellStart"/>
      <w:r w:rsidR="00E91554" w:rsidRPr="00E91554">
        <w:rPr>
          <w:i/>
          <w:iCs/>
        </w:rPr>
        <w:t>Encyclopedia</w:t>
      </w:r>
      <w:proofErr w:type="spellEnd"/>
      <w:r w:rsidR="00E91554" w:rsidRPr="00E91554">
        <w:rPr>
          <w:i/>
          <w:iCs/>
        </w:rPr>
        <w:t xml:space="preserve"> of Philosophy </w:t>
      </w:r>
      <w:r w:rsidR="00E91554" w:rsidRPr="00E91554">
        <w:t xml:space="preserve">(Winter 2018 Edition), Edward N. </w:t>
      </w:r>
      <w:proofErr w:type="spellStart"/>
      <w:r w:rsidR="00E91554" w:rsidRPr="00E91554">
        <w:t>Zalta</w:t>
      </w:r>
      <w:proofErr w:type="spellEnd"/>
      <w:r w:rsidR="00E91554" w:rsidRPr="00E91554">
        <w:t xml:space="preserve"> (ed.), </w:t>
      </w:r>
      <w:r w:rsidR="00E91554">
        <w:t xml:space="preserve">available Online: </w:t>
      </w:r>
      <w:hyperlink r:id="rId2" w:history="1">
        <w:r w:rsidR="00E91554" w:rsidRPr="00F37ACE">
          <w:rPr>
            <w:rStyle w:val="Hyperlink"/>
          </w:rPr>
          <w:t>https://plato.stanford.edu/archives/win2018/entries/pineal-gland</w:t>
        </w:r>
      </w:hyperlink>
      <w:r w:rsidR="00E91554">
        <w:t xml:space="preserve"> [Accessed: 18/12/19]</w:t>
      </w:r>
    </w:p>
  </w:footnote>
  <w:footnote w:id="7">
    <w:p w14:paraId="186A5095" w14:textId="33D78E30" w:rsidR="00EC7BAA" w:rsidRDefault="00EC7BAA">
      <w:pPr>
        <w:pStyle w:val="FootnoteText"/>
      </w:pPr>
      <w:r>
        <w:rPr>
          <w:rStyle w:val="FootnoteReference"/>
        </w:rPr>
        <w:footnoteRef/>
      </w:r>
      <w:r>
        <w:t xml:space="preserve"> Ibid </w:t>
      </w:r>
    </w:p>
  </w:footnote>
  <w:footnote w:id="8">
    <w:p w14:paraId="14A5363E" w14:textId="5443F314" w:rsidR="00EC7BAA" w:rsidRDefault="00EC7BAA">
      <w:pPr>
        <w:pStyle w:val="FootnoteText"/>
      </w:pPr>
      <w:r>
        <w:rPr>
          <w:rStyle w:val="FootnoteReference"/>
        </w:rPr>
        <w:footnoteRef/>
      </w:r>
      <w:r>
        <w:t xml:space="preserve"> Ibid</w:t>
      </w:r>
    </w:p>
  </w:footnote>
  <w:footnote w:id="9">
    <w:p w14:paraId="5F2F436D" w14:textId="7AFC02AE" w:rsidR="00EC7BAA" w:rsidRDefault="00EC7BAA">
      <w:pPr>
        <w:pStyle w:val="FootnoteText"/>
      </w:pPr>
      <w:r>
        <w:rPr>
          <w:rStyle w:val="FootnoteReference"/>
        </w:rPr>
        <w:footnoteRef/>
      </w:r>
      <w:r>
        <w:t xml:space="preserve"> </w:t>
      </w:r>
      <w:r w:rsidR="00286B31" w:rsidRPr="00286B31">
        <w:t xml:space="preserve">M. Merleau-Ponty, </w:t>
      </w:r>
      <w:r w:rsidR="00286B31" w:rsidRPr="00286B31">
        <w:rPr>
          <w:i/>
          <w:iCs/>
        </w:rPr>
        <w:t>Phenomenology of Perception</w:t>
      </w:r>
      <w:r w:rsidR="00286B31" w:rsidRPr="00286B31">
        <w:t xml:space="preserve">. </w:t>
      </w:r>
      <w:r w:rsidR="00286B31">
        <w:t>(</w:t>
      </w:r>
      <w:r w:rsidR="00286B31" w:rsidRPr="00286B31">
        <w:t>London: Routledge Classics, 2002</w:t>
      </w:r>
      <w:r w:rsidR="00286B31">
        <w:t>)</w:t>
      </w:r>
      <w:r w:rsidR="00286B31" w:rsidRPr="00286B31">
        <w:t xml:space="preserve">. </w:t>
      </w:r>
      <w:r>
        <w:t>109</w:t>
      </w:r>
      <w:r w:rsidR="00286B31">
        <w:t>.</w:t>
      </w:r>
    </w:p>
  </w:footnote>
  <w:footnote w:id="10">
    <w:p w14:paraId="3A05F04B" w14:textId="4A8F9EFE" w:rsidR="001934E5" w:rsidRDefault="001934E5">
      <w:pPr>
        <w:pStyle w:val="FootnoteText"/>
      </w:pPr>
      <w:r>
        <w:rPr>
          <w:rStyle w:val="FootnoteReference"/>
        </w:rPr>
        <w:footnoteRef/>
      </w:r>
      <w:r>
        <w:t xml:space="preserve"> </w:t>
      </w:r>
      <w:r w:rsidR="00FC65C9" w:rsidRPr="00FC65C9">
        <w:t>M.</w:t>
      </w:r>
      <w:r w:rsidR="00FC65C9">
        <w:t xml:space="preserve"> </w:t>
      </w:r>
      <w:r w:rsidR="00FC65C9" w:rsidRPr="00FC65C9">
        <w:t xml:space="preserve">Merleau-Ponty, </w:t>
      </w:r>
      <w:r w:rsidR="00FC65C9" w:rsidRPr="00FC65C9">
        <w:rPr>
          <w:i/>
          <w:iCs/>
        </w:rPr>
        <w:t>Phenomenology of Perception</w:t>
      </w:r>
      <w:r w:rsidR="00FC65C9" w:rsidRPr="00FC65C9">
        <w:t xml:space="preserve">. London: Routledge Classics, 2002. </w:t>
      </w:r>
      <w:r w:rsidR="00FC65C9">
        <w:t xml:space="preserve">116.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BE5"/>
    <w:rsid w:val="00007548"/>
    <w:rsid w:val="000240D0"/>
    <w:rsid w:val="00026AAB"/>
    <w:rsid w:val="000F6771"/>
    <w:rsid w:val="00132D24"/>
    <w:rsid w:val="00156711"/>
    <w:rsid w:val="001934E5"/>
    <w:rsid w:val="00195E2A"/>
    <w:rsid w:val="00221843"/>
    <w:rsid w:val="00286B31"/>
    <w:rsid w:val="002A60F9"/>
    <w:rsid w:val="002B28DA"/>
    <w:rsid w:val="002E55AD"/>
    <w:rsid w:val="002E6BE5"/>
    <w:rsid w:val="00366B9A"/>
    <w:rsid w:val="00391DDC"/>
    <w:rsid w:val="003E4AE7"/>
    <w:rsid w:val="004168C3"/>
    <w:rsid w:val="00424774"/>
    <w:rsid w:val="004961DE"/>
    <w:rsid w:val="004C4EB7"/>
    <w:rsid w:val="004D728F"/>
    <w:rsid w:val="004F1B26"/>
    <w:rsid w:val="005707CF"/>
    <w:rsid w:val="00575452"/>
    <w:rsid w:val="006549E1"/>
    <w:rsid w:val="00677EED"/>
    <w:rsid w:val="00685C00"/>
    <w:rsid w:val="006B5858"/>
    <w:rsid w:val="006D62B6"/>
    <w:rsid w:val="006F1B61"/>
    <w:rsid w:val="00726141"/>
    <w:rsid w:val="0079113E"/>
    <w:rsid w:val="00824CEE"/>
    <w:rsid w:val="00860293"/>
    <w:rsid w:val="008A735F"/>
    <w:rsid w:val="008D666B"/>
    <w:rsid w:val="00930132"/>
    <w:rsid w:val="0094620D"/>
    <w:rsid w:val="009E3D58"/>
    <w:rsid w:val="00A67ED8"/>
    <w:rsid w:val="00AE44C6"/>
    <w:rsid w:val="00AE5E61"/>
    <w:rsid w:val="00AF7801"/>
    <w:rsid w:val="00B20F2A"/>
    <w:rsid w:val="00B36D3E"/>
    <w:rsid w:val="00BA3245"/>
    <w:rsid w:val="00BD34C4"/>
    <w:rsid w:val="00BD7A5D"/>
    <w:rsid w:val="00BF69D6"/>
    <w:rsid w:val="00C3712A"/>
    <w:rsid w:val="00C62A07"/>
    <w:rsid w:val="00C90952"/>
    <w:rsid w:val="00CE4935"/>
    <w:rsid w:val="00D14682"/>
    <w:rsid w:val="00D63620"/>
    <w:rsid w:val="00D75151"/>
    <w:rsid w:val="00D81936"/>
    <w:rsid w:val="00D830B0"/>
    <w:rsid w:val="00DA6E63"/>
    <w:rsid w:val="00DA70F9"/>
    <w:rsid w:val="00DE589E"/>
    <w:rsid w:val="00E350DA"/>
    <w:rsid w:val="00E4391F"/>
    <w:rsid w:val="00E91554"/>
    <w:rsid w:val="00EC1BCC"/>
    <w:rsid w:val="00EC7BAA"/>
    <w:rsid w:val="00EF4B76"/>
    <w:rsid w:val="00EF6E1C"/>
    <w:rsid w:val="00F04381"/>
    <w:rsid w:val="00F15CC1"/>
    <w:rsid w:val="00F47EDC"/>
    <w:rsid w:val="00F80748"/>
    <w:rsid w:val="00F8759C"/>
    <w:rsid w:val="00FB65AF"/>
    <w:rsid w:val="00FC52DE"/>
    <w:rsid w:val="00FC65C9"/>
    <w:rsid w:val="00FC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2C294"/>
  <w15:chartTrackingRefBased/>
  <w15:docId w15:val="{46DA1674-1BF9-4517-8A19-EC97850AF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E6B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BE5"/>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BF69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69D6"/>
    <w:rPr>
      <w:sz w:val="20"/>
      <w:szCs w:val="20"/>
    </w:rPr>
  </w:style>
  <w:style w:type="character" w:styleId="FootnoteReference">
    <w:name w:val="footnote reference"/>
    <w:basedOn w:val="DefaultParagraphFont"/>
    <w:uiPriority w:val="99"/>
    <w:semiHidden/>
    <w:unhideWhenUsed/>
    <w:rsid w:val="00BF69D6"/>
    <w:rPr>
      <w:vertAlign w:val="superscript"/>
    </w:rPr>
  </w:style>
  <w:style w:type="character" w:styleId="Hyperlink">
    <w:name w:val="Hyperlink"/>
    <w:basedOn w:val="DefaultParagraphFont"/>
    <w:uiPriority w:val="99"/>
    <w:unhideWhenUsed/>
    <w:rsid w:val="00391DDC"/>
    <w:rPr>
      <w:color w:val="0563C1" w:themeColor="hyperlink"/>
      <w:u w:val="single"/>
    </w:rPr>
  </w:style>
  <w:style w:type="character" w:styleId="UnresolvedMention">
    <w:name w:val="Unresolved Mention"/>
    <w:basedOn w:val="DefaultParagraphFont"/>
    <w:uiPriority w:val="99"/>
    <w:semiHidden/>
    <w:unhideWhenUsed/>
    <w:rsid w:val="00391DDC"/>
    <w:rPr>
      <w:color w:val="605E5C"/>
      <w:shd w:val="clear" w:color="auto" w:fill="E1DFDD"/>
    </w:rPr>
  </w:style>
  <w:style w:type="character" w:styleId="FollowedHyperlink">
    <w:name w:val="FollowedHyperlink"/>
    <w:basedOn w:val="DefaultParagraphFont"/>
    <w:uiPriority w:val="99"/>
    <w:semiHidden/>
    <w:unhideWhenUsed/>
    <w:rsid w:val="00286B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0009240" TargetMode="External"/><Relationship Id="rId3" Type="http://schemas.openxmlformats.org/officeDocument/2006/relationships/settings" Target="settings.xml"/><Relationship Id="rId7" Type="http://schemas.openxmlformats.org/officeDocument/2006/relationships/hyperlink" Target="https://plato.stanford.edu/archives/win2018/entries/pineal-glan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plato.stanford.edu/archives/win2018/entries/pineal-gland" TargetMode="External"/><Relationship Id="rId1" Type="http://schemas.openxmlformats.org/officeDocument/2006/relationships/hyperlink" Target="http://www.jstor.org/stable/200092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4C435-C447-46DC-97D5-9390B9AC2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1423</TotalTime>
  <Pages>6</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dc:creator>
  <cp:keywords/>
  <dc:description/>
  <cp:lastModifiedBy>Thomas Smith</cp:lastModifiedBy>
  <cp:revision>44</cp:revision>
  <dcterms:created xsi:type="dcterms:W3CDTF">2019-12-17T22:37:00Z</dcterms:created>
  <dcterms:modified xsi:type="dcterms:W3CDTF">2019-12-18T23:59:00Z</dcterms:modified>
</cp:coreProperties>
</file>