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A3038" w14:textId="77777777" w:rsidR="00195E56" w:rsidRPr="001B6BAC" w:rsidRDefault="00195E56" w:rsidP="00195E56">
      <w:pPr>
        <w:rPr>
          <w:b/>
          <w:bCs/>
        </w:rPr>
      </w:pPr>
      <w:r w:rsidRPr="001B6BAC">
        <w:rPr>
          <w:b/>
          <w:bCs/>
        </w:rPr>
        <w:t>AI Acknowledgement Statement</w:t>
      </w:r>
    </w:p>
    <w:p w14:paraId="62689D9F" w14:textId="7888CE1A" w:rsidR="00195E56" w:rsidRPr="001B6BAC" w:rsidRDefault="00195E56" w:rsidP="00195E56">
      <w:r w:rsidRPr="001B6BAC">
        <w:t>I acknowledge the use of the AI tools ChatGPT (</w:t>
      </w:r>
      <w:hyperlink r:id="rId6" w:tgtFrame="_new" w:history="1">
        <w:r w:rsidRPr="001B6BAC">
          <w:rPr>
            <w:rStyle w:val="Hyperlink"/>
          </w:rPr>
          <w:t>https://chatgpt.com</w:t>
        </w:r>
      </w:hyperlink>
      <w:r w:rsidRPr="001B6BAC">
        <w:t>) and Grammarly (</w:t>
      </w:r>
      <w:hyperlink r:id="rId7" w:tgtFrame="_new" w:history="1">
        <w:r w:rsidRPr="001B6BAC">
          <w:rPr>
            <w:rStyle w:val="Hyperlink"/>
          </w:rPr>
          <w:t>https://www.grammarly.com</w:t>
        </w:r>
      </w:hyperlink>
      <w:r w:rsidRPr="001B6BAC">
        <w:t xml:space="preserve">) during the research and drafting phase of this assignment. ChatGPT was used to support the identification of relevant academic literature, summarise research findings, compare methodological approaches, and </w:t>
      </w:r>
      <w:r w:rsidR="00734302" w:rsidRPr="00734302">
        <w:t>clarify academic concepts related to sport psychology theory and qualitative research methods.</w:t>
      </w:r>
      <w:r w:rsidR="00734302">
        <w:t xml:space="preserve"> </w:t>
      </w:r>
      <w:r w:rsidRPr="001B6BAC">
        <w:t>Grammarly was used to review my own written work for grammar, spelling, clarity, and academic writing conventions.</w:t>
      </w:r>
    </w:p>
    <w:p w14:paraId="6273CF53" w14:textId="77777777" w:rsidR="00195E56" w:rsidRPr="001B6BAC" w:rsidRDefault="00195E56" w:rsidP="00195E56">
      <w:r w:rsidRPr="001B6BAC">
        <w:t>I confirm that I have not presented any AI-generated text as my own work. I confirm that I have retained copies of my drafts, notes, and all prompts used with AI tools, which may be provided as evidence if required.</w:t>
      </w:r>
    </w:p>
    <w:p w14:paraId="75EF8E1D"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6B9D8CF4"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1A9AA35A"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01B431F2"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2CAD33B9"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7A42BE11"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468995B9"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217F212F" w14:textId="77777777" w:rsidR="000E281B" w:rsidRDefault="000E281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788CBE6F" w14:textId="77777777" w:rsidR="00195E56" w:rsidRDefault="00195E56"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0B6D0F3C" w14:textId="77777777" w:rsidR="008327BF" w:rsidRDefault="008327BF"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p>
    <w:p w14:paraId="770F06B3" w14:textId="4767EA1A" w:rsidR="002A283B" w:rsidRPr="00F06A97" w:rsidRDefault="002A283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r w:rsidRPr="00F06A97">
        <w:rPr>
          <w:rFonts w:eastAsia="Times New Roman" w:cs="Times New Roman"/>
          <w:b/>
          <w:bCs/>
          <w:kern w:val="36"/>
          <w:sz w:val="48"/>
          <w:szCs w:val="48"/>
          <w:lang w:eastAsia="en-GB"/>
          <w14:ligatures w14:val="none"/>
        </w:rPr>
        <w:lastRenderedPageBreak/>
        <w:t>Sport confidence in a returning boxer: a qualitative athlete interview report</w:t>
      </w:r>
    </w:p>
    <w:p w14:paraId="1680F65E" w14:textId="5585ADF2"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b/>
          <w:bCs/>
          <w:kern w:val="0"/>
          <w:lang w:eastAsia="en-GB"/>
          <w14:ligatures w14:val="none"/>
        </w:rPr>
        <w:t>Student name:</w:t>
      </w:r>
      <w:r w:rsidRPr="00F06A97">
        <w:rPr>
          <w:rFonts w:eastAsia="Times New Roman" w:cs="Times New Roman"/>
          <w:kern w:val="0"/>
          <w:lang w:eastAsia="en-GB"/>
          <w14:ligatures w14:val="none"/>
        </w:rPr>
        <w:t xml:space="preserve"> Zachary Ashburner</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Student ID:</w:t>
      </w:r>
      <w:r w:rsidRPr="00F06A97">
        <w:rPr>
          <w:rFonts w:eastAsia="Times New Roman" w:cs="Times New Roman"/>
          <w:kern w:val="0"/>
          <w:lang w:eastAsia="en-GB"/>
          <w14:ligatures w14:val="none"/>
        </w:rPr>
        <w:t xml:space="preserve"> 2407497</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Programme:</w:t>
      </w:r>
      <w:r w:rsidRPr="00F06A97">
        <w:rPr>
          <w:rFonts w:eastAsia="Times New Roman" w:cs="Times New Roman"/>
          <w:kern w:val="0"/>
          <w:lang w:eastAsia="en-GB"/>
          <w14:ligatures w14:val="none"/>
        </w:rPr>
        <w:t xml:space="preserve"> BSc Sport and Exercise Science</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Module:</w:t>
      </w:r>
      <w:r w:rsidRPr="00F06A97">
        <w:rPr>
          <w:rFonts w:eastAsia="Times New Roman" w:cs="Times New Roman"/>
          <w:kern w:val="0"/>
          <w:lang w:eastAsia="en-GB"/>
          <w14:ligatures w14:val="none"/>
        </w:rPr>
        <w:t xml:space="preserve"> Sport and Exercise Psychology</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Module code:</w:t>
      </w:r>
      <w:r w:rsidRPr="00F06A97">
        <w:rPr>
          <w:rFonts w:eastAsia="Times New Roman" w:cs="Times New Roman"/>
          <w:kern w:val="0"/>
          <w:lang w:eastAsia="en-GB"/>
          <w14:ligatures w14:val="none"/>
        </w:rPr>
        <w:t xml:space="preserve"> BMSS5004</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Lecturer:</w:t>
      </w:r>
      <w:r w:rsidRPr="00F06A97">
        <w:rPr>
          <w:rFonts w:eastAsia="Times New Roman" w:cs="Times New Roman"/>
          <w:kern w:val="0"/>
          <w:lang w:eastAsia="en-GB"/>
          <w14:ligatures w14:val="none"/>
        </w:rPr>
        <w:t xml:space="preserve"> Alison Connaughton</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Word count:</w:t>
      </w:r>
      <w:r w:rsidRPr="00F06A97">
        <w:rPr>
          <w:rFonts w:eastAsia="Times New Roman" w:cs="Times New Roman"/>
          <w:kern w:val="0"/>
          <w:lang w:eastAsia="en-GB"/>
          <w14:ligatures w14:val="none"/>
        </w:rPr>
        <w:t xml:space="preserve"> ~2,0</w:t>
      </w:r>
      <w:r w:rsidR="00707882" w:rsidRPr="00F06A97">
        <w:rPr>
          <w:rFonts w:eastAsia="Times New Roman" w:cs="Times New Roman"/>
          <w:kern w:val="0"/>
          <w:lang w:eastAsia="en-GB"/>
          <w14:ligatures w14:val="none"/>
        </w:rPr>
        <w:t>96</w:t>
      </w:r>
      <w:r w:rsidRPr="00F06A97">
        <w:rPr>
          <w:rFonts w:eastAsia="Times New Roman" w:cs="Times New Roman"/>
          <w:kern w:val="0"/>
          <w:lang w:eastAsia="en-GB"/>
          <w14:ligatures w14:val="none"/>
        </w:rPr>
        <w:t xml:space="preserve"> (excluding references)</w:t>
      </w:r>
    </w:p>
    <w:p w14:paraId="6C783901" w14:textId="77777777" w:rsidR="002A283B" w:rsidRPr="00F06A97" w:rsidRDefault="002A283B" w:rsidP="002A283B">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0E384487">
          <v:rect id="_x0000_i1025" style="width:0;height:1.5pt" o:hralign="center" o:hrstd="t" o:hr="t" fillcolor="#a0a0a0" stroked="f"/>
        </w:pict>
      </w:r>
    </w:p>
    <w:p w14:paraId="4B8C8E34"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1. Introduction</w:t>
      </w:r>
    </w:p>
    <w:p w14:paraId="6A3849A3"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Sport confidence is widely recognised as a central psychological determinant of athletic performance, influencing motivation, emotional regulation, persistence, attentional control, and decision-making under pressure (Vealey, 1986; Feltz, Short and Sullivan, 2008). Athletes with higher confidence are more likely to interpret demanding situations as challenges rather than threats and sustain effort under adversity (Nicholls, Polman and Levy, 2009). Conversely, reduced confidence has been associated with heightened anxiety and inconsistent performance (Gucciardi, 2010), which is particularly relevant in boxing where injury history and performance pressure may constrain confidence expression.</w:t>
      </w:r>
    </w:p>
    <w:p w14:paraId="0C6DEFE0"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Sport confidence is commonly defined as an athlete’s belief or certainty in their ability to succeed in sport (Vealey, 1986; Vealey, 2001). Vealey’s sport-confidence framework conceptualises confidence as multidimensional and dynamic, shaped by mastery experiences, physical and mental readiness, social support, and environmental comfort. Closely related is Bandura’s concept of self-efficacy, defined as an individual’s belief in their capability to organise and execute actions required to achieve specific performance outcomes (Bandura, 1997). While self-efficacy is a broader construct, sport confidence represents a domain-specific manifestation of efficacy beliefs within athletic contexts (Feltz et al., 2008).</w:t>
      </w:r>
    </w:p>
    <w:p w14:paraId="709808F0"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 critical distinction within the literature is between trait sport confidence, reflecting relatively stable confidence dispositions, and state sport confidence, which fluctuates depending on situational factors such as recent performance, injury status, and environmental stability (Vealey, 2001). This distinction is particularly relevant for athletes returning from injury and disruption, where internal belief in ability may remain high, yet situational confidence may be constrained by physical readiness or environmental barriers.</w:t>
      </w:r>
    </w:p>
    <w:p w14:paraId="139BD19B"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lastRenderedPageBreak/>
        <w:t>The present report examines a returning boxer who experienced early competitive success, followed by significant disruption due to head injury, trigeminal neuralgia, COVID-19-related interruption, gym closure, and subsequent ankle fracture. The aims of the report are to (1) identify perceived sources and debilitating factors of sport confidence, (2) critically evaluate these findings in relation to established theory and research, (3) discuss applied implications for enhancing confidence, and (4) highlight directions for future research. A qualitative, semi-structured interview approach was used to capture the participant’s lived experience.</w:t>
      </w:r>
    </w:p>
    <w:p w14:paraId="5BC4E8DF"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358C5544">
          <v:rect id="_x0000_i1197" style="width:0;height:1.5pt" o:hralign="center" o:hrstd="t" o:hr="t" fillcolor="#a0a0a0" stroked="f"/>
        </w:pict>
      </w:r>
    </w:p>
    <w:p w14:paraId="2C268A61"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2. Methodology</w:t>
      </w:r>
    </w:p>
    <w:p w14:paraId="5D977D22"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2.1 Participant</w:t>
      </w:r>
    </w:p>
    <w:p w14:paraId="17A86FA6"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participant (pseudonym Participant X) was a 26-year-old male boxer who began boxing at age 12, initially due to low confidence. He reported rapid early progression, winning his first two amateur bouts by age 15, followed by a Welsh novice title victory. He then defeated a British-level contender by technical knockout (TKO) despite having substantially less experience. Following this, his coach identified him as a potential candidate for Commonwealth Games pathways.</w:t>
      </w:r>
    </w:p>
    <w:p w14:paraId="2654CEF7" w14:textId="0ABCCFDB" w:rsidR="008327BF" w:rsidRPr="008327BF" w:rsidRDefault="00210258" w:rsidP="008327BF">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participant later developed trigeminal neuralgia associated with repeated head trauma and was advised to take an extended break from contact sport. He later returned with the intention of turning professional; however, COVID-19 disrupted training and competition, and his gym closed permanently. In 2024, he sustained an ankle fracture, leading to a further enforced break. At the time of interview, the participant was preparing to return to boxing in 2026 with the long-term aim of turning professional.</w:t>
      </w:r>
    </w:p>
    <w:p w14:paraId="4BFD3F7F" w14:textId="077172FB"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2.2 Data collection</w:t>
      </w:r>
    </w:p>
    <w:p w14:paraId="4D79D2E9"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 semi-structured interview lasting approximately 15 minutes was conducted using a focused interview guide designed to elicit perceptions of confidence sources, confidence-debilitating factors, injury experiences, environmental influences, pressure responses, and plans for confidence rebuilding. Semi-structured interviews are commonly used in sport confidence research to capture athlete-specific sources and contextualised meanings (Hays et al., 2007; Hays et al., 2009). The interview was audio-recorded with the participant’s permission and stored securely until the assessment had been marked, in line with module guidance.</w:t>
      </w:r>
    </w:p>
    <w:p w14:paraId="5693B2E1" w14:textId="77777777" w:rsidR="008327BF" w:rsidRDefault="008327BF"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377E683B" w14:textId="77777777" w:rsidR="008327BF" w:rsidRDefault="008327BF"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p>
    <w:p w14:paraId="559D2470" w14:textId="7B423F2C"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lastRenderedPageBreak/>
        <w:t>2.3 Ethical considerations</w:t>
      </w:r>
    </w:p>
    <w:p w14:paraId="088BB6D4"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Informed consent was obtained prior to data collection. Participation was voluntary, and the participant was informed of the right to withdraw at any time without penalty. Anonymity was maintained through pseudonymisation. All data were stored securely and used solely for academic purposes in accordance with ethical guidelines for psychological research.</w:t>
      </w:r>
    </w:p>
    <w:p w14:paraId="72F1AA32"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2.4 Data analysis and methodological rigour</w:t>
      </w:r>
    </w:p>
    <w:p w14:paraId="3C1B2F6F"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Data were analysed using thematic analysis following established procedures (Braun and Clarke, 2006). The transcript was read repeatedly, and initial codes were generated to capture meaningful units of data (e.g., mastery proof, mortality awareness, coach dependence). Codes were then clustered into higher-order themes through iterative comparison, with credibility enhanced through the use of verbatim quotes and explicit links to theory.</w:t>
      </w:r>
    </w:p>
    <w:p w14:paraId="79F7851F"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As the interviewer and analyst, the researcher remained reflexive and aware of how prior knowledge of boxing and the participant’s background could influence interpretation of the data. The idiographic nature of a single-case design is acknowledged, and findings are interpreted as illustrative.</w:t>
      </w:r>
    </w:p>
    <w:p w14:paraId="27BAE143"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63AFEBD7">
          <v:rect id="_x0000_i1198" style="width:0;height:1.5pt" o:hralign="center" o:hrstd="t" o:hr="t" fillcolor="#a0a0a0" stroked="f"/>
        </w:pict>
      </w:r>
    </w:p>
    <w:p w14:paraId="47608980"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3. Findings: perceived sources and debilitating factors of sport confidence</w:t>
      </w:r>
    </w:p>
    <w:p w14:paraId="5D87DC40" w14:textId="087EAEAC"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3.1 Theme 1 — Mastery experiences as the dominant confidence source</w:t>
      </w:r>
    </w:p>
    <w:p w14:paraId="40195A8B"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Early competitive success emerged as the most salient and enduring source of sport confidence. The participant described rapid progression, including a Welsh novice title and an upset TKO win against a British-level opponent: “I gained the title… and… beat [a British contender] by TKO.” These outcomes were framed as strong evidence of elite capability, reinforcing belief in power, composure, and competitive resilience.</w:t>
      </w:r>
    </w:p>
    <w:p w14:paraId="27B3516D"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participant also highlighted extensive high-level sparring and exhibition experience: “I have… sparring sessions against… commonwealth athletes and professionals… I have even beaten pros in sparring sessions.” Collectively, these experiences served as repeated mastery confirmations, consistent with Bandura’s assertion that mastery experiences represent the most powerful source of efficacy beliefs (Bandura, 1997).</w:t>
      </w:r>
    </w:p>
    <w:p w14:paraId="25478EA7"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One bout involved a highly absorbed and controlled performance state: “Once that first bell rang… I knew that nothing was going to stop me… I felt in full control of the </w:t>
      </w:r>
      <w:r w:rsidRPr="00F06A97">
        <w:rPr>
          <w:rFonts w:eastAsia="Times New Roman" w:cs="Times New Roman"/>
          <w:kern w:val="0"/>
          <w:lang w:eastAsia="en-GB"/>
          <w14:ligatures w14:val="none"/>
        </w:rPr>
        <w:lastRenderedPageBreak/>
        <w:t>outcome.” This narrative reflects flow-like characteristics associated with optimal performance and high state confidence (Vealey, 2001).</w:t>
      </w:r>
    </w:p>
    <w:p w14:paraId="45385E28"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b/>
          <w:bCs/>
          <w:kern w:val="0"/>
          <w:lang w:eastAsia="en-GB"/>
          <w14:ligatures w14:val="none"/>
        </w:rPr>
        <w:t>Interpretation for confidence:</w:t>
      </w:r>
      <w:r w:rsidRPr="00F06A97">
        <w:rPr>
          <w:rFonts w:eastAsia="Times New Roman" w:cs="Times New Roman"/>
          <w:kern w:val="0"/>
          <w:lang w:eastAsia="en-GB"/>
          <w14:ligatures w14:val="none"/>
        </w:rPr>
        <w:t xml:space="preserve"> Mastery experiences function as both retrospective validation and present-day psychological capital, remaining a primary reference point for the participant’s current confidence.</w:t>
      </w:r>
    </w:p>
    <w:p w14:paraId="1E80F4EF"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3.2 Theme 2 — Injury and physical vulnerability as the primary debilitating factor</w:t>
      </w:r>
    </w:p>
    <w:p w14:paraId="5441247A"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Injury and perceived physical risk emerged as the most significant confidence-debilitating factor. Following the British contender bout, the participant reported severe pain and medical warnings: “I was told that if I didn’t stop immediately I would be risking my hearing, my eyesight, or worse… I recognised my own mortality in the sport for the first time.” This experience marked a cognitive shift from performance-focused confidence to health-focused threat appraisal.</w:t>
      </w:r>
    </w:p>
    <w:p w14:paraId="62214A3D"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Although belief in technical ability remained intact, behavioural confidence was constrained: “I avoided any contact for a long time… even now I minimise sparring.” From this individual’s perspective, this reflects reduced willingness to expose oneself to risk rather than a simple loss of belief.</w:t>
      </w:r>
    </w:p>
    <w:p w14:paraId="3229F1E9"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This is consistent with return-to-sport research demonstrating that fear of re-injury can constrain readiness and confidence expression (Wiese-Bjornstal et al., 1998; Podlog and Eklund, 2007).</w:t>
      </w:r>
    </w:p>
    <w:p w14:paraId="0E3232C4"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3.3 Theme 3 — Environmental disruption (COVID-19 and gym closure)</w:t>
      </w:r>
    </w:p>
    <w:p w14:paraId="36D248BE"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Environmental disruption was a major secondary confidence inhibitor. Lockdown immediately before a scheduled fight was experienced as a threat to career timing: “I was… afraid that I might have lost my only opportunity to turn pro.” The subsequent gym closure removed critical sources of structure, coaching, and technical progression: “I lost the support of my coach and no longer had a routine… It’s the routine and skill based training which I struggle without.”</w:t>
      </w:r>
    </w:p>
    <w:p w14:paraId="3C3D7C10"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Within this specific context, confidence appeared embedded within organisational and relational systems. Loss of environmental stability reduced situational confidence despite maintained general fitness, consistent with Vealey’s emphasis on environmental and social confidence sources (Vealey, 2001).</w:t>
      </w:r>
    </w:p>
    <w:p w14:paraId="1DCD3FE4"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3.4 Theme 4 — Ankle fracture as setback and adaptive motivator</w:t>
      </w:r>
    </w:p>
    <w:p w14:paraId="6618CBA4"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The ankle fracture represented another enforced interruption but was reframed adaptively: “It made me more motivated to bounce back… focusing mostly on strength </w:t>
      </w:r>
      <w:r w:rsidRPr="00F06A97">
        <w:rPr>
          <w:rFonts w:eastAsia="Times New Roman" w:cs="Times New Roman"/>
          <w:kern w:val="0"/>
          <w:lang w:eastAsia="en-GB"/>
          <w14:ligatures w14:val="none"/>
        </w:rPr>
        <w:lastRenderedPageBreak/>
        <w:t>training to build a bulletproof body.” This suggests a shift toward controllable preparation as a means of rebuilding confidence.</w:t>
      </w:r>
    </w:p>
    <w:p w14:paraId="60494D29"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Within this specific context, this reflects adaptive coping and resilience, where confidence is supported through perceptions of preparedness and physical robustness (Gucciardi, 2010).</w:t>
      </w:r>
    </w:p>
    <w:p w14:paraId="7721FE06"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3.5 Theme 5 — Age and time pressure shaping current state confidence</w:t>
      </w:r>
    </w:p>
    <w:p w14:paraId="6E1B2E1A"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Age-related urgency emerged as a prominent psychological stressor: “I am now 26… if I want a chance of a long pro career then I need to start now.” This created dual effects: heightened motivation and discipline, alongside increased threat appraisal linked to perceived narrowing of opportunity.</w:t>
      </w:r>
    </w:p>
    <w:p w14:paraId="23C49A73"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participant’s goal was also value-driven: “Turning pro… to make a living… and to show my two sons that you can achieve anything.” From this participant’s perspective, this personal meaning may enhance persistence but may also intensify pressure, increasing the emotional stakes of confidence disruption.</w:t>
      </w:r>
    </w:p>
    <w:p w14:paraId="4866031F" w14:textId="77777777" w:rsidR="00210258" w:rsidRPr="00F06A97" w:rsidRDefault="00210258" w:rsidP="00210258">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06A97">
        <w:rPr>
          <w:rFonts w:eastAsia="Times New Roman" w:cs="Times New Roman"/>
          <w:b/>
          <w:bCs/>
          <w:kern w:val="0"/>
          <w:sz w:val="27"/>
          <w:szCs w:val="27"/>
          <w:lang w:eastAsia="en-GB"/>
          <w14:ligatures w14:val="none"/>
        </w:rPr>
        <w:t>3.6 Cross-cutting theme — Coaching access as a critical current constraint</w:t>
      </w:r>
    </w:p>
    <w:p w14:paraId="0C9291D5"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most immediate current confidence inhibitor was the lack of a reliable coach: “The biggest concern… is finding a coach I can rely on.” In this case, current confidence appears constrained less by internal belief than by external access to professional support, highlighting a structural barrier to confidence expression and pathway progression.</w:t>
      </w:r>
    </w:p>
    <w:p w14:paraId="6DF15C7C"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6EF784A6">
          <v:rect id="_x0000_i1199" style="width:0;height:1.5pt" o:hralign="center" o:hrstd="t" o:hr="t" fillcolor="#a0a0a0" stroked="f"/>
        </w:pict>
      </w:r>
    </w:p>
    <w:p w14:paraId="5F760585"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4. Evaluation in relation to theory and research</w:t>
      </w:r>
    </w:p>
    <w:p w14:paraId="4DBE9E8D"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findings provide strong applied support for Vealey’s multidimensional and dynamic model of sport confidence within this specific athletic context (Vealey, 1986; Vealey, 2001). Early confidence was supported by mastery experiences, strong physical readiness, and social/environmental support. Over time, physical readiness perceptions were disrupted by injury, and environmental confidence was undermined by COVID-19 and gym closure. As predicted by the model, confidence fluctuated in line with changes in these sources rather than remaining stable.</w:t>
      </w:r>
    </w:p>
    <w:p w14:paraId="24D55BE5"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In this case, confidence erosion appears to have been driven more by the loss of confidence sources than by any fundamental loss of belief in ability. This supports the distinction between confidence disposition and confidence expression, reinforcing </w:t>
      </w:r>
      <w:r w:rsidRPr="00F06A97">
        <w:rPr>
          <w:rFonts w:eastAsia="Times New Roman" w:cs="Times New Roman"/>
          <w:kern w:val="0"/>
          <w:lang w:eastAsia="en-GB"/>
          <w14:ligatures w14:val="none"/>
        </w:rPr>
        <w:lastRenderedPageBreak/>
        <w:t>Vealey’s conceptualisation of confidence as contextually embedded rather than purely intrapsychic.</w:t>
      </w:r>
    </w:p>
    <w:p w14:paraId="28331D69"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Bandura’s self-efficacy theory is also strongly supported (Bandura, 1997). Mastery experiences were clearly dominant, with early wins, upset victories, and high-level sparring providing durable efficacy evidence. Verbal persuasion from coaches further reinforced efficacy beliefs. However, physiological and affective states became powerful negative inputs following injury, consistent with Bandura’s emphasis on bodily interpretations as efficacy determinants.</w:t>
      </w:r>
    </w:p>
    <w:p w14:paraId="4BFC07FB"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 critical nuance in this case is that high performance self-efficacy coexisted with low pathway efficacy (belief in being able to progress professionally), due to coaching access and registration requirements. This suggests that Bandura’s model may benefit from integration with organisational and pathway-level factors, as emphasised in Vealey’s framework.</w:t>
      </w:r>
    </w:p>
    <w:p w14:paraId="1ECB02ED"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The participant’s narratives reflect both challenge and threat appraisals (Nicholls et al., 2009). Flow-like performance accounts indicate challenge appraisal and high perceived control, while age-related urgency reflects threat appraisal linked to potential loss of opportunity. This duality supports the interpretation that the participant’s confidence is predominantly state-based, fluctuating with situational and structural constraints. The participant’s philosophy of psychological resilience suggests robust confidence rather than fragile optimism (Gucciardi, 2010).</w:t>
      </w:r>
    </w:p>
    <w:p w14:paraId="6D3BF04C"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As a single-case, retrospective interview, findings are subject to recall bias, meaning-making, and self-presentation effects. These limitations require cautious interpretation but are consistent with the aims of qualitative, idiographic analysis at this level.</w:t>
      </w:r>
    </w:p>
    <w:p w14:paraId="2F7E8846"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28A8C393">
          <v:rect id="_x0000_i1200" style="width:0;height:1.5pt" o:hralign="center" o:hrstd="t" o:hr="t" fillcolor="#a0a0a0" stroked="f"/>
        </w:pict>
      </w:r>
    </w:p>
    <w:p w14:paraId="243EB83A"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5. Practical implications for enhancing sport confidence</w:t>
      </w:r>
    </w:p>
    <w:p w14:paraId="152E57E6"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Given mastery’s dominance, confidence rebuilding should prioritise engineered mastery experiences. A graded pathway is recommended:</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Phase 1:</w:t>
      </w:r>
      <w:r w:rsidRPr="00F06A97">
        <w:rPr>
          <w:rFonts w:eastAsia="Times New Roman" w:cs="Times New Roman"/>
          <w:kern w:val="0"/>
          <w:lang w:eastAsia="en-GB"/>
          <w14:ligatures w14:val="none"/>
        </w:rPr>
        <w:t xml:space="preserve"> controlled technical sparring (process goals: composure, defensive reactions).</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Phase 2:</w:t>
      </w:r>
      <w:r w:rsidRPr="00F06A97">
        <w:rPr>
          <w:rFonts w:eastAsia="Times New Roman" w:cs="Times New Roman"/>
          <w:kern w:val="0"/>
          <w:lang w:eastAsia="en-GB"/>
          <w14:ligatures w14:val="none"/>
        </w:rPr>
        <w:t xml:space="preserve"> exhibitions or low-risk competitive exposure.</w:t>
      </w:r>
      <w:r w:rsidRPr="00F06A97">
        <w:rPr>
          <w:rFonts w:eastAsia="Times New Roman" w:cs="Times New Roman"/>
          <w:kern w:val="0"/>
          <w:lang w:eastAsia="en-GB"/>
          <w14:ligatures w14:val="none"/>
        </w:rPr>
        <w:br/>
      </w:r>
      <w:r w:rsidRPr="00F06A97">
        <w:rPr>
          <w:rFonts w:eastAsia="Times New Roman" w:cs="Times New Roman"/>
          <w:b/>
          <w:bCs/>
          <w:kern w:val="0"/>
          <w:lang w:eastAsia="en-GB"/>
          <w14:ligatures w14:val="none"/>
        </w:rPr>
        <w:t>Phase 3:</w:t>
      </w:r>
      <w:r w:rsidRPr="00F06A97">
        <w:rPr>
          <w:rFonts w:eastAsia="Times New Roman" w:cs="Times New Roman"/>
          <w:kern w:val="0"/>
          <w:lang w:eastAsia="en-GB"/>
          <w14:ligatures w14:val="none"/>
        </w:rPr>
        <w:t xml:space="preserve"> entry-level competitive bouts aligned with tactical objectives.</w:t>
      </w:r>
    </w:p>
    <w:p w14:paraId="2DEEC954"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Process-based success criteria should supplement outcome-based evaluation to stabilise confidence.</w:t>
      </w:r>
    </w:p>
    <w:p w14:paraId="3CAE6CE3"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lastRenderedPageBreak/>
        <w:t>A structured return-to-contact framework should be implemented, incorporating graduated sparring exposure, symptom monitoring, and medical collaboration. This targets fear of re-injury while preserving confidence.</w:t>
      </w:r>
    </w:p>
    <w:p w14:paraId="0A942459"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Given coaching access as the primary current inhibitor, establishing a stable coach–athlete relationship is the single most impactful intervention. This should include clear training structure, agreed competitive timelines, and regular competence-focused feedback to reinforce readiness (Bandura, 1997; Vealey, 2001).</w:t>
      </w:r>
    </w:p>
    <w:p w14:paraId="704322AD"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Psychological skills training should include imagery, adaptive self-talk targeting age-related threat cognitions, and consistent pre-performance routines to stabilise state confidence.</w:t>
      </w:r>
    </w:p>
    <w:p w14:paraId="5A963777"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6D63AE33">
          <v:rect id="_x0000_i1201" style="width:0;height:1.5pt" o:hralign="center" o:hrstd="t" o:hr="t" fillcolor="#a0a0a0" stroked="f"/>
        </w:pict>
      </w:r>
    </w:p>
    <w:p w14:paraId="4FDAAA5E"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6. Future research</w:t>
      </w:r>
    </w:p>
    <w:p w14:paraId="12C6C5B2"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Future research should examine confidence rebuilding trajectories in combat athletes following neurological injury and how athletes balance performance development with perceived health risk. Longitudinal studies could investigate how confidence sources shift over time and how coach–athlete relationships moderate readiness and fear of re-injury. Research examining COVID-era pathway disruption and its impact on athletic identity and confidence would further contextualise post-pandemic return-to-sport challenges.</w:t>
      </w:r>
    </w:p>
    <w:p w14:paraId="6E9B0691" w14:textId="77777777" w:rsidR="00210258" w:rsidRPr="00F06A97" w:rsidRDefault="00210258" w:rsidP="00210258">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241EC587">
          <v:rect id="_x0000_i1202" style="width:0;height:1.5pt" o:hralign="center" o:hrstd="t" o:hr="t" fillcolor="#a0a0a0" stroked="f"/>
        </w:pict>
      </w:r>
    </w:p>
    <w:p w14:paraId="4C57DEC3" w14:textId="77777777" w:rsidR="00210258" w:rsidRPr="00F06A97" w:rsidRDefault="00210258" w:rsidP="00210258">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F06A97">
        <w:rPr>
          <w:rFonts w:eastAsia="Times New Roman" w:cs="Times New Roman"/>
          <w:b/>
          <w:bCs/>
          <w:kern w:val="0"/>
          <w:sz w:val="36"/>
          <w:szCs w:val="36"/>
          <w:lang w:eastAsia="en-GB"/>
          <w14:ligatures w14:val="none"/>
        </w:rPr>
        <w:t>7. Conclusion</w:t>
      </w:r>
    </w:p>
    <w:p w14:paraId="6209C2DE" w14:textId="77777777" w:rsidR="00210258" w:rsidRPr="00F06A97" w:rsidRDefault="00210258" w:rsidP="00210258">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This case study identified mastery experiences and early competitive success as the participant’s primary confidence source, while injury, environmental disruption, and pathway barriers were major debilitating factors. The findings align closely with key elements of Vealey’s sport-confidence model and Bandura’s self-efficacy theory, demonstrating that sport confidence is dynamic, multidimensional, and shaped by both internal beliefs and external structures. In this case, confidence erosion was driven less by loss of belief in ability and more by loss of confidence sources and pathway constraints. Applied recommendations emphasise graded mastery rebuilding, injury-informed readiness, coach–athlete relationship stability, and psychological skills training to develop robust confidence during return to competition.</w:t>
      </w:r>
    </w:p>
    <w:p w14:paraId="3D8304BC" w14:textId="77777777" w:rsidR="00210258" w:rsidRPr="00F06A97" w:rsidRDefault="00210258" w:rsidP="002A283B">
      <w:pPr>
        <w:spacing w:after="0" w:line="240" w:lineRule="auto"/>
        <w:rPr>
          <w:rFonts w:eastAsia="Times New Roman" w:cs="Times New Roman"/>
          <w:kern w:val="0"/>
          <w:lang w:eastAsia="en-GB"/>
          <w14:ligatures w14:val="none"/>
        </w:rPr>
      </w:pPr>
    </w:p>
    <w:p w14:paraId="09C3630E" w14:textId="77777777" w:rsidR="002A283B" w:rsidRPr="00F06A97" w:rsidRDefault="002A283B" w:rsidP="002A283B">
      <w:pPr>
        <w:spacing w:after="0"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pict w14:anchorId="1226D6E7">
          <v:rect id="_x0000_i1032" style="width:0;height:1.5pt" o:hralign="center" o:hrstd="t" o:hr="t" fillcolor="#a0a0a0" stroked="f"/>
        </w:pict>
      </w:r>
    </w:p>
    <w:p w14:paraId="27BBC5D0" w14:textId="77777777" w:rsidR="002A283B" w:rsidRPr="00F06A97" w:rsidRDefault="002A283B" w:rsidP="002A283B">
      <w:pPr>
        <w:spacing w:before="100" w:beforeAutospacing="1" w:after="100" w:afterAutospacing="1" w:line="240" w:lineRule="auto"/>
        <w:outlineLvl w:val="0"/>
        <w:rPr>
          <w:rFonts w:eastAsia="Times New Roman" w:cs="Times New Roman"/>
          <w:b/>
          <w:bCs/>
          <w:kern w:val="36"/>
          <w:sz w:val="48"/>
          <w:szCs w:val="48"/>
          <w:lang w:eastAsia="en-GB"/>
          <w14:ligatures w14:val="none"/>
        </w:rPr>
      </w:pPr>
      <w:r w:rsidRPr="00F06A97">
        <w:rPr>
          <w:rFonts w:eastAsia="Times New Roman" w:cs="Times New Roman"/>
          <w:b/>
          <w:bCs/>
          <w:kern w:val="36"/>
          <w:sz w:val="48"/>
          <w:szCs w:val="48"/>
          <w:lang w:eastAsia="en-GB"/>
          <w14:ligatures w14:val="none"/>
        </w:rPr>
        <w:lastRenderedPageBreak/>
        <w:t>References (Oxford style – peer-reviewed &amp; seminal)</w:t>
      </w:r>
    </w:p>
    <w:p w14:paraId="69A0791A"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Bandura, A. (1997). </w:t>
      </w:r>
      <w:r w:rsidRPr="00F06A97">
        <w:rPr>
          <w:rFonts w:eastAsia="Times New Roman" w:cs="Times New Roman"/>
          <w:i/>
          <w:iCs/>
          <w:kern w:val="0"/>
          <w:lang w:eastAsia="en-GB"/>
          <w14:ligatures w14:val="none"/>
        </w:rPr>
        <w:t>Self-efficacy: The exercise of control</w:t>
      </w:r>
      <w:r w:rsidRPr="00F06A97">
        <w:rPr>
          <w:rFonts w:eastAsia="Times New Roman" w:cs="Times New Roman"/>
          <w:kern w:val="0"/>
          <w:lang w:eastAsia="en-GB"/>
          <w14:ligatures w14:val="none"/>
        </w:rPr>
        <w:t>. New York: W. H. Freeman.</w:t>
      </w:r>
    </w:p>
    <w:p w14:paraId="4C52D1A8"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Braun, V. and Clarke, V. (2006). Using thematic analysis in psychology. </w:t>
      </w:r>
      <w:r w:rsidRPr="00F06A97">
        <w:rPr>
          <w:rFonts w:eastAsia="Times New Roman" w:cs="Times New Roman"/>
          <w:i/>
          <w:iCs/>
          <w:kern w:val="0"/>
          <w:lang w:eastAsia="en-GB"/>
          <w14:ligatures w14:val="none"/>
        </w:rPr>
        <w:t>Qualitative Research in Psychology</w:t>
      </w:r>
      <w:r w:rsidRPr="00F06A97">
        <w:rPr>
          <w:rFonts w:eastAsia="Times New Roman" w:cs="Times New Roman"/>
          <w:kern w:val="0"/>
          <w:lang w:eastAsia="en-GB"/>
          <w14:ligatures w14:val="none"/>
        </w:rPr>
        <w:t>, 3(2), 77–101.</w:t>
      </w:r>
    </w:p>
    <w:p w14:paraId="2041F37F"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Feltz, D. L., Short, S. E. and Sullivan, P. J. (2008). </w:t>
      </w:r>
      <w:r w:rsidRPr="00F06A97">
        <w:rPr>
          <w:rFonts w:eastAsia="Times New Roman" w:cs="Times New Roman"/>
          <w:i/>
          <w:iCs/>
          <w:kern w:val="0"/>
          <w:lang w:eastAsia="en-GB"/>
          <w14:ligatures w14:val="none"/>
        </w:rPr>
        <w:t>Self-efficacy in sport</w:t>
      </w:r>
      <w:r w:rsidRPr="00F06A97">
        <w:rPr>
          <w:rFonts w:eastAsia="Times New Roman" w:cs="Times New Roman"/>
          <w:kern w:val="0"/>
          <w:lang w:eastAsia="en-GB"/>
          <w14:ligatures w14:val="none"/>
        </w:rPr>
        <w:t>. Champaign, IL: Human Kinetics.</w:t>
      </w:r>
    </w:p>
    <w:p w14:paraId="1D272455"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Gucciardi, D. F. (2010). Mental toughness in sport: Developments in theory and research. </w:t>
      </w:r>
      <w:r w:rsidRPr="00F06A97">
        <w:rPr>
          <w:rFonts w:eastAsia="Times New Roman" w:cs="Times New Roman"/>
          <w:i/>
          <w:iCs/>
          <w:kern w:val="0"/>
          <w:lang w:eastAsia="en-GB"/>
          <w14:ligatures w14:val="none"/>
        </w:rPr>
        <w:t>Journal of Sports Sciences</w:t>
      </w:r>
      <w:r w:rsidRPr="00F06A97">
        <w:rPr>
          <w:rFonts w:eastAsia="Times New Roman" w:cs="Times New Roman"/>
          <w:kern w:val="0"/>
          <w:lang w:eastAsia="en-GB"/>
          <w14:ligatures w14:val="none"/>
        </w:rPr>
        <w:t>, 28(6), 645–653.</w:t>
      </w:r>
    </w:p>
    <w:p w14:paraId="01A99884"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Hays, K., Thomas, O., Maynard, I. and Bawden, M. (2007). The role of confidence in elite sport. </w:t>
      </w:r>
      <w:r w:rsidRPr="00F06A97">
        <w:rPr>
          <w:rFonts w:eastAsia="Times New Roman" w:cs="Times New Roman"/>
          <w:i/>
          <w:iCs/>
          <w:kern w:val="0"/>
          <w:lang w:eastAsia="en-GB"/>
          <w14:ligatures w14:val="none"/>
        </w:rPr>
        <w:t>Journal of Applied Sport Psychology</w:t>
      </w:r>
      <w:r w:rsidRPr="00F06A97">
        <w:rPr>
          <w:rFonts w:eastAsia="Times New Roman" w:cs="Times New Roman"/>
          <w:kern w:val="0"/>
          <w:lang w:eastAsia="en-GB"/>
          <w14:ligatures w14:val="none"/>
        </w:rPr>
        <w:t>, 19(4), 434–456.</w:t>
      </w:r>
    </w:p>
    <w:p w14:paraId="624CA5F1"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Hays, K., Maynard, I., Thomas, O. and Bawden, M. (2009). Sources and types of confidence in elite athletes. </w:t>
      </w:r>
      <w:r w:rsidRPr="00F06A97">
        <w:rPr>
          <w:rFonts w:eastAsia="Times New Roman" w:cs="Times New Roman"/>
          <w:i/>
          <w:iCs/>
          <w:kern w:val="0"/>
          <w:lang w:eastAsia="en-GB"/>
          <w14:ligatures w14:val="none"/>
        </w:rPr>
        <w:t>Psychology of Sport and Exercise</w:t>
      </w:r>
      <w:r w:rsidRPr="00F06A97">
        <w:rPr>
          <w:rFonts w:eastAsia="Times New Roman" w:cs="Times New Roman"/>
          <w:kern w:val="0"/>
          <w:lang w:eastAsia="en-GB"/>
          <w14:ligatures w14:val="none"/>
        </w:rPr>
        <w:t>, 10(1), 1–9.</w:t>
      </w:r>
    </w:p>
    <w:p w14:paraId="3186EBEA"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Nicholls, A. R., Polman, R. and Levy, A. R. (2009). Stress appraisal in sport performers. </w:t>
      </w:r>
      <w:r w:rsidRPr="00F06A97">
        <w:rPr>
          <w:rFonts w:eastAsia="Times New Roman" w:cs="Times New Roman"/>
          <w:i/>
          <w:iCs/>
          <w:kern w:val="0"/>
          <w:lang w:eastAsia="en-GB"/>
          <w14:ligatures w14:val="none"/>
        </w:rPr>
        <w:t>Sport, Exercise, and Performance Psychology</w:t>
      </w:r>
      <w:r w:rsidRPr="00F06A97">
        <w:rPr>
          <w:rFonts w:eastAsia="Times New Roman" w:cs="Times New Roman"/>
          <w:kern w:val="0"/>
          <w:lang w:eastAsia="en-GB"/>
          <w14:ligatures w14:val="none"/>
        </w:rPr>
        <w:t>, 1(2), 78–89.</w:t>
      </w:r>
    </w:p>
    <w:p w14:paraId="20153B63"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Podlog, L. and Eklund, R. C. (2007). Professional coaches’ perspectives on return to sport following serious injury. </w:t>
      </w:r>
      <w:r w:rsidRPr="00F06A97">
        <w:rPr>
          <w:rFonts w:eastAsia="Times New Roman" w:cs="Times New Roman"/>
          <w:i/>
          <w:iCs/>
          <w:kern w:val="0"/>
          <w:lang w:eastAsia="en-GB"/>
          <w14:ligatures w14:val="none"/>
        </w:rPr>
        <w:t>Journal of Applied Sport Psychology</w:t>
      </w:r>
      <w:r w:rsidRPr="00F06A97">
        <w:rPr>
          <w:rFonts w:eastAsia="Times New Roman" w:cs="Times New Roman"/>
          <w:kern w:val="0"/>
          <w:lang w:eastAsia="en-GB"/>
          <w14:ligatures w14:val="none"/>
        </w:rPr>
        <w:t>, 19(2), 207–225.</w:t>
      </w:r>
    </w:p>
    <w:p w14:paraId="69941476"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Vealey, R. S. (1986). Conceptualization of sport confidence. </w:t>
      </w:r>
      <w:r w:rsidRPr="00F06A97">
        <w:rPr>
          <w:rFonts w:eastAsia="Times New Roman" w:cs="Times New Roman"/>
          <w:i/>
          <w:iCs/>
          <w:kern w:val="0"/>
          <w:lang w:eastAsia="en-GB"/>
          <w14:ligatures w14:val="none"/>
        </w:rPr>
        <w:t>Journal of Sport Psychology</w:t>
      </w:r>
      <w:r w:rsidRPr="00F06A97">
        <w:rPr>
          <w:rFonts w:eastAsia="Times New Roman" w:cs="Times New Roman"/>
          <w:kern w:val="0"/>
          <w:lang w:eastAsia="en-GB"/>
          <w14:ligatures w14:val="none"/>
        </w:rPr>
        <w:t>, 8(3), 221–246.</w:t>
      </w:r>
    </w:p>
    <w:p w14:paraId="70E1E85A"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Vealey, R. S. (2001). Understanding and enhancing sport confidence. In: Singer, R. N., Hausenblas, H. A. and Janelle, C. M. (eds.), </w:t>
      </w:r>
      <w:r w:rsidRPr="00F06A97">
        <w:rPr>
          <w:rFonts w:eastAsia="Times New Roman" w:cs="Times New Roman"/>
          <w:i/>
          <w:iCs/>
          <w:kern w:val="0"/>
          <w:lang w:eastAsia="en-GB"/>
          <w14:ligatures w14:val="none"/>
        </w:rPr>
        <w:t>Handbook of Sport Psychology</w:t>
      </w:r>
      <w:r w:rsidRPr="00F06A97">
        <w:rPr>
          <w:rFonts w:eastAsia="Times New Roman" w:cs="Times New Roman"/>
          <w:kern w:val="0"/>
          <w:lang w:eastAsia="en-GB"/>
          <w14:ligatures w14:val="none"/>
        </w:rPr>
        <w:t xml:space="preserve"> (2nd ed.). New York: Wiley, pp. 550–565.</w:t>
      </w:r>
    </w:p>
    <w:p w14:paraId="259BBDB5" w14:textId="77777777" w:rsidR="002A283B" w:rsidRPr="00F06A97" w:rsidRDefault="002A283B" w:rsidP="002A283B">
      <w:pPr>
        <w:spacing w:before="100" w:beforeAutospacing="1" w:after="100" w:afterAutospacing="1" w:line="240" w:lineRule="auto"/>
        <w:rPr>
          <w:rFonts w:eastAsia="Times New Roman" w:cs="Times New Roman"/>
          <w:kern w:val="0"/>
          <w:lang w:eastAsia="en-GB"/>
          <w14:ligatures w14:val="none"/>
        </w:rPr>
      </w:pPr>
      <w:r w:rsidRPr="00F06A97">
        <w:rPr>
          <w:rFonts w:eastAsia="Times New Roman" w:cs="Times New Roman"/>
          <w:kern w:val="0"/>
          <w:lang w:eastAsia="en-GB"/>
          <w14:ligatures w14:val="none"/>
        </w:rPr>
        <w:t xml:space="preserve">Wiese-Bjornstal, D. M., Smith, A. M. and Shaffer, S. M. (1998). An integrated model of response to sport injury. </w:t>
      </w:r>
      <w:r w:rsidRPr="00F06A97">
        <w:rPr>
          <w:rFonts w:eastAsia="Times New Roman" w:cs="Times New Roman"/>
          <w:i/>
          <w:iCs/>
          <w:kern w:val="0"/>
          <w:lang w:eastAsia="en-GB"/>
          <w14:ligatures w14:val="none"/>
        </w:rPr>
        <w:t>Journal of Applied Sport Psychology</w:t>
      </w:r>
      <w:r w:rsidRPr="00F06A97">
        <w:rPr>
          <w:rFonts w:eastAsia="Times New Roman" w:cs="Times New Roman"/>
          <w:kern w:val="0"/>
          <w:lang w:eastAsia="en-GB"/>
          <w14:ligatures w14:val="none"/>
        </w:rPr>
        <w:t>, 10(1), 46–69.</w:t>
      </w:r>
    </w:p>
    <w:p w14:paraId="56F9FE18" w14:textId="7B624692" w:rsidR="00DD764F" w:rsidRPr="00F06A97" w:rsidRDefault="00DD764F" w:rsidP="00ED37B9"/>
    <w:sectPr w:rsidR="00DD764F" w:rsidRPr="00F06A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25424" w14:textId="77777777" w:rsidR="005E602E" w:rsidRDefault="005E602E" w:rsidP="00F06A97">
      <w:pPr>
        <w:spacing w:after="0" w:line="240" w:lineRule="auto"/>
      </w:pPr>
      <w:r>
        <w:separator/>
      </w:r>
    </w:p>
  </w:endnote>
  <w:endnote w:type="continuationSeparator" w:id="0">
    <w:p w14:paraId="7478959B" w14:textId="77777777" w:rsidR="005E602E" w:rsidRDefault="005E602E" w:rsidP="00F06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45515" w14:textId="77777777" w:rsidR="005E602E" w:rsidRDefault="005E602E" w:rsidP="00F06A97">
      <w:pPr>
        <w:spacing w:after="0" w:line="240" w:lineRule="auto"/>
      </w:pPr>
      <w:r>
        <w:separator/>
      </w:r>
    </w:p>
  </w:footnote>
  <w:footnote w:type="continuationSeparator" w:id="0">
    <w:p w14:paraId="7A4D8534" w14:textId="77777777" w:rsidR="005E602E" w:rsidRDefault="005E602E" w:rsidP="00F06A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D4C9D" w14:textId="00E2BB2C" w:rsidR="00F06A97" w:rsidRDefault="00F06A97">
    <w:pPr>
      <w:pStyle w:val="Header"/>
    </w:pPr>
    <w:r w:rsidRPr="002A283B">
      <w:rPr>
        <w:rFonts w:ascii="Times New Roman" w:eastAsia="Times New Roman" w:hAnsi="Times New Roman" w:cs="Times New Roman"/>
        <w:b/>
        <w:bCs/>
        <w:kern w:val="0"/>
        <w:lang w:eastAsia="en-GB"/>
        <w14:ligatures w14:val="none"/>
      </w:rPr>
      <w:t>Student name:</w:t>
    </w:r>
    <w:r w:rsidRPr="002A283B">
      <w:rPr>
        <w:rFonts w:ascii="Times New Roman" w:eastAsia="Times New Roman" w:hAnsi="Times New Roman" w:cs="Times New Roman"/>
        <w:kern w:val="0"/>
        <w:lang w:eastAsia="en-GB"/>
        <w14:ligatures w14:val="none"/>
      </w:rPr>
      <w:t xml:space="preserve"> Zachary Ashburner</w:t>
    </w:r>
    <w:r w:rsidRPr="002A283B">
      <w:rPr>
        <w:rFonts w:ascii="Times New Roman" w:eastAsia="Times New Roman" w:hAnsi="Times New Roman" w:cs="Times New Roman"/>
        <w:kern w:val="0"/>
        <w:lang w:eastAsia="en-GB"/>
        <w14:ligatures w14:val="none"/>
      </w:rPr>
      <w:br/>
    </w:r>
    <w:r w:rsidRPr="002A283B">
      <w:rPr>
        <w:rFonts w:ascii="Times New Roman" w:eastAsia="Times New Roman" w:hAnsi="Times New Roman" w:cs="Times New Roman"/>
        <w:b/>
        <w:bCs/>
        <w:kern w:val="0"/>
        <w:lang w:eastAsia="en-GB"/>
        <w14:ligatures w14:val="none"/>
      </w:rPr>
      <w:t>Student ID:</w:t>
    </w:r>
    <w:r w:rsidRPr="002A283B">
      <w:rPr>
        <w:rFonts w:ascii="Times New Roman" w:eastAsia="Times New Roman" w:hAnsi="Times New Roman" w:cs="Times New Roman"/>
        <w:kern w:val="0"/>
        <w:lang w:eastAsia="en-GB"/>
        <w14:ligatures w14:val="none"/>
      </w:rPr>
      <w:t xml:space="preserve"> 2407497</w:t>
    </w:r>
    <w:r w:rsidRPr="002A283B">
      <w:rPr>
        <w:rFonts w:ascii="Times New Roman" w:eastAsia="Times New Roman" w:hAnsi="Times New Roman" w:cs="Times New Roman"/>
        <w:kern w:val="0"/>
        <w:lang w:eastAsia="en-GB"/>
        <w14:ligatures w14:val="none"/>
      </w:rPr>
      <w:br/>
    </w:r>
    <w:r w:rsidRPr="002A283B">
      <w:rPr>
        <w:rFonts w:ascii="Times New Roman" w:eastAsia="Times New Roman" w:hAnsi="Times New Roman" w:cs="Times New Roman"/>
        <w:b/>
        <w:bCs/>
        <w:kern w:val="0"/>
        <w:lang w:eastAsia="en-GB"/>
        <w14:ligatures w14:val="none"/>
      </w:rPr>
      <w:t>Programme:</w:t>
    </w:r>
    <w:r w:rsidRPr="002A283B">
      <w:rPr>
        <w:rFonts w:ascii="Times New Roman" w:eastAsia="Times New Roman" w:hAnsi="Times New Roman" w:cs="Times New Roman"/>
        <w:kern w:val="0"/>
        <w:lang w:eastAsia="en-GB"/>
        <w14:ligatures w14:val="none"/>
      </w:rPr>
      <w:t xml:space="preserve"> BSc Sport and Exercise Science</w:t>
    </w:r>
    <w:r w:rsidRPr="002A283B">
      <w:rPr>
        <w:rFonts w:ascii="Times New Roman" w:eastAsia="Times New Roman" w:hAnsi="Times New Roman" w:cs="Times New Roman"/>
        <w:kern w:val="0"/>
        <w:lang w:eastAsia="en-GB"/>
        <w14:ligatures w14:val="none"/>
      </w:rPr>
      <w:br/>
    </w:r>
    <w:r w:rsidRPr="002A283B">
      <w:rPr>
        <w:rFonts w:ascii="Times New Roman" w:eastAsia="Times New Roman" w:hAnsi="Times New Roman" w:cs="Times New Roman"/>
        <w:b/>
        <w:bCs/>
        <w:kern w:val="0"/>
        <w:lang w:eastAsia="en-GB"/>
        <w14:ligatures w14:val="none"/>
      </w:rPr>
      <w:t>Module:</w:t>
    </w:r>
    <w:r w:rsidRPr="002A283B">
      <w:rPr>
        <w:rFonts w:ascii="Times New Roman" w:eastAsia="Times New Roman" w:hAnsi="Times New Roman" w:cs="Times New Roman"/>
        <w:kern w:val="0"/>
        <w:lang w:eastAsia="en-GB"/>
        <w14:ligatures w14:val="none"/>
      </w:rPr>
      <w:t xml:space="preserve"> Sport and Exercise Psychology</w:t>
    </w:r>
    <w:r w:rsidRPr="002A283B">
      <w:rPr>
        <w:rFonts w:ascii="Times New Roman" w:eastAsia="Times New Roman" w:hAnsi="Times New Roman" w:cs="Times New Roman"/>
        <w:kern w:val="0"/>
        <w:lang w:eastAsia="en-GB"/>
        <w14:ligatures w14:val="none"/>
      </w:rPr>
      <w:br/>
    </w:r>
    <w:r w:rsidRPr="002A283B">
      <w:rPr>
        <w:rFonts w:ascii="Times New Roman" w:eastAsia="Times New Roman" w:hAnsi="Times New Roman" w:cs="Times New Roman"/>
        <w:b/>
        <w:bCs/>
        <w:kern w:val="0"/>
        <w:lang w:eastAsia="en-GB"/>
        <w14:ligatures w14:val="none"/>
      </w:rPr>
      <w:t>Module code:</w:t>
    </w:r>
    <w:r w:rsidRPr="002A283B">
      <w:rPr>
        <w:rFonts w:ascii="Times New Roman" w:eastAsia="Times New Roman" w:hAnsi="Times New Roman" w:cs="Times New Roman"/>
        <w:kern w:val="0"/>
        <w:lang w:eastAsia="en-GB"/>
        <w14:ligatures w14:val="none"/>
      </w:rPr>
      <w:t xml:space="preserve"> BMSS5004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7B9"/>
    <w:rsid w:val="000E281B"/>
    <w:rsid w:val="0012013E"/>
    <w:rsid w:val="001908B4"/>
    <w:rsid w:val="00195E56"/>
    <w:rsid w:val="00210258"/>
    <w:rsid w:val="002A283B"/>
    <w:rsid w:val="005B498E"/>
    <w:rsid w:val="005E602E"/>
    <w:rsid w:val="00692FBF"/>
    <w:rsid w:val="00707882"/>
    <w:rsid w:val="00734302"/>
    <w:rsid w:val="0076619D"/>
    <w:rsid w:val="007D1ECE"/>
    <w:rsid w:val="007E0F10"/>
    <w:rsid w:val="008036A3"/>
    <w:rsid w:val="008327BF"/>
    <w:rsid w:val="00881277"/>
    <w:rsid w:val="00A04478"/>
    <w:rsid w:val="00B413F2"/>
    <w:rsid w:val="00C637D0"/>
    <w:rsid w:val="00DD764F"/>
    <w:rsid w:val="00ED37B9"/>
    <w:rsid w:val="00F06A97"/>
    <w:rsid w:val="00F8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EF2E3"/>
  <w15:chartTrackingRefBased/>
  <w15:docId w15:val="{826FB9F4-295B-45E7-B3BC-36BDDDA11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7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7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7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7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7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7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7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7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7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7B9"/>
    <w:rPr>
      <w:rFonts w:eastAsiaTheme="majorEastAsia" w:cstheme="majorBidi"/>
      <w:color w:val="272727" w:themeColor="text1" w:themeTint="D8"/>
    </w:rPr>
  </w:style>
  <w:style w:type="paragraph" w:styleId="Title">
    <w:name w:val="Title"/>
    <w:basedOn w:val="Normal"/>
    <w:next w:val="Normal"/>
    <w:link w:val="TitleChar"/>
    <w:uiPriority w:val="10"/>
    <w:qFormat/>
    <w:rsid w:val="00ED3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7B9"/>
    <w:pPr>
      <w:spacing w:before="160"/>
      <w:jc w:val="center"/>
    </w:pPr>
    <w:rPr>
      <w:i/>
      <w:iCs/>
      <w:color w:val="404040" w:themeColor="text1" w:themeTint="BF"/>
    </w:rPr>
  </w:style>
  <w:style w:type="character" w:customStyle="1" w:styleId="QuoteChar">
    <w:name w:val="Quote Char"/>
    <w:basedOn w:val="DefaultParagraphFont"/>
    <w:link w:val="Quote"/>
    <w:uiPriority w:val="29"/>
    <w:rsid w:val="00ED37B9"/>
    <w:rPr>
      <w:i/>
      <w:iCs/>
      <w:color w:val="404040" w:themeColor="text1" w:themeTint="BF"/>
    </w:rPr>
  </w:style>
  <w:style w:type="paragraph" w:styleId="ListParagraph">
    <w:name w:val="List Paragraph"/>
    <w:basedOn w:val="Normal"/>
    <w:uiPriority w:val="34"/>
    <w:qFormat/>
    <w:rsid w:val="00ED37B9"/>
    <w:pPr>
      <w:ind w:left="720"/>
      <w:contextualSpacing/>
    </w:pPr>
  </w:style>
  <w:style w:type="character" w:styleId="IntenseEmphasis">
    <w:name w:val="Intense Emphasis"/>
    <w:basedOn w:val="DefaultParagraphFont"/>
    <w:uiPriority w:val="21"/>
    <w:qFormat/>
    <w:rsid w:val="00ED37B9"/>
    <w:rPr>
      <w:i/>
      <w:iCs/>
      <w:color w:val="0F4761" w:themeColor="accent1" w:themeShade="BF"/>
    </w:rPr>
  </w:style>
  <w:style w:type="paragraph" w:styleId="IntenseQuote">
    <w:name w:val="Intense Quote"/>
    <w:basedOn w:val="Normal"/>
    <w:next w:val="Normal"/>
    <w:link w:val="IntenseQuoteChar"/>
    <w:uiPriority w:val="30"/>
    <w:qFormat/>
    <w:rsid w:val="00ED37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7B9"/>
    <w:rPr>
      <w:i/>
      <w:iCs/>
      <w:color w:val="0F4761" w:themeColor="accent1" w:themeShade="BF"/>
    </w:rPr>
  </w:style>
  <w:style w:type="character" w:styleId="IntenseReference">
    <w:name w:val="Intense Reference"/>
    <w:basedOn w:val="DefaultParagraphFont"/>
    <w:uiPriority w:val="32"/>
    <w:qFormat/>
    <w:rsid w:val="00ED37B9"/>
    <w:rPr>
      <w:b/>
      <w:bCs/>
      <w:smallCaps/>
      <w:color w:val="0F4761" w:themeColor="accent1" w:themeShade="BF"/>
      <w:spacing w:val="5"/>
    </w:rPr>
  </w:style>
  <w:style w:type="paragraph" w:styleId="Header">
    <w:name w:val="header"/>
    <w:basedOn w:val="Normal"/>
    <w:link w:val="HeaderChar"/>
    <w:uiPriority w:val="99"/>
    <w:unhideWhenUsed/>
    <w:rsid w:val="00F06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A97"/>
  </w:style>
  <w:style w:type="paragraph" w:styleId="Footer">
    <w:name w:val="footer"/>
    <w:basedOn w:val="Normal"/>
    <w:link w:val="FooterChar"/>
    <w:uiPriority w:val="99"/>
    <w:unhideWhenUsed/>
    <w:rsid w:val="00F06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A97"/>
  </w:style>
  <w:style w:type="character" w:styleId="Hyperlink">
    <w:name w:val="Hyperlink"/>
    <w:basedOn w:val="DefaultParagraphFont"/>
    <w:uiPriority w:val="99"/>
    <w:unhideWhenUsed/>
    <w:rsid w:val="00195E5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rammarly.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atgpt.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186</TotalTime>
  <Pages>9</Pages>
  <Words>2757</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16</cp:revision>
  <dcterms:created xsi:type="dcterms:W3CDTF">2026-01-16T13:01:00Z</dcterms:created>
  <dcterms:modified xsi:type="dcterms:W3CDTF">2026-01-23T13:38:00Z</dcterms:modified>
</cp:coreProperties>
</file>