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352E7" w14:textId="4637A2E0" w:rsidR="00437604" w:rsidRDefault="00437604" w:rsidP="00280B6E">
      <w:pPr>
        <w:pStyle w:val="Heading1"/>
        <w:rPr>
          <w:b/>
          <w:bCs/>
          <w:sz w:val="36"/>
          <w:szCs w:val="36"/>
        </w:rPr>
      </w:pPr>
      <w:bookmarkStart w:id="0" w:name="_Toc231355717"/>
      <w:r>
        <w:rPr>
          <w:noProof/>
        </w:rPr>
        <w:drawing>
          <wp:anchor distT="0" distB="0" distL="114300" distR="114300" simplePos="0" relativeHeight="251659264" behindDoc="1" locked="0" layoutInCell="1" allowOverlap="1" wp14:anchorId="5F704C1B" wp14:editId="2E51A109">
            <wp:simplePos x="0" y="0"/>
            <wp:positionH relativeFrom="margin">
              <wp:align>center</wp:align>
            </wp:positionH>
            <wp:positionV relativeFrom="paragraph">
              <wp:posOffset>0</wp:posOffset>
            </wp:positionV>
            <wp:extent cx="2382520" cy="836295"/>
            <wp:effectExtent l="0" t="0" r="0" b="1905"/>
            <wp:wrapTight wrapText="bothSides">
              <wp:wrapPolygon edited="0">
                <wp:start x="0" y="0"/>
                <wp:lineTo x="0" y="21157"/>
                <wp:lineTo x="21416" y="21157"/>
                <wp:lineTo x="21416" y="0"/>
                <wp:lineTo x="0" y="0"/>
              </wp:wrapPolygon>
            </wp:wrapTight>
            <wp:docPr id="1323700276" name="Picture 1"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82520" cy="83629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4B1748EE" w14:textId="77777777" w:rsidR="00437604" w:rsidRDefault="00437604" w:rsidP="00437604"/>
    <w:p w14:paraId="0C7ADAC0" w14:textId="77777777" w:rsidR="00437604" w:rsidRDefault="00437604" w:rsidP="00437604"/>
    <w:p w14:paraId="2C70342D" w14:textId="77777777" w:rsidR="00437604" w:rsidRPr="00437604" w:rsidRDefault="00437604" w:rsidP="00437604">
      <w:pPr>
        <w:spacing w:after="0"/>
        <w:jc w:val="center"/>
        <w:rPr>
          <w:sz w:val="28"/>
          <w:szCs w:val="28"/>
        </w:rPr>
      </w:pPr>
      <w:r w:rsidRPr="00437604">
        <w:rPr>
          <w:b/>
          <w:bCs/>
          <w:sz w:val="28"/>
          <w:szCs w:val="28"/>
        </w:rPr>
        <w:t>BMMB7027 / BMMB7027D</w:t>
      </w:r>
    </w:p>
    <w:p w14:paraId="678E75F7" w14:textId="77777777" w:rsidR="00437604" w:rsidRPr="00437604" w:rsidRDefault="00437604" w:rsidP="00437604">
      <w:pPr>
        <w:spacing w:after="0"/>
        <w:jc w:val="center"/>
        <w:rPr>
          <w:sz w:val="28"/>
          <w:szCs w:val="28"/>
        </w:rPr>
      </w:pPr>
      <w:r w:rsidRPr="00437604">
        <w:rPr>
          <w:sz w:val="28"/>
          <w:szCs w:val="28"/>
        </w:rPr>
        <w:t>Strategic and Agile Business Management</w:t>
      </w:r>
    </w:p>
    <w:p w14:paraId="5F5079D8" w14:textId="77777777" w:rsidR="00437604" w:rsidRPr="00437604" w:rsidRDefault="00437604" w:rsidP="00437604">
      <w:pPr>
        <w:jc w:val="center"/>
      </w:pPr>
    </w:p>
    <w:p w14:paraId="3DB84A70" w14:textId="18C6632F" w:rsidR="00437604" w:rsidRPr="00437604" w:rsidRDefault="00437604" w:rsidP="00437604">
      <w:pPr>
        <w:spacing w:after="0"/>
        <w:jc w:val="center"/>
      </w:pPr>
      <w:r w:rsidRPr="00437604">
        <w:rPr>
          <w:b/>
          <w:bCs/>
          <w:sz w:val="32"/>
          <w:szCs w:val="32"/>
        </w:rPr>
        <w:t>Assignment</w:t>
      </w:r>
    </w:p>
    <w:p w14:paraId="7F58A83E" w14:textId="0A267838" w:rsidR="00437604" w:rsidRPr="00437604" w:rsidRDefault="00437604" w:rsidP="00437604">
      <w:pPr>
        <w:spacing w:after="0"/>
        <w:jc w:val="center"/>
      </w:pPr>
      <w:r w:rsidRPr="00437604">
        <w:t>On</w:t>
      </w:r>
    </w:p>
    <w:p w14:paraId="36CD27B5" w14:textId="4DA9AB0D" w:rsidR="00437604" w:rsidRPr="00437604" w:rsidRDefault="00437604" w:rsidP="00437604">
      <w:pPr>
        <w:spacing w:after="0"/>
        <w:jc w:val="center"/>
        <w:rPr>
          <w:sz w:val="40"/>
          <w:szCs w:val="40"/>
        </w:rPr>
      </w:pPr>
      <w:r w:rsidRPr="00437604">
        <w:rPr>
          <w:b/>
          <w:bCs/>
          <w:sz w:val="40"/>
          <w:szCs w:val="40"/>
        </w:rPr>
        <w:t>AI-Powered Customer Experience:</w:t>
      </w:r>
      <w:r w:rsidR="00184C1D">
        <w:rPr>
          <w:b/>
          <w:bCs/>
          <w:sz w:val="40"/>
          <w:szCs w:val="40"/>
        </w:rPr>
        <w:t xml:space="preserve"> </w:t>
      </w:r>
      <w:r w:rsidRPr="00437604">
        <w:rPr>
          <w:b/>
          <w:bCs/>
          <w:sz w:val="40"/>
          <w:szCs w:val="40"/>
        </w:rPr>
        <w:t>Strategic Agility or Reputational Risk?</w:t>
      </w:r>
    </w:p>
    <w:p w14:paraId="77792E41" w14:textId="77777777" w:rsidR="00437604" w:rsidRPr="00184C1D" w:rsidRDefault="00437604" w:rsidP="00437604">
      <w:pPr>
        <w:spacing w:after="0"/>
        <w:jc w:val="center"/>
        <w:rPr>
          <w:sz w:val="36"/>
          <w:szCs w:val="36"/>
        </w:rPr>
      </w:pPr>
      <w:r w:rsidRPr="00184C1D">
        <w:rPr>
          <w:i/>
          <w:iCs/>
          <w:sz w:val="36"/>
          <w:szCs w:val="36"/>
        </w:rPr>
        <w:t xml:space="preserve">A Strategic Analysis of </w:t>
      </w:r>
      <w:r w:rsidRPr="00184C1D">
        <w:rPr>
          <w:b/>
          <w:bCs/>
          <w:i/>
          <w:iCs/>
          <w:sz w:val="36"/>
          <w:szCs w:val="36"/>
        </w:rPr>
        <w:t>Marks &amp; Spencer</w:t>
      </w:r>
    </w:p>
    <w:p w14:paraId="7EF07C34" w14:textId="77777777" w:rsidR="00437604" w:rsidRPr="00437604" w:rsidRDefault="00437604" w:rsidP="00437604">
      <w:pPr>
        <w:jc w:val="center"/>
      </w:pPr>
    </w:p>
    <w:p w14:paraId="403CD3E0" w14:textId="77777777" w:rsidR="00437604" w:rsidRDefault="00437604" w:rsidP="00437604">
      <w:pPr>
        <w:spacing w:after="0"/>
        <w:jc w:val="center"/>
        <w:rPr>
          <w:b/>
          <w:bCs/>
          <w:sz w:val="32"/>
          <w:szCs w:val="32"/>
        </w:rPr>
      </w:pPr>
    </w:p>
    <w:p w14:paraId="0129AC02" w14:textId="09CAB2DF" w:rsidR="00437604" w:rsidRPr="009A55C4" w:rsidRDefault="00437604" w:rsidP="00437604">
      <w:pPr>
        <w:spacing w:after="0"/>
        <w:jc w:val="center"/>
        <w:rPr>
          <w:b/>
          <w:bCs/>
          <w:sz w:val="32"/>
          <w:szCs w:val="32"/>
        </w:rPr>
      </w:pPr>
      <w:r w:rsidRPr="009A55C4">
        <w:rPr>
          <w:b/>
          <w:bCs/>
          <w:sz w:val="32"/>
          <w:szCs w:val="32"/>
        </w:rPr>
        <w:t>SUBMITTED TO</w:t>
      </w:r>
    </w:p>
    <w:p w14:paraId="5F1D4695" w14:textId="56DD6ECF" w:rsidR="00437604" w:rsidRDefault="00437604" w:rsidP="00437604">
      <w:pPr>
        <w:spacing w:after="0"/>
        <w:jc w:val="center"/>
        <w:rPr>
          <w:b/>
          <w:bCs/>
          <w:sz w:val="32"/>
          <w:szCs w:val="32"/>
        </w:rPr>
      </w:pPr>
      <w:r w:rsidRPr="00437604">
        <w:rPr>
          <w:b/>
          <w:bCs/>
          <w:sz w:val="32"/>
          <w:szCs w:val="32"/>
        </w:rPr>
        <w:t>Daniela Hellyer</w:t>
      </w:r>
    </w:p>
    <w:p w14:paraId="316D4D81" w14:textId="77777777" w:rsidR="00437604" w:rsidRDefault="00437604" w:rsidP="00437604">
      <w:pPr>
        <w:spacing w:after="0"/>
        <w:jc w:val="center"/>
        <w:rPr>
          <w:sz w:val="32"/>
          <w:szCs w:val="32"/>
        </w:rPr>
      </w:pPr>
      <w:r>
        <w:rPr>
          <w:sz w:val="32"/>
          <w:szCs w:val="32"/>
        </w:rPr>
        <w:t>Lecturer</w:t>
      </w:r>
    </w:p>
    <w:p w14:paraId="3ED5495E" w14:textId="78E983AC" w:rsidR="00437604" w:rsidRPr="00010449" w:rsidRDefault="00437604" w:rsidP="00437604">
      <w:pPr>
        <w:spacing w:after="0"/>
        <w:jc w:val="center"/>
        <w:rPr>
          <w:sz w:val="32"/>
          <w:szCs w:val="32"/>
        </w:rPr>
      </w:pPr>
      <w:r w:rsidRPr="009A55C4">
        <w:rPr>
          <w:sz w:val="32"/>
          <w:szCs w:val="32"/>
        </w:rPr>
        <w:t>Department of Business Administration</w:t>
      </w:r>
    </w:p>
    <w:p w14:paraId="3D1E32D3" w14:textId="77777777" w:rsidR="00437604" w:rsidRDefault="00437604" w:rsidP="00437604">
      <w:pPr>
        <w:jc w:val="center"/>
        <w:rPr>
          <w:b/>
          <w:bCs/>
        </w:rPr>
      </w:pPr>
    </w:p>
    <w:p w14:paraId="7D65E462" w14:textId="77777777" w:rsidR="00437604" w:rsidRPr="009A55C4" w:rsidRDefault="00437604" w:rsidP="00437604">
      <w:pPr>
        <w:spacing w:after="0"/>
        <w:jc w:val="center"/>
        <w:rPr>
          <w:b/>
          <w:bCs/>
          <w:sz w:val="32"/>
          <w:szCs w:val="32"/>
        </w:rPr>
      </w:pPr>
      <w:r w:rsidRPr="009A55C4">
        <w:rPr>
          <w:b/>
          <w:bCs/>
          <w:sz w:val="32"/>
          <w:szCs w:val="32"/>
        </w:rPr>
        <w:t>SUBMITTED BY</w:t>
      </w:r>
    </w:p>
    <w:p w14:paraId="6AD9DC30" w14:textId="2419FADD" w:rsidR="00437604" w:rsidRPr="00437604" w:rsidRDefault="00437604" w:rsidP="00437604">
      <w:pPr>
        <w:spacing w:after="0"/>
        <w:jc w:val="center"/>
        <w:rPr>
          <w:b/>
          <w:bCs/>
          <w:sz w:val="32"/>
          <w:szCs w:val="32"/>
        </w:rPr>
      </w:pPr>
      <w:r w:rsidRPr="00437604">
        <w:rPr>
          <w:b/>
          <w:bCs/>
          <w:sz w:val="32"/>
          <w:szCs w:val="32"/>
        </w:rPr>
        <w:t>Jony Ramany</w:t>
      </w:r>
    </w:p>
    <w:p w14:paraId="42E0FCAC" w14:textId="2C94A87C" w:rsidR="00437604" w:rsidRPr="00437604" w:rsidRDefault="00437604" w:rsidP="00437604">
      <w:pPr>
        <w:spacing w:after="0"/>
        <w:jc w:val="center"/>
        <w:rPr>
          <w:sz w:val="32"/>
          <w:szCs w:val="32"/>
        </w:rPr>
      </w:pPr>
      <w:r w:rsidRPr="00437604">
        <w:rPr>
          <w:sz w:val="32"/>
          <w:szCs w:val="32"/>
        </w:rPr>
        <w:t>ID:  2514896</w:t>
      </w:r>
    </w:p>
    <w:p w14:paraId="466E92FA" w14:textId="64E84402" w:rsidR="00437604" w:rsidRPr="00437604" w:rsidRDefault="00437604" w:rsidP="00437604">
      <w:pPr>
        <w:spacing w:after="0"/>
        <w:jc w:val="center"/>
        <w:rPr>
          <w:sz w:val="32"/>
          <w:szCs w:val="32"/>
        </w:rPr>
      </w:pPr>
      <w:r w:rsidRPr="00437604">
        <w:rPr>
          <w:sz w:val="32"/>
          <w:szCs w:val="32"/>
        </w:rPr>
        <w:t>MBA</w:t>
      </w:r>
    </w:p>
    <w:p w14:paraId="562F7B0A" w14:textId="77777777" w:rsidR="00437604" w:rsidRDefault="00437604" w:rsidP="00437604">
      <w:pPr>
        <w:jc w:val="center"/>
        <w:rPr>
          <w:b/>
          <w:bCs/>
        </w:rPr>
      </w:pPr>
    </w:p>
    <w:p w14:paraId="12704FCA" w14:textId="77777777" w:rsidR="00437604" w:rsidRDefault="00437604" w:rsidP="00437604">
      <w:pPr>
        <w:jc w:val="center"/>
        <w:rPr>
          <w:b/>
          <w:bCs/>
        </w:rPr>
      </w:pPr>
    </w:p>
    <w:p w14:paraId="33680293" w14:textId="77777777" w:rsidR="00437604" w:rsidRDefault="00437604" w:rsidP="00437604">
      <w:pPr>
        <w:jc w:val="center"/>
        <w:rPr>
          <w:b/>
          <w:bCs/>
        </w:rPr>
      </w:pPr>
    </w:p>
    <w:p w14:paraId="5206762B" w14:textId="77777777" w:rsidR="00437604" w:rsidRDefault="00437604" w:rsidP="00437604">
      <w:pPr>
        <w:jc w:val="center"/>
        <w:rPr>
          <w:b/>
          <w:bCs/>
        </w:rPr>
      </w:pPr>
    </w:p>
    <w:p w14:paraId="078CC1D9" w14:textId="77777777" w:rsidR="00437604" w:rsidRDefault="00437604" w:rsidP="00437604">
      <w:pPr>
        <w:jc w:val="center"/>
        <w:rPr>
          <w:b/>
          <w:bCs/>
        </w:rPr>
      </w:pPr>
    </w:p>
    <w:p w14:paraId="55ABCAE4" w14:textId="456427A4" w:rsidR="00437604" w:rsidRPr="00437604" w:rsidRDefault="00437604" w:rsidP="00437604">
      <w:pPr>
        <w:jc w:val="center"/>
        <w:rPr>
          <w:b/>
          <w:bCs/>
          <w:sz w:val="36"/>
          <w:szCs w:val="36"/>
        </w:rPr>
      </w:pPr>
      <w:r w:rsidRPr="00437604">
        <w:rPr>
          <w:b/>
          <w:bCs/>
          <w:sz w:val="26"/>
          <w:szCs w:val="26"/>
        </w:rPr>
        <w:t>Submission Date:</w:t>
      </w:r>
      <w:r w:rsidRPr="00437604">
        <w:rPr>
          <w:sz w:val="26"/>
          <w:szCs w:val="26"/>
        </w:rPr>
        <w:t>  3 J</w:t>
      </w:r>
      <w:r w:rsidR="00852A60">
        <w:rPr>
          <w:sz w:val="26"/>
          <w:szCs w:val="26"/>
        </w:rPr>
        <w:t>uly</w:t>
      </w:r>
      <w:r w:rsidRPr="00437604">
        <w:rPr>
          <w:sz w:val="26"/>
          <w:szCs w:val="26"/>
        </w:rPr>
        <w:t xml:space="preserve"> 2026</w:t>
      </w:r>
      <w:r>
        <w:rPr>
          <w:b/>
          <w:bCs/>
          <w:sz w:val="36"/>
          <w:szCs w:val="36"/>
        </w:rPr>
        <w:br w:type="page"/>
      </w:r>
    </w:p>
    <w:p w14:paraId="4569A707" w14:textId="63368C5A" w:rsidR="00280B6E" w:rsidRPr="00280B6E" w:rsidRDefault="00280B6E" w:rsidP="00280B6E">
      <w:pPr>
        <w:pStyle w:val="Heading1"/>
        <w:rPr>
          <w:b/>
          <w:bCs/>
          <w:sz w:val="36"/>
          <w:szCs w:val="36"/>
        </w:rPr>
      </w:pPr>
      <w:bookmarkStart w:id="1" w:name="_Toc231355718"/>
      <w:r w:rsidRPr="00280B6E">
        <w:rPr>
          <w:b/>
          <w:bCs/>
          <w:sz w:val="36"/>
          <w:szCs w:val="36"/>
        </w:rPr>
        <w:lastRenderedPageBreak/>
        <w:t>Executive Summary</w:t>
      </w:r>
      <w:bookmarkEnd w:id="1"/>
    </w:p>
    <w:p w14:paraId="1E6C915A" w14:textId="77777777" w:rsidR="00280B6E" w:rsidRDefault="00280B6E" w:rsidP="00280B6E">
      <w:pPr>
        <w:spacing w:line="360" w:lineRule="auto"/>
        <w:jc w:val="both"/>
      </w:pPr>
      <w:r>
        <w:t>This paper evaluates the use of artificial intelligence (AI) by Marks &amp; Spencer (M&amp;S) in its CX strategy and analyzes whether it signifies the company’s strategic agility or represents potential reputation risks to the company. This analysis is based on BMMB7027 themes on Strategic and Agile Business Management where the evaluation is conducted using PESTLE analysis, Porter's Five Forces model, RBV/VRIO, and organizational agility frameworks on M&amp;S.</w:t>
      </w:r>
    </w:p>
    <w:p w14:paraId="7B030D81" w14:textId="281D3221" w:rsidR="00280B6E" w:rsidRDefault="00280B6E" w:rsidP="00280B6E">
      <w:pPr>
        <w:spacing w:line="360" w:lineRule="auto"/>
        <w:jc w:val="both"/>
      </w:pPr>
      <w:r>
        <w:t>Since 2018, Marks &amp; Spencer has adopted a multilayer AI strategy that has intensified significantly with its Reshaping for Growth transformation program. These include the application of AI for loyalty personalization (Sparks), predictive merchandising through First Insight, store analytics by computer vision technology with Symphony AI, and strategic collaboration with Microsoft Azure among others. All these have placed M&amp;S at the cutting edge of digital innovation in UK retailing. According to financial reports for fiscal year 2025, M&amp;S had an adjusted profit before tax of £875.5 million and 10.0% clothing market share, and it was back to FTSE 100 Index in September 2023 (M&amp;S, 2025).</w:t>
      </w:r>
    </w:p>
    <w:p w14:paraId="0D920ABE" w14:textId="6750F187" w:rsidR="00280B6E" w:rsidRDefault="00280B6E" w:rsidP="00280B6E">
      <w:pPr>
        <w:spacing w:line="360" w:lineRule="auto"/>
        <w:jc w:val="both"/>
      </w:pPr>
      <w:r>
        <w:t>The cyberattack on April 2025 by the Dragon Force/Scattered Spider group cost the company roughly £300 million in operating profit losses, 12% fall in stock price, and customer personal information. This cyber-attack highlighted significant vulnerabilities within the cybersecurity governance and incident response process within the company (Reuters, 2025). The study shifts the adoption of artificial intelligence into an amplification of systemic risks when support mechanisms and security are lacking.</w:t>
      </w:r>
    </w:p>
    <w:p w14:paraId="6784F41C" w14:textId="42F38D9F" w:rsidR="006129CC" w:rsidRDefault="00280B6E" w:rsidP="00280B6E">
      <w:pPr>
        <w:spacing w:line="360" w:lineRule="auto"/>
        <w:jc w:val="both"/>
      </w:pPr>
      <w:r>
        <w:t>Marks &amp; Spencer's (M&amp;S) use of artificial intelligence to transform the customer experience is indeed capable of providing sustainable competitive advantages from the Resource Based View theory, especially since it has unique data resources, loyal customers' infrastructure, and digital supply chains. However, unless the structural governance weaknesses are addressed, the company will have incomplete strategic agility due to lack of an institutional culture based on security in addition to innovation. Recommendations include: appointment of a Chief AI Ethics Officer, adopting privacy by design principles, improving supplier cybersecurity, and developing communication with stakeholders.</w:t>
      </w:r>
    </w:p>
    <w:p w14:paraId="148CEAE0" w14:textId="77777777" w:rsidR="006129CC" w:rsidRDefault="006129CC">
      <w:r>
        <w:br w:type="page"/>
      </w:r>
    </w:p>
    <w:sdt>
      <w:sdtPr>
        <w:rPr>
          <w:rFonts w:asciiTheme="minorHAnsi" w:eastAsiaTheme="minorHAnsi" w:hAnsiTheme="minorHAnsi" w:cstheme="minorBidi"/>
          <w:color w:val="auto"/>
          <w:kern w:val="2"/>
          <w:sz w:val="24"/>
          <w:szCs w:val="24"/>
          <w14:ligatures w14:val="standardContextual"/>
        </w:rPr>
        <w:id w:val="347602268"/>
        <w:docPartObj>
          <w:docPartGallery w:val="Table of Contents"/>
          <w:docPartUnique/>
        </w:docPartObj>
      </w:sdtPr>
      <w:sdtEndPr>
        <w:rPr>
          <w:b/>
          <w:bCs/>
          <w:noProof/>
        </w:rPr>
      </w:sdtEndPr>
      <w:sdtContent>
        <w:p w14:paraId="29CA55FE" w14:textId="6D1E2A13" w:rsidR="006129CC" w:rsidRDefault="006129CC">
          <w:pPr>
            <w:pStyle w:val="TOCHeading"/>
          </w:pPr>
          <w:r>
            <w:t>Table of Contents</w:t>
          </w:r>
        </w:p>
        <w:p w14:paraId="60468458" w14:textId="6063BEEF" w:rsidR="00345B31" w:rsidRDefault="006129CC">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31355717" w:history="1">
            <w:r w:rsidR="00345B31">
              <w:rPr>
                <w:noProof/>
                <w:webHidden/>
              </w:rPr>
              <w:tab/>
            </w:r>
            <w:r w:rsidR="00345B31">
              <w:rPr>
                <w:noProof/>
                <w:webHidden/>
              </w:rPr>
              <w:fldChar w:fldCharType="begin"/>
            </w:r>
            <w:r w:rsidR="00345B31">
              <w:rPr>
                <w:noProof/>
                <w:webHidden/>
              </w:rPr>
              <w:instrText xml:space="preserve"> PAGEREF _Toc231355717 \h </w:instrText>
            </w:r>
            <w:r w:rsidR="00345B31">
              <w:rPr>
                <w:noProof/>
                <w:webHidden/>
              </w:rPr>
            </w:r>
            <w:r w:rsidR="00345B31">
              <w:rPr>
                <w:noProof/>
                <w:webHidden/>
              </w:rPr>
              <w:fldChar w:fldCharType="separate"/>
            </w:r>
            <w:r w:rsidR="00345B31">
              <w:rPr>
                <w:noProof/>
                <w:webHidden/>
              </w:rPr>
              <w:t>1</w:t>
            </w:r>
            <w:r w:rsidR="00345B31">
              <w:rPr>
                <w:noProof/>
                <w:webHidden/>
              </w:rPr>
              <w:fldChar w:fldCharType="end"/>
            </w:r>
          </w:hyperlink>
        </w:p>
        <w:p w14:paraId="0C502021" w14:textId="4CED6A28" w:rsidR="00345B31" w:rsidRDefault="00345B31">
          <w:pPr>
            <w:pStyle w:val="TOC1"/>
            <w:tabs>
              <w:tab w:val="right" w:leader="dot" w:pos="9016"/>
            </w:tabs>
            <w:rPr>
              <w:rFonts w:eastAsiaTheme="minorEastAsia"/>
              <w:noProof/>
            </w:rPr>
          </w:pPr>
          <w:hyperlink w:anchor="_Toc231355718" w:history="1">
            <w:r w:rsidRPr="00E87B7E">
              <w:rPr>
                <w:rStyle w:val="Hyperlink"/>
                <w:b/>
                <w:bCs/>
                <w:noProof/>
              </w:rPr>
              <w:t>Executive Summary</w:t>
            </w:r>
            <w:r>
              <w:rPr>
                <w:noProof/>
                <w:webHidden/>
              </w:rPr>
              <w:tab/>
            </w:r>
            <w:r>
              <w:rPr>
                <w:noProof/>
                <w:webHidden/>
              </w:rPr>
              <w:fldChar w:fldCharType="begin"/>
            </w:r>
            <w:r>
              <w:rPr>
                <w:noProof/>
                <w:webHidden/>
              </w:rPr>
              <w:instrText xml:space="preserve"> PAGEREF _Toc231355718 \h </w:instrText>
            </w:r>
            <w:r>
              <w:rPr>
                <w:noProof/>
                <w:webHidden/>
              </w:rPr>
            </w:r>
            <w:r>
              <w:rPr>
                <w:noProof/>
                <w:webHidden/>
              </w:rPr>
              <w:fldChar w:fldCharType="separate"/>
            </w:r>
            <w:r>
              <w:rPr>
                <w:noProof/>
                <w:webHidden/>
              </w:rPr>
              <w:t>2</w:t>
            </w:r>
            <w:r>
              <w:rPr>
                <w:noProof/>
                <w:webHidden/>
              </w:rPr>
              <w:fldChar w:fldCharType="end"/>
            </w:r>
          </w:hyperlink>
        </w:p>
        <w:p w14:paraId="78ED44A3" w14:textId="0109BC0D" w:rsidR="00345B31" w:rsidRDefault="00345B31">
          <w:pPr>
            <w:pStyle w:val="TOC1"/>
            <w:tabs>
              <w:tab w:val="right" w:leader="dot" w:pos="9016"/>
            </w:tabs>
            <w:rPr>
              <w:rFonts w:eastAsiaTheme="minorEastAsia"/>
              <w:noProof/>
            </w:rPr>
          </w:pPr>
          <w:hyperlink w:anchor="_Toc231355719" w:history="1">
            <w:r w:rsidRPr="00E87B7E">
              <w:rPr>
                <w:rStyle w:val="Hyperlink"/>
                <w:b/>
                <w:bCs/>
                <w:noProof/>
              </w:rPr>
              <w:t>1. Introduction</w:t>
            </w:r>
            <w:r>
              <w:rPr>
                <w:noProof/>
                <w:webHidden/>
              </w:rPr>
              <w:tab/>
            </w:r>
            <w:r>
              <w:rPr>
                <w:noProof/>
                <w:webHidden/>
              </w:rPr>
              <w:fldChar w:fldCharType="begin"/>
            </w:r>
            <w:r>
              <w:rPr>
                <w:noProof/>
                <w:webHidden/>
              </w:rPr>
              <w:instrText xml:space="preserve"> PAGEREF _Toc231355719 \h </w:instrText>
            </w:r>
            <w:r>
              <w:rPr>
                <w:noProof/>
                <w:webHidden/>
              </w:rPr>
            </w:r>
            <w:r>
              <w:rPr>
                <w:noProof/>
                <w:webHidden/>
              </w:rPr>
              <w:fldChar w:fldCharType="separate"/>
            </w:r>
            <w:r>
              <w:rPr>
                <w:noProof/>
                <w:webHidden/>
              </w:rPr>
              <w:t>5</w:t>
            </w:r>
            <w:r>
              <w:rPr>
                <w:noProof/>
                <w:webHidden/>
              </w:rPr>
              <w:fldChar w:fldCharType="end"/>
            </w:r>
          </w:hyperlink>
        </w:p>
        <w:p w14:paraId="416F1953" w14:textId="5DE63DF2" w:rsidR="00345B31" w:rsidRDefault="00345B31">
          <w:pPr>
            <w:pStyle w:val="TOC1"/>
            <w:tabs>
              <w:tab w:val="right" w:leader="dot" w:pos="9016"/>
            </w:tabs>
            <w:rPr>
              <w:rFonts w:eastAsiaTheme="minorEastAsia"/>
              <w:noProof/>
            </w:rPr>
          </w:pPr>
          <w:hyperlink w:anchor="_Toc231355720" w:history="1">
            <w:r w:rsidRPr="00E87B7E">
              <w:rPr>
                <w:rStyle w:val="Hyperlink"/>
                <w:b/>
                <w:bCs/>
                <w:noProof/>
              </w:rPr>
              <w:t>2. Main Findings: Strategic Analysis and Critical Evaluation</w:t>
            </w:r>
            <w:r>
              <w:rPr>
                <w:noProof/>
                <w:webHidden/>
              </w:rPr>
              <w:tab/>
            </w:r>
            <w:r>
              <w:rPr>
                <w:noProof/>
                <w:webHidden/>
              </w:rPr>
              <w:fldChar w:fldCharType="begin"/>
            </w:r>
            <w:r>
              <w:rPr>
                <w:noProof/>
                <w:webHidden/>
              </w:rPr>
              <w:instrText xml:space="preserve"> PAGEREF _Toc231355720 \h </w:instrText>
            </w:r>
            <w:r>
              <w:rPr>
                <w:noProof/>
                <w:webHidden/>
              </w:rPr>
            </w:r>
            <w:r>
              <w:rPr>
                <w:noProof/>
                <w:webHidden/>
              </w:rPr>
              <w:fldChar w:fldCharType="separate"/>
            </w:r>
            <w:r>
              <w:rPr>
                <w:noProof/>
                <w:webHidden/>
              </w:rPr>
              <w:t>6</w:t>
            </w:r>
            <w:r>
              <w:rPr>
                <w:noProof/>
                <w:webHidden/>
              </w:rPr>
              <w:fldChar w:fldCharType="end"/>
            </w:r>
          </w:hyperlink>
        </w:p>
        <w:p w14:paraId="5E2B6595" w14:textId="7E186C0A" w:rsidR="00345B31" w:rsidRDefault="00345B31">
          <w:pPr>
            <w:pStyle w:val="TOC2"/>
            <w:tabs>
              <w:tab w:val="right" w:leader="dot" w:pos="9016"/>
            </w:tabs>
            <w:rPr>
              <w:rFonts w:eastAsiaTheme="minorEastAsia"/>
              <w:noProof/>
            </w:rPr>
          </w:pPr>
          <w:hyperlink w:anchor="_Toc231355721" w:history="1">
            <w:r w:rsidRPr="00E87B7E">
              <w:rPr>
                <w:rStyle w:val="Hyperlink"/>
                <w:noProof/>
              </w:rPr>
              <w:t>2.1 PESTLE Analysis: The Macro-Environmental Context</w:t>
            </w:r>
            <w:r>
              <w:rPr>
                <w:noProof/>
                <w:webHidden/>
              </w:rPr>
              <w:tab/>
            </w:r>
            <w:r>
              <w:rPr>
                <w:noProof/>
                <w:webHidden/>
              </w:rPr>
              <w:fldChar w:fldCharType="begin"/>
            </w:r>
            <w:r>
              <w:rPr>
                <w:noProof/>
                <w:webHidden/>
              </w:rPr>
              <w:instrText xml:space="preserve"> PAGEREF _Toc231355721 \h </w:instrText>
            </w:r>
            <w:r>
              <w:rPr>
                <w:noProof/>
                <w:webHidden/>
              </w:rPr>
            </w:r>
            <w:r>
              <w:rPr>
                <w:noProof/>
                <w:webHidden/>
              </w:rPr>
              <w:fldChar w:fldCharType="separate"/>
            </w:r>
            <w:r>
              <w:rPr>
                <w:noProof/>
                <w:webHidden/>
              </w:rPr>
              <w:t>6</w:t>
            </w:r>
            <w:r>
              <w:rPr>
                <w:noProof/>
                <w:webHidden/>
              </w:rPr>
              <w:fldChar w:fldCharType="end"/>
            </w:r>
          </w:hyperlink>
        </w:p>
        <w:p w14:paraId="41E4FC91" w14:textId="345EC50A" w:rsidR="00345B31" w:rsidRDefault="00345B31">
          <w:pPr>
            <w:pStyle w:val="TOC3"/>
            <w:tabs>
              <w:tab w:val="right" w:leader="dot" w:pos="9016"/>
            </w:tabs>
            <w:rPr>
              <w:rFonts w:eastAsiaTheme="minorEastAsia"/>
              <w:noProof/>
            </w:rPr>
          </w:pPr>
          <w:hyperlink w:anchor="_Toc231355722" w:history="1">
            <w:r w:rsidRPr="00E87B7E">
              <w:rPr>
                <w:rStyle w:val="Hyperlink"/>
                <w:noProof/>
              </w:rPr>
              <w:t>2.1.1 Political Factors</w:t>
            </w:r>
            <w:r>
              <w:rPr>
                <w:noProof/>
                <w:webHidden/>
              </w:rPr>
              <w:tab/>
            </w:r>
            <w:r>
              <w:rPr>
                <w:noProof/>
                <w:webHidden/>
              </w:rPr>
              <w:fldChar w:fldCharType="begin"/>
            </w:r>
            <w:r>
              <w:rPr>
                <w:noProof/>
                <w:webHidden/>
              </w:rPr>
              <w:instrText xml:space="preserve"> PAGEREF _Toc231355722 \h </w:instrText>
            </w:r>
            <w:r>
              <w:rPr>
                <w:noProof/>
                <w:webHidden/>
              </w:rPr>
            </w:r>
            <w:r>
              <w:rPr>
                <w:noProof/>
                <w:webHidden/>
              </w:rPr>
              <w:fldChar w:fldCharType="separate"/>
            </w:r>
            <w:r>
              <w:rPr>
                <w:noProof/>
                <w:webHidden/>
              </w:rPr>
              <w:t>6</w:t>
            </w:r>
            <w:r>
              <w:rPr>
                <w:noProof/>
                <w:webHidden/>
              </w:rPr>
              <w:fldChar w:fldCharType="end"/>
            </w:r>
          </w:hyperlink>
        </w:p>
        <w:p w14:paraId="08BA0EB0" w14:textId="216215C3" w:rsidR="00345B31" w:rsidRDefault="00345B31">
          <w:pPr>
            <w:pStyle w:val="TOC3"/>
            <w:tabs>
              <w:tab w:val="right" w:leader="dot" w:pos="9016"/>
            </w:tabs>
            <w:rPr>
              <w:rFonts w:eastAsiaTheme="minorEastAsia"/>
              <w:noProof/>
            </w:rPr>
          </w:pPr>
          <w:hyperlink w:anchor="_Toc231355723" w:history="1">
            <w:r w:rsidRPr="00E87B7E">
              <w:rPr>
                <w:rStyle w:val="Hyperlink"/>
                <w:noProof/>
              </w:rPr>
              <w:t>2.1.2 Economic Factors</w:t>
            </w:r>
            <w:r>
              <w:rPr>
                <w:noProof/>
                <w:webHidden/>
              </w:rPr>
              <w:tab/>
            </w:r>
            <w:r>
              <w:rPr>
                <w:noProof/>
                <w:webHidden/>
              </w:rPr>
              <w:fldChar w:fldCharType="begin"/>
            </w:r>
            <w:r>
              <w:rPr>
                <w:noProof/>
                <w:webHidden/>
              </w:rPr>
              <w:instrText xml:space="preserve"> PAGEREF _Toc231355723 \h </w:instrText>
            </w:r>
            <w:r>
              <w:rPr>
                <w:noProof/>
                <w:webHidden/>
              </w:rPr>
            </w:r>
            <w:r>
              <w:rPr>
                <w:noProof/>
                <w:webHidden/>
              </w:rPr>
              <w:fldChar w:fldCharType="separate"/>
            </w:r>
            <w:r>
              <w:rPr>
                <w:noProof/>
                <w:webHidden/>
              </w:rPr>
              <w:t>6</w:t>
            </w:r>
            <w:r>
              <w:rPr>
                <w:noProof/>
                <w:webHidden/>
              </w:rPr>
              <w:fldChar w:fldCharType="end"/>
            </w:r>
          </w:hyperlink>
        </w:p>
        <w:p w14:paraId="64D21867" w14:textId="7D6C07C2" w:rsidR="00345B31" w:rsidRDefault="00345B31">
          <w:pPr>
            <w:pStyle w:val="TOC3"/>
            <w:tabs>
              <w:tab w:val="right" w:leader="dot" w:pos="9016"/>
            </w:tabs>
            <w:rPr>
              <w:rFonts w:eastAsiaTheme="minorEastAsia"/>
              <w:noProof/>
            </w:rPr>
          </w:pPr>
          <w:hyperlink w:anchor="_Toc231355724" w:history="1">
            <w:r w:rsidRPr="00E87B7E">
              <w:rPr>
                <w:rStyle w:val="Hyperlink"/>
                <w:noProof/>
              </w:rPr>
              <w:t>2.1.3 Social Factors</w:t>
            </w:r>
            <w:r>
              <w:rPr>
                <w:noProof/>
                <w:webHidden/>
              </w:rPr>
              <w:tab/>
            </w:r>
            <w:r>
              <w:rPr>
                <w:noProof/>
                <w:webHidden/>
              </w:rPr>
              <w:fldChar w:fldCharType="begin"/>
            </w:r>
            <w:r>
              <w:rPr>
                <w:noProof/>
                <w:webHidden/>
              </w:rPr>
              <w:instrText xml:space="preserve"> PAGEREF _Toc231355724 \h </w:instrText>
            </w:r>
            <w:r>
              <w:rPr>
                <w:noProof/>
                <w:webHidden/>
              </w:rPr>
            </w:r>
            <w:r>
              <w:rPr>
                <w:noProof/>
                <w:webHidden/>
              </w:rPr>
              <w:fldChar w:fldCharType="separate"/>
            </w:r>
            <w:r>
              <w:rPr>
                <w:noProof/>
                <w:webHidden/>
              </w:rPr>
              <w:t>7</w:t>
            </w:r>
            <w:r>
              <w:rPr>
                <w:noProof/>
                <w:webHidden/>
              </w:rPr>
              <w:fldChar w:fldCharType="end"/>
            </w:r>
          </w:hyperlink>
        </w:p>
        <w:p w14:paraId="6AFF1689" w14:textId="2A82A045" w:rsidR="00345B31" w:rsidRDefault="00345B31">
          <w:pPr>
            <w:pStyle w:val="TOC3"/>
            <w:tabs>
              <w:tab w:val="right" w:leader="dot" w:pos="9016"/>
            </w:tabs>
            <w:rPr>
              <w:rFonts w:eastAsiaTheme="minorEastAsia"/>
              <w:noProof/>
            </w:rPr>
          </w:pPr>
          <w:hyperlink w:anchor="_Toc231355725" w:history="1">
            <w:r w:rsidRPr="00E87B7E">
              <w:rPr>
                <w:rStyle w:val="Hyperlink"/>
                <w:noProof/>
              </w:rPr>
              <w:t>2.1.4 Technological Factors</w:t>
            </w:r>
            <w:r>
              <w:rPr>
                <w:noProof/>
                <w:webHidden/>
              </w:rPr>
              <w:tab/>
            </w:r>
            <w:r>
              <w:rPr>
                <w:noProof/>
                <w:webHidden/>
              </w:rPr>
              <w:fldChar w:fldCharType="begin"/>
            </w:r>
            <w:r>
              <w:rPr>
                <w:noProof/>
                <w:webHidden/>
              </w:rPr>
              <w:instrText xml:space="preserve"> PAGEREF _Toc231355725 \h </w:instrText>
            </w:r>
            <w:r>
              <w:rPr>
                <w:noProof/>
                <w:webHidden/>
              </w:rPr>
            </w:r>
            <w:r>
              <w:rPr>
                <w:noProof/>
                <w:webHidden/>
              </w:rPr>
              <w:fldChar w:fldCharType="separate"/>
            </w:r>
            <w:r>
              <w:rPr>
                <w:noProof/>
                <w:webHidden/>
              </w:rPr>
              <w:t>7</w:t>
            </w:r>
            <w:r>
              <w:rPr>
                <w:noProof/>
                <w:webHidden/>
              </w:rPr>
              <w:fldChar w:fldCharType="end"/>
            </w:r>
          </w:hyperlink>
        </w:p>
        <w:p w14:paraId="57106DEB" w14:textId="1188E731" w:rsidR="00345B31" w:rsidRDefault="00345B31">
          <w:pPr>
            <w:pStyle w:val="TOC3"/>
            <w:tabs>
              <w:tab w:val="right" w:leader="dot" w:pos="9016"/>
            </w:tabs>
            <w:rPr>
              <w:rFonts w:eastAsiaTheme="minorEastAsia"/>
              <w:noProof/>
            </w:rPr>
          </w:pPr>
          <w:hyperlink w:anchor="_Toc231355726" w:history="1">
            <w:r w:rsidRPr="00E87B7E">
              <w:rPr>
                <w:rStyle w:val="Hyperlink"/>
                <w:noProof/>
              </w:rPr>
              <w:t>2.1.5 Legal Factors</w:t>
            </w:r>
            <w:r>
              <w:rPr>
                <w:noProof/>
                <w:webHidden/>
              </w:rPr>
              <w:tab/>
            </w:r>
            <w:r>
              <w:rPr>
                <w:noProof/>
                <w:webHidden/>
              </w:rPr>
              <w:fldChar w:fldCharType="begin"/>
            </w:r>
            <w:r>
              <w:rPr>
                <w:noProof/>
                <w:webHidden/>
              </w:rPr>
              <w:instrText xml:space="preserve"> PAGEREF _Toc231355726 \h </w:instrText>
            </w:r>
            <w:r>
              <w:rPr>
                <w:noProof/>
                <w:webHidden/>
              </w:rPr>
            </w:r>
            <w:r>
              <w:rPr>
                <w:noProof/>
                <w:webHidden/>
              </w:rPr>
              <w:fldChar w:fldCharType="separate"/>
            </w:r>
            <w:r>
              <w:rPr>
                <w:noProof/>
                <w:webHidden/>
              </w:rPr>
              <w:t>7</w:t>
            </w:r>
            <w:r>
              <w:rPr>
                <w:noProof/>
                <w:webHidden/>
              </w:rPr>
              <w:fldChar w:fldCharType="end"/>
            </w:r>
          </w:hyperlink>
        </w:p>
        <w:p w14:paraId="2C55BCCB" w14:textId="1E796BE5" w:rsidR="00345B31" w:rsidRDefault="00345B31">
          <w:pPr>
            <w:pStyle w:val="TOC3"/>
            <w:tabs>
              <w:tab w:val="right" w:leader="dot" w:pos="9016"/>
            </w:tabs>
            <w:rPr>
              <w:rFonts w:eastAsiaTheme="minorEastAsia"/>
              <w:noProof/>
            </w:rPr>
          </w:pPr>
          <w:hyperlink w:anchor="_Toc231355727" w:history="1">
            <w:r w:rsidRPr="00E87B7E">
              <w:rPr>
                <w:rStyle w:val="Hyperlink"/>
                <w:noProof/>
              </w:rPr>
              <w:t>2.1.6 Environmental Factors</w:t>
            </w:r>
            <w:r>
              <w:rPr>
                <w:noProof/>
                <w:webHidden/>
              </w:rPr>
              <w:tab/>
            </w:r>
            <w:r>
              <w:rPr>
                <w:noProof/>
                <w:webHidden/>
              </w:rPr>
              <w:fldChar w:fldCharType="begin"/>
            </w:r>
            <w:r>
              <w:rPr>
                <w:noProof/>
                <w:webHidden/>
              </w:rPr>
              <w:instrText xml:space="preserve"> PAGEREF _Toc231355727 \h </w:instrText>
            </w:r>
            <w:r>
              <w:rPr>
                <w:noProof/>
                <w:webHidden/>
              </w:rPr>
            </w:r>
            <w:r>
              <w:rPr>
                <w:noProof/>
                <w:webHidden/>
              </w:rPr>
              <w:fldChar w:fldCharType="separate"/>
            </w:r>
            <w:r>
              <w:rPr>
                <w:noProof/>
                <w:webHidden/>
              </w:rPr>
              <w:t>8</w:t>
            </w:r>
            <w:r>
              <w:rPr>
                <w:noProof/>
                <w:webHidden/>
              </w:rPr>
              <w:fldChar w:fldCharType="end"/>
            </w:r>
          </w:hyperlink>
        </w:p>
        <w:p w14:paraId="70388B37" w14:textId="5CD36108" w:rsidR="00345B31" w:rsidRDefault="00345B31">
          <w:pPr>
            <w:pStyle w:val="TOC2"/>
            <w:tabs>
              <w:tab w:val="right" w:leader="dot" w:pos="9016"/>
            </w:tabs>
            <w:rPr>
              <w:rFonts w:eastAsiaTheme="minorEastAsia"/>
              <w:noProof/>
            </w:rPr>
          </w:pPr>
          <w:hyperlink w:anchor="_Toc231355728" w:history="1">
            <w:r w:rsidRPr="00E87B7E">
              <w:rPr>
                <w:rStyle w:val="Hyperlink"/>
                <w:noProof/>
              </w:rPr>
              <w:t>2.2 Porter's Five Forces: Competitive Dynamics</w:t>
            </w:r>
            <w:r>
              <w:rPr>
                <w:noProof/>
                <w:webHidden/>
              </w:rPr>
              <w:tab/>
            </w:r>
            <w:r>
              <w:rPr>
                <w:noProof/>
                <w:webHidden/>
              </w:rPr>
              <w:fldChar w:fldCharType="begin"/>
            </w:r>
            <w:r>
              <w:rPr>
                <w:noProof/>
                <w:webHidden/>
              </w:rPr>
              <w:instrText xml:space="preserve"> PAGEREF _Toc231355728 \h </w:instrText>
            </w:r>
            <w:r>
              <w:rPr>
                <w:noProof/>
                <w:webHidden/>
              </w:rPr>
            </w:r>
            <w:r>
              <w:rPr>
                <w:noProof/>
                <w:webHidden/>
              </w:rPr>
              <w:fldChar w:fldCharType="separate"/>
            </w:r>
            <w:r>
              <w:rPr>
                <w:noProof/>
                <w:webHidden/>
              </w:rPr>
              <w:t>8</w:t>
            </w:r>
            <w:r>
              <w:rPr>
                <w:noProof/>
                <w:webHidden/>
              </w:rPr>
              <w:fldChar w:fldCharType="end"/>
            </w:r>
          </w:hyperlink>
        </w:p>
        <w:p w14:paraId="4441A428" w14:textId="57BF121B" w:rsidR="00345B31" w:rsidRDefault="00345B31">
          <w:pPr>
            <w:pStyle w:val="TOC3"/>
            <w:tabs>
              <w:tab w:val="right" w:leader="dot" w:pos="9016"/>
            </w:tabs>
            <w:rPr>
              <w:rFonts w:eastAsiaTheme="minorEastAsia"/>
              <w:noProof/>
            </w:rPr>
          </w:pPr>
          <w:hyperlink w:anchor="_Toc231355729" w:history="1">
            <w:r w:rsidRPr="00E87B7E">
              <w:rPr>
                <w:rStyle w:val="Hyperlink"/>
                <w:noProof/>
              </w:rPr>
              <w:t>2.2.1 Threat of New Entrants (Moderate–High)</w:t>
            </w:r>
            <w:r>
              <w:rPr>
                <w:noProof/>
                <w:webHidden/>
              </w:rPr>
              <w:tab/>
            </w:r>
            <w:r>
              <w:rPr>
                <w:noProof/>
                <w:webHidden/>
              </w:rPr>
              <w:fldChar w:fldCharType="begin"/>
            </w:r>
            <w:r>
              <w:rPr>
                <w:noProof/>
                <w:webHidden/>
              </w:rPr>
              <w:instrText xml:space="preserve"> PAGEREF _Toc231355729 \h </w:instrText>
            </w:r>
            <w:r>
              <w:rPr>
                <w:noProof/>
                <w:webHidden/>
              </w:rPr>
            </w:r>
            <w:r>
              <w:rPr>
                <w:noProof/>
                <w:webHidden/>
              </w:rPr>
              <w:fldChar w:fldCharType="separate"/>
            </w:r>
            <w:r>
              <w:rPr>
                <w:noProof/>
                <w:webHidden/>
              </w:rPr>
              <w:t>8</w:t>
            </w:r>
            <w:r>
              <w:rPr>
                <w:noProof/>
                <w:webHidden/>
              </w:rPr>
              <w:fldChar w:fldCharType="end"/>
            </w:r>
          </w:hyperlink>
        </w:p>
        <w:p w14:paraId="25437105" w14:textId="564DFCB3" w:rsidR="00345B31" w:rsidRDefault="00345B31">
          <w:pPr>
            <w:pStyle w:val="TOC3"/>
            <w:tabs>
              <w:tab w:val="right" w:leader="dot" w:pos="9016"/>
            </w:tabs>
            <w:rPr>
              <w:rFonts w:eastAsiaTheme="minorEastAsia"/>
              <w:noProof/>
            </w:rPr>
          </w:pPr>
          <w:hyperlink w:anchor="_Toc231355730" w:history="1">
            <w:r w:rsidRPr="00E87B7E">
              <w:rPr>
                <w:rStyle w:val="Hyperlink"/>
                <w:noProof/>
              </w:rPr>
              <w:t>2.2.2 Bargaining Power of Suppliers (Moderate)</w:t>
            </w:r>
            <w:r>
              <w:rPr>
                <w:noProof/>
                <w:webHidden/>
              </w:rPr>
              <w:tab/>
            </w:r>
            <w:r>
              <w:rPr>
                <w:noProof/>
                <w:webHidden/>
              </w:rPr>
              <w:fldChar w:fldCharType="begin"/>
            </w:r>
            <w:r>
              <w:rPr>
                <w:noProof/>
                <w:webHidden/>
              </w:rPr>
              <w:instrText xml:space="preserve"> PAGEREF _Toc231355730 \h </w:instrText>
            </w:r>
            <w:r>
              <w:rPr>
                <w:noProof/>
                <w:webHidden/>
              </w:rPr>
            </w:r>
            <w:r>
              <w:rPr>
                <w:noProof/>
                <w:webHidden/>
              </w:rPr>
              <w:fldChar w:fldCharType="separate"/>
            </w:r>
            <w:r>
              <w:rPr>
                <w:noProof/>
                <w:webHidden/>
              </w:rPr>
              <w:t>9</w:t>
            </w:r>
            <w:r>
              <w:rPr>
                <w:noProof/>
                <w:webHidden/>
              </w:rPr>
              <w:fldChar w:fldCharType="end"/>
            </w:r>
          </w:hyperlink>
        </w:p>
        <w:p w14:paraId="2753822B" w14:textId="370D26D2" w:rsidR="00345B31" w:rsidRDefault="00345B31">
          <w:pPr>
            <w:pStyle w:val="TOC3"/>
            <w:tabs>
              <w:tab w:val="right" w:leader="dot" w:pos="9016"/>
            </w:tabs>
            <w:rPr>
              <w:rFonts w:eastAsiaTheme="minorEastAsia"/>
              <w:noProof/>
            </w:rPr>
          </w:pPr>
          <w:hyperlink w:anchor="_Toc231355731" w:history="1">
            <w:r w:rsidRPr="00E87B7E">
              <w:rPr>
                <w:rStyle w:val="Hyperlink"/>
                <w:noProof/>
              </w:rPr>
              <w:t>2.2.3 Bargaining Power of Buyers (High)</w:t>
            </w:r>
            <w:r>
              <w:rPr>
                <w:noProof/>
                <w:webHidden/>
              </w:rPr>
              <w:tab/>
            </w:r>
            <w:r>
              <w:rPr>
                <w:noProof/>
                <w:webHidden/>
              </w:rPr>
              <w:fldChar w:fldCharType="begin"/>
            </w:r>
            <w:r>
              <w:rPr>
                <w:noProof/>
                <w:webHidden/>
              </w:rPr>
              <w:instrText xml:space="preserve"> PAGEREF _Toc231355731 \h </w:instrText>
            </w:r>
            <w:r>
              <w:rPr>
                <w:noProof/>
                <w:webHidden/>
              </w:rPr>
            </w:r>
            <w:r>
              <w:rPr>
                <w:noProof/>
                <w:webHidden/>
              </w:rPr>
              <w:fldChar w:fldCharType="separate"/>
            </w:r>
            <w:r>
              <w:rPr>
                <w:noProof/>
                <w:webHidden/>
              </w:rPr>
              <w:t>9</w:t>
            </w:r>
            <w:r>
              <w:rPr>
                <w:noProof/>
                <w:webHidden/>
              </w:rPr>
              <w:fldChar w:fldCharType="end"/>
            </w:r>
          </w:hyperlink>
        </w:p>
        <w:p w14:paraId="49B56BAF" w14:textId="5553F3B2" w:rsidR="00345B31" w:rsidRDefault="00345B31">
          <w:pPr>
            <w:pStyle w:val="TOC3"/>
            <w:tabs>
              <w:tab w:val="right" w:leader="dot" w:pos="9016"/>
            </w:tabs>
            <w:rPr>
              <w:rFonts w:eastAsiaTheme="minorEastAsia"/>
              <w:noProof/>
            </w:rPr>
          </w:pPr>
          <w:hyperlink w:anchor="_Toc231355732" w:history="1">
            <w:r w:rsidRPr="00E87B7E">
              <w:rPr>
                <w:rStyle w:val="Hyperlink"/>
                <w:noProof/>
              </w:rPr>
              <w:t>2.2.4 Threat of Substitutes (High)</w:t>
            </w:r>
            <w:r>
              <w:rPr>
                <w:noProof/>
                <w:webHidden/>
              </w:rPr>
              <w:tab/>
            </w:r>
            <w:r>
              <w:rPr>
                <w:noProof/>
                <w:webHidden/>
              </w:rPr>
              <w:fldChar w:fldCharType="begin"/>
            </w:r>
            <w:r>
              <w:rPr>
                <w:noProof/>
                <w:webHidden/>
              </w:rPr>
              <w:instrText xml:space="preserve"> PAGEREF _Toc231355732 \h </w:instrText>
            </w:r>
            <w:r>
              <w:rPr>
                <w:noProof/>
                <w:webHidden/>
              </w:rPr>
            </w:r>
            <w:r>
              <w:rPr>
                <w:noProof/>
                <w:webHidden/>
              </w:rPr>
              <w:fldChar w:fldCharType="separate"/>
            </w:r>
            <w:r>
              <w:rPr>
                <w:noProof/>
                <w:webHidden/>
              </w:rPr>
              <w:t>9</w:t>
            </w:r>
            <w:r>
              <w:rPr>
                <w:noProof/>
                <w:webHidden/>
              </w:rPr>
              <w:fldChar w:fldCharType="end"/>
            </w:r>
          </w:hyperlink>
        </w:p>
        <w:p w14:paraId="4FF0FE07" w14:textId="1E76CB1B" w:rsidR="00345B31" w:rsidRDefault="00345B31">
          <w:pPr>
            <w:pStyle w:val="TOC3"/>
            <w:tabs>
              <w:tab w:val="right" w:leader="dot" w:pos="9016"/>
            </w:tabs>
            <w:rPr>
              <w:rFonts w:eastAsiaTheme="minorEastAsia"/>
              <w:noProof/>
            </w:rPr>
          </w:pPr>
          <w:hyperlink w:anchor="_Toc231355733" w:history="1">
            <w:r w:rsidRPr="00E87B7E">
              <w:rPr>
                <w:rStyle w:val="Hyperlink"/>
                <w:noProof/>
              </w:rPr>
              <w:t>2.2.5 Competitive Rivalry (Very High)</w:t>
            </w:r>
            <w:r>
              <w:rPr>
                <w:noProof/>
                <w:webHidden/>
              </w:rPr>
              <w:tab/>
            </w:r>
            <w:r>
              <w:rPr>
                <w:noProof/>
                <w:webHidden/>
              </w:rPr>
              <w:fldChar w:fldCharType="begin"/>
            </w:r>
            <w:r>
              <w:rPr>
                <w:noProof/>
                <w:webHidden/>
              </w:rPr>
              <w:instrText xml:space="preserve"> PAGEREF _Toc231355733 \h </w:instrText>
            </w:r>
            <w:r>
              <w:rPr>
                <w:noProof/>
                <w:webHidden/>
              </w:rPr>
            </w:r>
            <w:r>
              <w:rPr>
                <w:noProof/>
                <w:webHidden/>
              </w:rPr>
              <w:fldChar w:fldCharType="separate"/>
            </w:r>
            <w:r>
              <w:rPr>
                <w:noProof/>
                <w:webHidden/>
              </w:rPr>
              <w:t>10</w:t>
            </w:r>
            <w:r>
              <w:rPr>
                <w:noProof/>
                <w:webHidden/>
              </w:rPr>
              <w:fldChar w:fldCharType="end"/>
            </w:r>
          </w:hyperlink>
        </w:p>
        <w:p w14:paraId="6B4E2A22" w14:textId="00C28729" w:rsidR="00345B31" w:rsidRDefault="00345B31">
          <w:pPr>
            <w:pStyle w:val="TOC2"/>
            <w:tabs>
              <w:tab w:val="right" w:leader="dot" w:pos="9016"/>
            </w:tabs>
            <w:rPr>
              <w:rFonts w:eastAsiaTheme="minorEastAsia"/>
              <w:noProof/>
            </w:rPr>
          </w:pPr>
          <w:hyperlink w:anchor="_Toc231355734" w:history="1">
            <w:r w:rsidRPr="00E87B7E">
              <w:rPr>
                <w:rStyle w:val="Hyperlink"/>
                <w:noProof/>
              </w:rPr>
              <w:t>2.3 Resource-Based View and VRIO Analysis</w:t>
            </w:r>
            <w:r>
              <w:rPr>
                <w:noProof/>
                <w:webHidden/>
              </w:rPr>
              <w:tab/>
            </w:r>
            <w:r>
              <w:rPr>
                <w:noProof/>
                <w:webHidden/>
              </w:rPr>
              <w:fldChar w:fldCharType="begin"/>
            </w:r>
            <w:r>
              <w:rPr>
                <w:noProof/>
                <w:webHidden/>
              </w:rPr>
              <w:instrText xml:space="preserve"> PAGEREF _Toc231355734 \h </w:instrText>
            </w:r>
            <w:r>
              <w:rPr>
                <w:noProof/>
                <w:webHidden/>
              </w:rPr>
            </w:r>
            <w:r>
              <w:rPr>
                <w:noProof/>
                <w:webHidden/>
              </w:rPr>
              <w:fldChar w:fldCharType="separate"/>
            </w:r>
            <w:r>
              <w:rPr>
                <w:noProof/>
                <w:webHidden/>
              </w:rPr>
              <w:t>10</w:t>
            </w:r>
            <w:r>
              <w:rPr>
                <w:noProof/>
                <w:webHidden/>
              </w:rPr>
              <w:fldChar w:fldCharType="end"/>
            </w:r>
          </w:hyperlink>
        </w:p>
        <w:p w14:paraId="30B34128" w14:textId="2D283CA7" w:rsidR="00345B31" w:rsidRDefault="00345B31">
          <w:pPr>
            <w:pStyle w:val="TOC3"/>
            <w:tabs>
              <w:tab w:val="right" w:leader="dot" w:pos="9016"/>
            </w:tabs>
            <w:rPr>
              <w:rFonts w:eastAsiaTheme="minorEastAsia"/>
              <w:noProof/>
            </w:rPr>
          </w:pPr>
          <w:hyperlink w:anchor="_Toc231355735" w:history="1">
            <w:r w:rsidRPr="00E87B7E">
              <w:rPr>
                <w:rStyle w:val="Hyperlink"/>
                <w:noProof/>
              </w:rPr>
              <w:t>2.3.1 Sparks Loyalty Program and Customer Data Asset</w:t>
            </w:r>
            <w:r>
              <w:rPr>
                <w:noProof/>
                <w:webHidden/>
              </w:rPr>
              <w:tab/>
            </w:r>
            <w:r>
              <w:rPr>
                <w:noProof/>
                <w:webHidden/>
              </w:rPr>
              <w:fldChar w:fldCharType="begin"/>
            </w:r>
            <w:r>
              <w:rPr>
                <w:noProof/>
                <w:webHidden/>
              </w:rPr>
              <w:instrText xml:space="preserve"> PAGEREF _Toc231355735 \h </w:instrText>
            </w:r>
            <w:r>
              <w:rPr>
                <w:noProof/>
                <w:webHidden/>
              </w:rPr>
            </w:r>
            <w:r>
              <w:rPr>
                <w:noProof/>
                <w:webHidden/>
              </w:rPr>
              <w:fldChar w:fldCharType="separate"/>
            </w:r>
            <w:r>
              <w:rPr>
                <w:noProof/>
                <w:webHidden/>
              </w:rPr>
              <w:t>10</w:t>
            </w:r>
            <w:r>
              <w:rPr>
                <w:noProof/>
                <w:webHidden/>
              </w:rPr>
              <w:fldChar w:fldCharType="end"/>
            </w:r>
          </w:hyperlink>
        </w:p>
        <w:p w14:paraId="67D75719" w14:textId="7F685E0C" w:rsidR="00345B31" w:rsidRDefault="00345B31">
          <w:pPr>
            <w:pStyle w:val="TOC3"/>
            <w:tabs>
              <w:tab w:val="right" w:leader="dot" w:pos="9016"/>
            </w:tabs>
            <w:rPr>
              <w:rFonts w:eastAsiaTheme="minorEastAsia"/>
              <w:noProof/>
            </w:rPr>
          </w:pPr>
          <w:hyperlink w:anchor="_Toc231355736" w:history="1">
            <w:r w:rsidRPr="00E87B7E">
              <w:rPr>
                <w:rStyle w:val="Hyperlink"/>
                <w:noProof/>
              </w:rPr>
              <w:t>2.3.2 Microsoft Azure Strategic Partnership</w:t>
            </w:r>
            <w:r>
              <w:rPr>
                <w:noProof/>
                <w:webHidden/>
              </w:rPr>
              <w:tab/>
            </w:r>
            <w:r>
              <w:rPr>
                <w:noProof/>
                <w:webHidden/>
              </w:rPr>
              <w:fldChar w:fldCharType="begin"/>
            </w:r>
            <w:r>
              <w:rPr>
                <w:noProof/>
                <w:webHidden/>
              </w:rPr>
              <w:instrText xml:space="preserve"> PAGEREF _Toc231355736 \h </w:instrText>
            </w:r>
            <w:r>
              <w:rPr>
                <w:noProof/>
                <w:webHidden/>
              </w:rPr>
            </w:r>
            <w:r>
              <w:rPr>
                <w:noProof/>
                <w:webHidden/>
              </w:rPr>
              <w:fldChar w:fldCharType="separate"/>
            </w:r>
            <w:r>
              <w:rPr>
                <w:noProof/>
                <w:webHidden/>
              </w:rPr>
              <w:t>11</w:t>
            </w:r>
            <w:r>
              <w:rPr>
                <w:noProof/>
                <w:webHidden/>
              </w:rPr>
              <w:fldChar w:fldCharType="end"/>
            </w:r>
          </w:hyperlink>
        </w:p>
        <w:p w14:paraId="4B35436E" w14:textId="5AF146BF" w:rsidR="00345B31" w:rsidRDefault="00345B31">
          <w:pPr>
            <w:pStyle w:val="TOC3"/>
            <w:tabs>
              <w:tab w:val="right" w:leader="dot" w:pos="9016"/>
            </w:tabs>
            <w:rPr>
              <w:rFonts w:eastAsiaTheme="minorEastAsia"/>
              <w:noProof/>
            </w:rPr>
          </w:pPr>
          <w:hyperlink w:anchor="_Toc231355737" w:history="1">
            <w:r w:rsidRPr="00E87B7E">
              <w:rPr>
                <w:rStyle w:val="Hyperlink"/>
                <w:noProof/>
              </w:rPr>
              <w:t>2.3.3 First Insight AI and Predictive Merchandising</w:t>
            </w:r>
            <w:r>
              <w:rPr>
                <w:noProof/>
                <w:webHidden/>
              </w:rPr>
              <w:tab/>
            </w:r>
            <w:r>
              <w:rPr>
                <w:noProof/>
                <w:webHidden/>
              </w:rPr>
              <w:fldChar w:fldCharType="begin"/>
            </w:r>
            <w:r>
              <w:rPr>
                <w:noProof/>
                <w:webHidden/>
              </w:rPr>
              <w:instrText xml:space="preserve"> PAGEREF _Toc231355737 \h </w:instrText>
            </w:r>
            <w:r>
              <w:rPr>
                <w:noProof/>
                <w:webHidden/>
              </w:rPr>
            </w:r>
            <w:r>
              <w:rPr>
                <w:noProof/>
                <w:webHidden/>
              </w:rPr>
              <w:fldChar w:fldCharType="separate"/>
            </w:r>
            <w:r>
              <w:rPr>
                <w:noProof/>
                <w:webHidden/>
              </w:rPr>
              <w:t>11</w:t>
            </w:r>
            <w:r>
              <w:rPr>
                <w:noProof/>
                <w:webHidden/>
              </w:rPr>
              <w:fldChar w:fldCharType="end"/>
            </w:r>
          </w:hyperlink>
        </w:p>
        <w:p w14:paraId="5568BBA3" w14:textId="65BB70E7" w:rsidR="00345B31" w:rsidRDefault="00345B31">
          <w:pPr>
            <w:pStyle w:val="TOC3"/>
            <w:tabs>
              <w:tab w:val="right" w:leader="dot" w:pos="9016"/>
            </w:tabs>
            <w:rPr>
              <w:rFonts w:eastAsiaTheme="minorEastAsia"/>
              <w:noProof/>
            </w:rPr>
          </w:pPr>
          <w:hyperlink w:anchor="_Toc231355738" w:history="1">
            <w:r w:rsidRPr="00E87B7E">
              <w:rPr>
                <w:rStyle w:val="Hyperlink"/>
                <w:noProof/>
              </w:rPr>
              <w:t>2.3.4 Cambridge Spark AI Academy and Internal Capability Development</w:t>
            </w:r>
            <w:r>
              <w:rPr>
                <w:noProof/>
                <w:webHidden/>
              </w:rPr>
              <w:tab/>
            </w:r>
            <w:r>
              <w:rPr>
                <w:noProof/>
                <w:webHidden/>
              </w:rPr>
              <w:fldChar w:fldCharType="begin"/>
            </w:r>
            <w:r>
              <w:rPr>
                <w:noProof/>
                <w:webHidden/>
              </w:rPr>
              <w:instrText xml:space="preserve"> PAGEREF _Toc231355738 \h </w:instrText>
            </w:r>
            <w:r>
              <w:rPr>
                <w:noProof/>
                <w:webHidden/>
              </w:rPr>
            </w:r>
            <w:r>
              <w:rPr>
                <w:noProof/>
                <w:webHidden/>
              </w:rPr>
              <w:fldChar w:fldCharType="separate"/>
            </w:r>
            <w:r>
              <w:rPr>
                <w:noProof/>
                <w:webHidden/>
              </w:rPr>
              <w:t>12</w:t>
            </w:r>
            <w:r>
              <w:rPr>
                <w:noProof/>
                <w:webHidden/>
              </w:rPr>
              <w:fldChar w:fldCharType="end"/>
            </w:r>
          </w:hyperlink>
        </w:p>
        <w:p w14:paraId="2DF32C8A" w14:textId="5920CCD2" w:rsidR="00345B31" w:rsidRDefault="00345B31">
          <w:pPr>
            <w:pStyle w:val="TOC2"/>
            <w:tabs>
              <w:tab w:val="right" w:leader="dot" w:pos="9016"/>
            </w:tabs>
            <w:rPr>
              <w:rFonts w:eastAsiaTheme="minorEastAsia"/>
              <w:noProof/>
            </w:rPr>
          </w:pPr>
          <w:hyperlink w:anchor="_Toc231355739" w:history="1">
            <w:r w:rsidRPr="00E87B7E">
              <w:rPr>
                <w:rStyle w:val="Hyperlink"/>
                <w:noProof/>
              </w:rPr>
              <w:t>2.4 Organizational Agility: Strategic or Illusory?</w:t>
            </w:r>
            <w:r>
              <w:rPr>
                <w:noProof/>
                <w:webHidden/>
              </w:rPr>
              <w:tab/>
            </w:r>
            <w:r>
              <w:rPr>
                <w:noProof/>
                <w:webHidden/>
              </w:rPr>
              <w:fldChar w:fldCharType="begin"/>
            </w:r>
            <w:r>
              <w:rPr>
                <w:noProof/>
                <w:webHidden/>
              </w:rPr>
              <w:instrText xml:space="preserve"> PAGEREF _Toc231355739 \h </w:instrText>
            </w:r>
            <w:r>
              <w:rPr>
                <w:noProof/>
                <w:webHidden/>
              </w:rPr>
            </w:r>
            <w:r>
              <w:rPr>
                <w:noProof/>
                <w:webHidden/>
              </w:rPr>
              <w:fldChar w:fldCharType="separate"/>
            </w:r>
            <w:r>
              <w:rPr>
                <w:noProof/>
                <w:webHidden/>
              </w:rPr>
              <w:t>12</w:t>
            </w:r>
            <w:r>
              <w:rPr>
                <w:noProof/>
                <w:webHidden/>
              </w:rPr>
              <w:fldChar w:fldCharType="end"/>
            </w:r>
          </w:hyperlink>
        </w:p>
        <w:p w14:paraId="6500792E" w14:textId="74043609" w:rsidR="00345B31" w:rsidRDefault="00345B31">
          <w:pPr>
            <w:pStyle w:val="TOC3"/>
            <w:tabs>
              <w:tab w:val="right" w:leader="dot" w:pos="9016"/>
            </w:tabs>
            <w:rPr>
              <w:rFonts w:eastAsiaTheme="minorEastAsia"/>
              <w:noProof/>
            </w:rPr>
          </w:pPr>
          <w:hyperlink w:anchor="_Toc231355740" w:history="1">
            <w:r w:rsidRPr="00E87B7E">
              <w:rPr>
                <w:rStyle w:val="Hyperlink"/>
                <w:noProof/>
              </w:rPr>
              <w:t>2.4.1 Sensing Capability</w:t>
            </w:r>
            <w:r>
              <w:rPr>
                <w:noProof/>
                <w:webHidden/>
              </w:rPr>
              <w:tab/>
            </w:r>
            <w:r>
              <w:rPr>
                <w:noProof/>
                <w:webHidden/>
              </w:rPr>
              <w:fldChar w:fldCharType="begin"/>
            </w:r>
            <w:r>
              <w:rPr>
                <w:noProof/>
                <w:webHidden/>
              </w:rPr>
              <w:instrText xml:space="preserve"> PAGEREF _Toc231355740 \h </w:instrText>
            </w:r>
            <w:r>
              <w:rPr>
                <w:noProof/>
                <w:webHidden/>
              </w:rPr>
            </w:r>
            <w:r>
              <w:rPr>
                <w:noProof/>
                <w:webHidden/>
              </w:rPr>
              <w:fldChar w:fldCharType="separate"/>
            </w:r>
            <w:r>
              <w:rPr>
                <w:noProof/>
                <w:webHidden/>
              </w:rPr>
              <w:t>13</w:t>
            </w:r>
            <w:r>
              <w:rPr>
                <w:noProof/>
                <w:webHidden/>
              </w:rPr>
              <w:fldChar w:fldCharType="end"/>
            </w:r>
          </w:hyperlink>
        </w:p>
        <w:p w14:paraId="5E35CBC0" w14:textId="0D9AF000" w:rsidR="00345B31" w:rsidRDefault="00345B31">
          <w:pPr>
            <w:pStyle w:val="TOC3"/>
            <w:tabs>
              <w:tab w:val="right" w:leader="dot" w:pos="9016"/>
            </w:tabs>
            <w:rPr>
              <w:rFonts w:eastAsiaTheme="minorEastAsia"/>
              <w:noProof/>
            </w:rPr>
          </w:pPr>
          <w:hyperlink w:anchor="_Toc231355741" w:history="1">
            <w:r w:rsidRPr="00E87B7E">
              <w:rPr>
                <w:rStyle w:val="Hyperlink"/>
                <w:noProof/>
              </w:rPr>
              <w:t>2.4.2 Seizing Capability</w:t>
            </w:r>
            <w:r>
              <w:rPr>
                <w:noProof/>
                <w:webHidden/>
              </w:rPr>
              <w:tab/>
            </w:r>
            <w:r>
              <w:rPr>
                <w:noProof/>
                <w:webHidden/>
              </w:rPr>
              <w:fldChar w:fldCharType="begin"/>
            </w:r>
            <w:r>
              <w:rPr>
                <w:noProof/>
                <w:webHidden/>
              </w:rPr>
              <w:instrText xml:space="preserve"> PAGEREF _Toc231355741 \h </w:instrText>
            </w:r>
            <w:r>
              <w:rPr>
                <w:noProof/>
                <w:webHidden/>
              </w:rPr>
            </w:r>
            <w:r>
              <w:rPr>
                <w:noProof/>
                <w:webHidden/>
              </w:rPr>
              <w:fldChar w:fldCharType="separate"/>
            </w:r>
            <w:r>
              <w:rPr>
                <w:noProof/>
                <w:webHidden/>
              </w:rPr>
              <w:t>13</w:t>
            </w:r>
            <w:r>
              <w:rPr>
                <w:noProof/>
                <w:webHidden/>
              </w:rPr>
              <w:fldChar w:fldCharType="end"/>
            </w:r>
          </w:hyperlink>
        </w:p>
        <w:p w14:paraId="50D6701F" w14:textId="748BE0D3" w:rsidR="00345B31" w:rsidRDefault="00345B31">
          <w:pPr>
            <w:pStyle w:val="TOC3"/>
            <w:tabs>
              <w:tab w:val="right" w:leader="dot" w:pos="9016"/>
            </w:tabs>
            <w:rPr>
              <w:rFonts w:eastAsiaTheme="minorEastAsia"/>
              <w:noProof/>
            </w:rPr>
          </w:pPr>
          <w:hyperlink w:anchor="_Toc231355742" w:history="1">
            <w:r w:rsidRPr="00E87B7E">
              <w:rPr>
                <w:rStyle w:val="Hyperlink"/>
                <w:noProof/>
              </w:rPr>
              <w:t>2.4.3 Reconfiguring Capability</w:t>
            </w:r>
            <w:r>
              <w:rPr>
                <w:noProof/>
                <w:webHidden/>
              </w:rPr>
              <w:tab/>
            </w:r>
            <w:r>
              <w:rPr>
                <w:noProof/>
                <w:webHidden/>
              </w:rPr>
              <w:fldChar w:fldCharType="begin"/>
            </w:r>
            <w:r>
              <w:rPr>
                <w:noProof/>
                <w:webHidden/>
              </w:rPr>
              <w:instrText xml:space="preserve"> PAGEREF _Toc231355742 \h </w:instrText>
            </w:r>
            <w:r>
              <w:rPr>
                <w:noProof/>
                <w:webHidden/>
              </w:rPr>
            </w:r>
            <w:r>
              <w:rPr>
                <w:noProof/>
                <w:webHidden/>
              </w:rPr>
              <w:fldChar w:fldCharType="separate"/>
            </w:r>
            <w:r>
              <w:rPr>
                <w:noProof/>
                <w:webHidden/>
              </w:rPr>
              <w:t>13</w:t>
            </w:r>
            <w:r>
              <w:rPr>
                <w:noProof/>
                <w:webHidden/>
              </w:rPr>
              <w:fldChar w:fldCharType="end"/>
            </w:r>
          </w:hyperlink>
        </w:p>
        <w:p w14:paraId="4D983A44" w14:textId="7D83267A" w:rsidR="00345B31" w:rsidRDefault="00345B31">
          <w:pPr>
            <w:pStyle w:val="TOC3"/>
            <w:tabs>
              <w:tab w:val="right" w:leader="dot" w:pos="9016"/>
            </w:tabs>
            <w:rPr>
              <w:rFonts w:eastAsiaTheme="minorEastAsia"/>
              <w:noProof/>
            </w:rPr>
          </w:pPr>
          <w:hyperlink w:anchor="_Toc231355743" w:history="1">
            <w:r w:rsidRPr="00E87B7E">
              <w:rPr>
                <w:rStyle w:val="Hyperlink"/>
                <w:noProof/>
              </w:rPr>
              <w:t>2.4.4 Emergent versus Deliberate Strategy</w:t>
            </w:r>
            <w:r>
              <w:rPr>
                <w:noProof/>
                <w:webHidden/>
              </w:rPr>
              <w:tab/>
            </w:r>
            <w:r>
              <w:rPr>
                <w:noProof/>
                <w:webHidden/>
              </w:rPr>
              <w:fldChar w:fldCharType="begin"/>
            </w:r>
            <w:r>
              <w:rPr>
                <w:noProof/>
                <w:webHidden/>
              </w:rPr>
              <w:instrText xml:space="preserve"> PAGEREF _Toc231355743 \h </w:instrText>
            </w:r>
            <w:r>
              <w:rPr>
                <w:noProof/>
                <w:webHidden/>
              </w:rPr>
            </w:r>
            <w:r>
              <w:rPr>
                <w:noProof/>
                <w:webHidden/>
              </w:rPr>
              <w:fldChar w:fldCharType="separate"/>
            </w:r>
            <w:r>
              <w:rPr>
                <w:noProof/>
                <w:webHidden/>
              </w:rPr>
              <w:t>14</w:t>
            </w:r>
            <w:r>
              <w:rPr>
                <w:noProof/>
                <w:webHidden/>
              </w:rPr>
              <w:fldChar w:fldCharType="end"/>
            </w:r>
          </w:hyperlink>
        </w:p>
        <w:p w14:paraId="640016D9" w14:textId="5074A42F" w:rsidR="00345B31" w:rsidRDefault="00345B31">
          <w:pPr>
            <w:pStyle w:val="TOC3"/>
            <w:tabs>
              <w:tab w:val="right" w:leader="dot" w:pos="9016"/>
            </w:tabs>
            <w:rPr>
              <w:rFonts w:eastAsiaTheme="minorEastAsia"/>
              <w:noProof/>
            </w:rPr>
          </w:pPr>
          <w:hyperlink w:anchor="_Toc231355744" w:history="1">
            <w:r w:rsidRPr="00E87B7E">
              <w:rPr>
                <w:rStyle w:val="Hyperlink"/>
                <w:noProof/>
              </w:rPr>
              <w:t>2.4.5 The Cyberattack as a Strategic Stress Test</w:t>
            </w:r>
            <w:r>
              <w:rPr>
                <w:noProof/>
                <w:webHidden/>
              </w:rPr>
              <w:tab/>
            </w:r>
            <w:r>
              <w:rPr>
                <w:noProof/>
                <w:webHidden/>
              </w:rPr>
              <w:fldChar w:fldCharType="begin"/>
            </w:r>
            <w:r>
              <w:rPr>
                <w:noProof/>
                <w:webHidden/>
              </w:rPr>
              <w:instrText xml:space="preserve"> PAGEREF _Toc231355744 \h </w:instrText>
            </w:r>
            <w:r>
              <w:rPr>
                <w:noProof/>
                <w:webHidden/>
              </w:rPr>
            </w:r>
            <w:r>
              <w:rPr>
                <w:noProof/>
                <w:webHidden/>
              </w:rPr>
              <w:fldChar w:fldCharType="separate"/>
            </w:r>
            <w:r>
              <w:rPr>
                <w:noProof/>
                <w:webHidden/>
              </w:rPr>
              <w:t>14</w:t>
            </w:r>
            <w:r>
              <w:rPr>
                <w:noProof/>
                <w:webHidden/>
              </w:rPr>
              <w:fldChar w:fldCharType="end"/>
            </w:r>
          </w:hyperlink>
        </w:p>
        <w:p w14:paraId="72795BFE" w14:textId="0DC46E53" w:rsidR="00345B31" w:rsidRDefault="00345B31">
          <w:pPr>
            <w:pStyle w:val="TOC2"/>
            <w:tabs>
              <w:tab w:val="right" w:leader="dot" w:pos="9016"/>
            </w:tabs>
            <w:rPr>
              <w:rFonts w:eastAsiaTheme="minorEastAsia"/>
              <w:noProof/>
            </w:rPr>
          </w:pPr>
          <w:hyperlink w:anchor="_Toc231355745" w:history="1">
            <w:r w:rsidRPr="00E87B7E">
              <w:rPr>
                <w:rStyle w:val="Hyperlink"/>
                <w:noProof/>
              </w:rPr>
              <w:t>2.5 Customer Experience and Trust: The Critical Interface</w:t>
            </w:r>
            <w:r>
              <w:rPr>
                <w:noProof/>
                <w:webHidden/>
              </w:rPr>
              <w:tab/>
            </w:r>
            <w:r>
              <w:rPr>
                <w:noProof/>
                <w:webHidden/>
              </w:rPr>
              <w:fldChar w:fldCharType="begin"/>
            </w:r>
            <w:r>
              <w:rPr>
                <w:noProof/>
                <w:webHidden/>
              </w:rPr>
              <w:instrText xml:space="preserve"> PAGEREF _Toc231355745 \h </w:instrText>
            </w:r>
            <w:r>
              <w:rPr>
                <w:noProof/>
                <w:webHidden/>
              </w:rPr>
            </w:r>
            <w:r>
              <w:rPr>
                <w:noProof/>
                <w:webHidden/>
              </w:rPr>
              <w:fldChar w:fldCharType="separate"/>
            </w:r>
            <w:r>
              <w:rPr>
                <w:noProof/>
                <w:webHidden/>
              </w:rPr>
              <w:t>15</w:t>
            </w:r>
            <w:r>
              <w:rPr>
                <w:noProof/>
                <w:webHidden/>
              </w:rPr>
              <w:fldChar w:fldCharType="end"/>
            </w:r>
          </w:hyperlink>
        </w:p>
        <w:p w14:paraId="34CB2552" w14:textId="15BADDB9" w:rsidR="00345B31" w:rsidRDefault="00345B31">
          <w:pPr>
            <w:pStyle w:val="TOC2"/>
            <w:tabs>
              <w:tab w:val="right" w:leader="dot" w:pos="9016"/>
            </w:tabs>
            <w:rPr>
              <w:rFonts w:eastAsiaTheme="minorEastAsia"/>
              <w:noProof/>
            </w:rPr>
          </w:pPr>
          <w:hyperlink w:anchor="_Toc231355746" w:history="1">
            <w:r w:rsidRPr="00E87B7E">
              <w:rPr>
                <w:rStyle w:val="Hyperlink"/>
                <w:noProof/>
              </w:rPr>
              <w:t>2.6 Ethical Dimensions and Governance</w:t>
            </w:r>
            <w:r>
              <w:rPr>
                <w:noProof/>
                <w:webHidden/>
              </w:rPr>
              <w:tab/>
            </w:r>
            <w:r>
              <w:rPr>
                <w:noProof/>
                <w:webHidden/>
              </w:rPr>
              <w:fldChar w:fldCharType="begin"/>
            </w:r>
            <w:r>
              <w:rPr>
                <w:noProof/>
                <w:webHidden/>
              </w:rPr>
              <w:instrText xml:space="preserve"> PAGEREF _Toc231355746 \h </w:instrText>
            </w:r>
            <w:r>
              <w:rPr>
                <w:noProof/>
                <w:webHidden/>
              </w:rPr>
            </w:r>
            <w:r>
              <w:rPr>
                <w:noProof/>
                <w:webHidden/>
              </w:rPr>
              <w:fldChar w:fldCharType="separate"/>
            </w:r>
            <w:r>
              <w:rPr>
                <w:noProof/>
                <w:webHidden/>
              </w:rPr>
              <w:t>16</w:t>
            </w:r>
            <w:r>
              <w:rPr>
                <w:noProof/>
                <w:webHidden/>
              </w:rPr>
              <w:fldChar w:fldCharType="end"/>
            </w:r>
          </w:hyperlink>
        </w:p>
        <w:p w14:paraId="706392FA" w14:textId="6196628B" w:rsidR="00345B31" w:rsidRDefault="00345B31">
          <w:pPr>
            <w:pStyle w:val="TOC1"/>
            <w:tabs>
              <w:tab w:val="right" w:leader="dot" w:pos="9016"/>
            </w:tabs>
            <w:rPr>
              <w:rFonts w:eastAsiaTheme="minorEastAsia"/>
              <w:noProof/>
            </w:rPr>
          </w:pPr>
          <w:hyperlink w:anchor="_Toc231355747" w:history="1">
            <w:r w:rsidRPr="00E87B7E">
              <w:rPr>
                <w:rStyle w:val="Hyperlink"/>
                <w:b/>
                <w:bCs/>
                <w:noProof/>
              </w:rPr>
              <w:t>3. Conclusions</w:t>
            </w:r>
            <w:r>
              <w:rPr>
                <w:noProof/>
                <w:webHidden/>
              </w:rPr>
              <w:tab/>
            </w:r>
            <w:r>
              <w:rPr>
                <w:noProof/>
                <w:webHidden/>
              </w:rPr>
              <w:fldChar w:fldCharType="begin"/>
            </w:r>
            <w:r>
              <w:rPr>
                <w:noProof/>
                <w:webHidden/>
              </w:rPr>
              <w:instrText xml:space="preserve"> PAGEREF _Toc231355747 \h </w:instrText>
            </w:r>
            <w:r>
              <w:rPr>
                <w:noProof/>
                <w:webHidden/>
              </w:rPr>
            </w:r>
            <w:r>
              <w:rPr>
                <w:noProof/>
                <w:webHidden/>
              </w:rPr>
              <w:fldChar w:fldCharType="separate"/>
            </w:r>
            <w:r>
              <w:rPr>
                <w:noProof/>
                <w:webHidden/>
              </w:rPr>
              <w:t>17</w:t>
            </w:r>
            <w:r>
              <w:rPr>
                <w:noProof/>
                <w:webHidden/>
              </w:rPr>
              <w:fldChar w:fldCharType="end"/>
            </w:r>
          </w:hyperlink>
        </w:p>
        <w:p w14:paraId="370A7902" w14:textId="3EF1FF3A" w:rsidR="00345B31" w:rsidRDefault="00345B31">
          <w:pPr>
            <w:pStyle w:val="TOC1"/>
            <w:tabs>
              <w:tab w:val="right" w:leader="dot" w:pos="9016"/>
            </w:tabs>
            <w:rPr>
              <w:rFonts w:eastAsiaTheme="minorEastAsia"/>
              <w:noProof/>
            </w:rPr>
          </w:pPr>
          <w:hyperlink w:anchor="_Toc231355748" w:history="1">
            <w:r w:rsidRPr="00E87B7E">
              <w:rPr>
                <w:rStyle w:val="Hyperlink"/>
                <w:b/>
                <w:bCs/>
                <w:noProof/>
              </w:rPr>
              <w:t>4. Recommendations</w:t>
            </w:r>
            <w:r>
              <w:rPr>
                <w:noProof/>
                <w:webHidden/>
              </w:rPr>
              <w:tab/>
            </w:r>
            <w:r>
              <w:rPr>
                <w:noProof/>
                <w:webHidden/>
              </w:rPr>
              <w:fldChar w:fldCharType="begin"/>
            </w:r>
            <w:r>
              <w:rPr>
                <w:noProof/>
                <w:webHidden/>
              </w:rPr>
              <w:instrText xml:space="preserve"> PAGEREF _Toc231355748 \h </w:instrText>
            </w:r>
            <w:r>
              <w:rPr>
                <w:noProof/>
                <w:webHidden/>
              </w:rPr>
            </w:r>
            <w:r>
              <w:rPr>
                <w:noProof/>
                <w:webHidden/>
              </w:rPr>
              <w:fldChar w:fldCharType="separate"/>
            </w:r>
            <w:r>
              <w:rPr>
                <w:noProof/>
                <w:webHidden/>
              </w:rPr>
              <w:t>18</w:t>
            </w:r>
            <w:r>
              <w:rPr>
                <w:noProof/>
                <w:webHidden/>
              </w:rPr>
              <w:fldChar w:fldCharType="end"/>
            </w:r>
          </w:hyperlink>
        </w:p>
        <w:p w14:paraId="27D102B1" w14:textId="795045FF" w:rsidR="00345B31" w:rsidRDefault="00345B31">
          <w:pPr>
            <w:pStyle w:val="TOC3"/>
            <w:tabs>
              <w:tab w:val="right" w:leader="dot" w:pos="9016"/>
            </w:tabs>
            <w:rPr>
              <w:rFonts w:eastAsiaTheme="minorEastAsia"/>
              <w:noProof/>
            </w:rPr>
          </w:pPr>
          <w:hyperlink w:anchor="_Toc231355749" w:history="1">
            <w:r w:rsidRPr="00E87B7E">
              <w:rPr>
                <w:rStyle w:val="Hyperlink"/>
                <w:noProof/>
              </w:rPr>
              <w:t>4.1.1 Appoint a Chief AI Ethics and Data Governance Officer</w:t>
            </w:r>
            <w:r>
              <w:rPr>
                <w:noProof/>
                <w:webHidden/>
              </w:rPr>
              <w:tab/>
            </w:r>
            <w:r>
              <w:rPr>
                <w:noProof/>
                <w:webHidden/>
              </w:rPr>
              <w:fldChar w:fldCharType="begin"/>
            </w:r>
            <w:r>
              <w:rPr>
                <w:noProof/>
                <w:webHidden/>
              </w:rPr>
              <w:instrText xml:space="preserve"> PAGEREF _Toc231355749 \h </w:instrText>
            </w:r>
            <w:r>
              <w:rPr>
                <w:noProof/>
                <w:webHidden/>
              </w:rPr>
            </w:r>
            <w:r>
              <w:rPr>
                <w:noProof/>
                <w:webHidden/>
              </w:rPr>
              <w:fldChar w:fldCharType="separate"/>
            </w:r>
            <w:r>
              <w:rPr>
                <w:noProof/>
                <w:webHidden/>
              </w:rPr>
              <w:t>18</w:t>
            </w:r>
            <w:r>
              <w:rPr>
                <w:noProof/>
                <w:webHidden/>
              </w:rPr>
              <w:fldChar w:fldCharType="end"/>
            </w:r>
          </w:hyperlink>
        </w:p>
        <w:p w14:paraId="18610649" w14:textId="13DFBEFF" w:rsidR="00345B31" w:rsidRDefault="00345B31">
          <w:pPr>
            <w:pStyle w:val="TOC3"/>
            <w:tabs>
              <w:tab w:val="right" w:leader="dot" w:pos="9016"/>
            </w:tabs>
            <w:rPr>
              <w:rFonts w:eastAsiaTheme="minorEastAsia"/>
              <w:noProof/>
            </w:rPr>
          </w:pPr>
          <w:hyperlink w:anchor="_Toc231355750" w:history="1">
            <w:r w:rsidRPr="00E87B7E">
              <w:rPr>
                <w:rStyle w:val="Hyperlink"/>
                <w:noProof/>
              </w:rPr>
              <w:t>4.1.2 Implement Privacy-by-Design Across All AI Systems</w:t>
            </w:r>
            <w:r>
              <w:rPr>
                <w:noProof/>
                <w:webHidden/>
              </w:rPr>
              <w:tab/>
            </w:r>
            <w:r>
              <w:rPr>
                <w:noProof/>
                <w:webHidden/>
              </w:rPr>
              <w:fldChar w:fldCharType="begin"/>
            </w:r>
            <w:r>
              <w:rPr>
                <w:noProof/>
                <w:webHidden/>
              </w:rPr>
              <w:instrText xml:space="preserve"> PAGEREF _Toc231355750 \h </w:instrText>
            </w:r>
            <w:r>
              <w:rPr>
                <w:noProof/>
                <w:webHidden/>
              </w:rPr>
            </w:r>
            <w:r>
              <w:rPr>
                <w:noProof/>
                <w:webHidden/>
              </w:rPr>
              <w:fldChar w:fldCharType="separate"/>
            </w:r>
            <w:r>
              <w:rPr>
                <w:noProof/>
                <w:webHidden/>
              </w:rPr>
              <w:t>18</w:t>
            </w:r>
            <w:r>
              <w:rPr>
                <w:noProof/>
                <w:webHidden/>
              </w:rPr>
              <w:fldChar w:fldCharType="end"/>
            </w:r>
          </w:hyperlink>
        </w:p>
        <w:p w14:paraId="5D3AEB05" w14:textId="19F8DAC9" w:rsidR="00345B31" w:rsidRDefault="00345B31">
          <w:pPr>
            <w:pStyle w:val="TOC3"/>
            <w:tabs>
              <w:tab w:val="right" w:leader="dot" w:pos="9016"/>
            </w:tabs>
            <w:rPr>
              <w:rFonts w:eastAsiaTheme="minorEastAsia"/>
              <w:noProof/>
            </w:rPr>
          </w:pPr>
          <w:hyperlink w:anchor="_Toc231355751" w:history="1">
            <w:r w:rsidRPr="00E87B7E">
              <w:rPr>
                <w:rStyle w:val="Hyperlink"/>
                <w:noProof/>
              </w:rPr>
              <w:t>4.1.3 Establish a Zero Trust Security Architecture</w:t>
            </w:r>
            <w:r>
              <w:rPr>
                <w:noProof/>
                <w:webHidden/>
              </w:rPr>
              <w:tab/>
            </w:r>
            <w:r>
              <w:rPr>
                <w:noProof/>
                <w:webHidden/>
              </w:rPr>
              <w:fldChar w:fldCharType="begin"/>
            </w:r>
            <w:r>
              <w:rPr>
                <w:noProof/>
                <w:webHidden/>
              </w:rPr>
              <w:instrText xml:space="preserve"> PAGEREF _Toc231355751 \h </w:instrText>
            </w:r>
            <w:r>
              <w:rPr>
                <w:noProof/>
                <w:webHidden/>
              </w:rPr>
            </w:r>
            <w:r>
              <w:rPr>
                <w:noProof/>
                <w:webHidden/>
              </w:rPr>
              <w:fldChar w:fldCharType="separate"/>
            </w:r>
            <w:r>
              <w:rPr>
                <w:noProof/>
                <w:webHidden/>
              </w:rPr>
              <w:t>18</w:t>
            </w:r>
            <w:r>
              <w:rPr>
                <w:noProof/>
                <w:webHidden/>
              </w:rPr>
              <w:fldChar w:fldCharType="end"/>
            </w:r>
          </w:hyperlink>
        </w:p>
        <w:p w14:paraId="38570A1D" w14:textId="1785B571" w:rsidR="00345B31" w:rsidRDefault="00345B31">
          <w:pPr>
            <w:pStyle w:val="TOC2"/>
            <w:tabs>
              <w:tab w:val="right" w:leader="dot" w:pos="9016"/>
            </w:tabs>
            <w:rPr>
              <w:rFonts w:eastAsiaTheme="minorEastAsia"/>
              <w:noProof/>
            </w:rPr>
          </w:pPr>
          <w:hyperlink w:anchor="_Toc231355752" w:history="1">
            <w:r w:rsidRPr="00E87B7E">
              <w:rPr>
                <w:rStyle w:val="Hyperlink"/>
                <w:noProof/>
              </w:rPr>
              <w:t>4.1.4 Develop a Supplier AI and Cybersecurity Accreditation Program</w:t>
            </w:r>
            <w:r>
              <w:rPr>
                <w:noProof/>
                <w:webHidden/>
              </w:rPr>
              <w:tab/>
            </w:r>
            <w:r>
              <w:rPr>
                <w:noProof/>
                <w:webHidden/>
              </w:rPr>
              <w:fldChar w:fldCharType="begin"/>
            </w:r>
            <w:r>
              <w:rPr>
                <w:noProof/>
                <w:webHidden/>
              </w:rPr>
              <w:instrText xml:space="preserve"> PAGEREF _Toc231355752 \h </w:instrText>
            </w:r>
            <w:r>
              <w:rPr>
                <w:noProof/>
                <w:webHidden/>
              </w:rPr>
            </w:r>
            <w:r>
              <w:rPr>
                <w:noProof/>
                <w:webHidden/>
              </w:rPr>
              <w:fldChar w:fldCharType="separate"/>
            </w:r>
            <w:r>
              <w:rPr>
                <w:noProof/>
                <w:webHidden/>
              </w:rPr>
              <w:t>19</w:t>
            </w:r>
            <w:r>
              <w:rPr>
                <w:noProof/>
                <w:webHidden/>
              </w:rPr>
              <w:fldChar w:fldCharType="end"/>
            </w:r>
          </w:hyperlink>
        </w:p>
        <w:p w14:paraId="7E2BD891" w14:textId="166FEDFE" w:rsidR="00345B31" w:rsidRDefault="00345B31">
          <w:pPr>
            <w:pStyle w:val="TOC2"/>
            <w:tabs>
              <w:tab w:val="right" w:leader="dot" w:pos="9016"/>
            </w:tabs>
            <w:rPr>
              <w:rFonts w:eastAsiaTheme="minorEastAsia"/>
              <w:noProof/>
            </w:rPr>
          </w:pPr>
          <w:hyperlink w:anchor="_Toc231355753" w:history="1">
            <w:r w:rsidRPr="00E87B7E">
              <w:rPr>
                <w:rStyle w:val="Hyperlink"/>
                <w:noProof/>
              </w:rPr>
              <w:t>4.1.5 Invest in Transparent AI Communication with Customers</w:t>
            </w:r>
            <w:r>
              <w:rPr>
                <w:noProof/>
                <w:webHidden/>
              </w:rPr>
              <w:tab/>
            </w:r>
            <w:r>
              <w:rPr>
                <w:noProof/>
                <w:webHidden/>
              </w:rPr>
              <w:fldChar w:fldCharType="begin"/>
            </w:r>
            <w:r>
              <w:rPr>
                <w:noProof/>
                <w:webHidden/>
              </w:rPr>
              <w:instrText xml:space="preserve"> PAGEREF _Toc231355753 \h </w:instrText>
            </w:r>
            <w:r>
              <w:rPr>
                <w:noProof/>
                <w:webHidden/>
              </w:rPr>
            </w:r>
            <w:r>
              <w:rPr>
                <w:noProof/>
                <w:webHidden/>
              </w:rPr>
              <w:fldChar w:fldCharType="separate"/>
            </w:r>
            <w:r>
              <w:rPr>
                <w:noProof/>
                <w:webHidden/>
              </w:rPr>
              <w:t>19</w:t>
            </w:r>
            <w:r>
              <w:rPr>
                <w:noProof/>
                <w:webHidden/>
              </w:rPr>
              <w:fldChar w:fldCharType="end"/>
            </w:r>
          </w:hyperlink>
        </w:p>
        <w:p w14:paraId="7320314D" w14:textId="1816070C" w:rsidR="00345B31" w:rsidRDefault="00345B31">
          <w:pPr>
            <w:pStyle w:val="TOC2"/>
            <w:tabs>
              <w:tab w:val="right" w:leader="dot" w:pos="9016"/>
            </w:tabs>
            <w:rPr>
              <w:rFonts w:eastAsiaTheme="minorEastAsia"/>
              <w:noProof/>
            </w:rPr>
          </w:pPr>
          <w:hyperlink w:anchor="_Toc231355754" w:history="1">
            <w:r w:rsidRPr="00E87B7E">
              <w:rPr>
                <w:rStyle w:val="Hyperlink"/>
                <w:noProof/>
              </w:rPr>
              <w:t>4.1.6 Establish Analogue Resilience Protocols</w:t>
            </w:r>
            <w:r>
              <w:rPr>
                <w:noProof/>
                <w:webHidden/>
              </w:rPr>
              <w:tab/>
            </w:r>
            <w:r>
              <w:rPr>
                <w:noProof/>
                <w:webHidden/>
              </w:rPr>
              <w:fldChar w:fldCharType="begin"/>
            </w:r>
            <w:r>
              <w:rPr>
                <w:noProof/>
                <w:webHidden/>
              </w:rPr>
              <w:instrText xml:space="preserve"> PAGEREF _Toc231355754 \h </w:instrText>
            </w:r>
            <w:r>
              <w:rPr>
                <w:noProof/>
                <w:webHidden/>
              </w:rPr>
            </w:r>
            <w:r>
              <w:rPr>
                <w:noProof/>
                <w:webHidden/>
              </w:rPr>
              <w:fldChar w:fldCharType="separate"/>
            </w:r>
            <w:r>
              <w:rPr>
                <w:noProof/>
                <w:webHidden/>
              </w:rPr>
              <w:t>19</w:t>
            </w:r>
            <w:r>
              <w:rPr>
                <w:noProof/>
                <w:webHidden/>
              </w:rPr>
              <w:fldChar w:fldCharType="end"/>
            </w:r>
          </w:hyperlink>
        </w:p>
        <w:p w14:paraId="35105647" w14:textId="7BBBC5AB" w:rsidR="00345B31" w:rsidRDefault="00345B31">
          <w:pPr>
            <w:pStyle w:val="TOC1"/>
            <w:tabs>
              <w:tab w:val="right" w:leader="dot" w:pos="9016"/>
            </w:tabs>
            <w:rPr>
              <w:rFonts w:eastAsiaTheme="minorEastAsia"/>
              <w:noProof/>
            </w:rPr>
          </w:pPr>
          <w:hyperlink w:anchor="_Toc231355755" w:history="1">
            <w:r w:rsidRPr="00E87B7E">
              <w:rPr>
                <w:rStyle w:val="Hyperlink"/>
                <w:b/>
                <w:bCs/>
                <w:noProof/>
              </w:rPr>
              <w:t>References</w:t>
            </w:r>
            <w:r>
              <w:rPr>
                <w:noProof/>
                <w:webHidden/>
              </w:rPr>
              <w:tab/>
            </w:r>
            <w:r>
              <w:rPr>
                <w:noProof/>
                <w:webHidden/>
              </w:rPr>
              <w:fldChar w:fldCharType="begin"/>
            </w:r>
            <w:r>
              <w:rPr>
                <w:noProof/>
                <w:webHidden/>
              </w:rPr>
              <w:instrText xml:space="preserve"> PAGEREF _Toc231355755 \h </w:instrText>
            </w:r>
            <w:r>
              <w:rPr>
                <w:noProof/>
                <w:webHidden/>
              </w:rPr>
            </w:r>
            <w:r>
              <w:rPr>
                <w:noProof/>
                <w:webHidden/>
              </w:rPr>
              <w:fldChar w:fldCharType="separate"/>
            </w:r>
            <w:r>
              <w:rPr>
                <w:noProof/>
                <w:webHidden/>
              </w:rPr>
              <w:t>20</w:t>
            </w:r>
            <w:r>
              <w:rPr>
                <w:noProof/>
                <w:webHidden/>
              </w:rPr>
              <w:fldChar w:fldCharType="end"/>
            </w:r>
          </w:hyperlink>
        </w:p>
        <w:p w14:paraId="5251BDB3" w14:textId="4ECAACA5" w:rsidR="006129CC" w:rsidRDefault="006129CC">
          <w:r>
            <w:rPr>
              <w:b/>
              <w:bCs/>
              <w:noProof/>
            </w:rPr>
            <w:fldChar w:fldCharType="end"/>
          </w:r>
        </w:p>
      </w:sdtContent>
    </w:sdt>
    <w:p w14:paraId="00F7F160" w14:textId="77777777" w:rsidR="00280B6E" w:rsidRDefault="00280B6E" w:rsidP="00280B6E">
      <w:pPr>
        <w:spacing w:line="360" w:lineRule="auto"/>
        <w:jc w:val="both"/>
      </w:pPr>
    </w:p>
    <w:p w14:paraId="35212543" w14:textId="77777777" w:rsidR="006129CC" w:rsidRDefault="006129CC" w:rsidP="00280B6E">
      <w:pPr>
        <w:pStyle w:val="Heading1"/>
        <w:rPr>
          <w:b/>
          <w:bCs/>
          <w:sz w:val="36"/>
          <w:szCs w:val="36"/>
        </w:rPr>
      </w:pPr>
    </w:p>
    <w:p w14:paraId="22B05617" w14:textId="77777777" w:rsidR="006129CC" w:rsidRDefault="006129CC" w:rsidP="00280B6E">
      <w:pPr>
        <w:pStyle w:val="Heading1"/>
        <w:rPr>
          <w:b/>
          <w:bCs/>
          <w:sz w:val="36"/>
          <w:szCs w:val="36"/>
        </w:rPr>
      </w:pPr>
    </w:p>
    <w:p w14:paraId="70BAF786" w14:textId="77777777" w:rsidR="006129CC" w:rsidRDefault="006129CC" w:rsidP="00280B6E">
      <w:pPr>
        <w:pStyle w:val="Heading1"/>
        <w:rPr>
          <w:b/>
          <w:bCs/>
          <w:sz w:val="36"/>
          <w:szCs w:val="36"/>
        </w:rPr>
      </w:pPr>
    </w:p>
    <w:p w14:paraId="31AE35BB" w14:textId="77777777" w:rsidR="006129CC" w:rsidRDefault="006129CC" w:rsidP="00280B6E">
      <w:pPr>
        <w:pStyle w:val="Heading1"/>
        <w:rPr>
          <w:b/>
          <w:bCs/>
          <w:sz w:val="36"/>
          <w:szCs w:val="36"/>
        </w:rPr>
      </w:pPr>
    </w:p>
    <w:p w14:paraId="332E874D" w14:textId="77777777" w:rsidR="006129CC" w:rsidRDefault="006129CC" w:rsidP="00280B6E">
      <w:pPr>
        <w:pStyle w:val="Heading1"/>
        <w:rPr>
          <w:b/>
          <w:bCs/>
          <w:sz w:val="36"/>
          <w:szCs w:val="36"/>
        </w:rPr>
      </w:pPr>
    </w:p>
    <w:p w14:paraId="542F2743" w14:textId="77777777" w:rsidR="006129CC" w:rsidRDefault="006129CC" w:rsidP="00280B6E">
      <w:pPr>
        <w:pStyle w:val="Heading1"/>
        <w:rPr>
          <w:b/>
          <w:bCs/>
          <w:sz w:val="36"/>
          <w:szCs w:val="36"/>
        </w:rPr>
      </w:pPr>
    </w:p>
    <w:p w14:paraId="5BAB16C2" w14:textId="77777777" w:rsidR="006129CC" w:rsidRDefault="006129CC" w:rsidP="00280B6E">
      <w:pPr>
        <w:pStyle w:val="Heading1"/>
        <w:rPr>
          <w:b/>
          <w:bCs/>
          <w:sz w:val="36"/>
          <w:szCs w:val="36"/>
        </w:rPr>
      </w:pPr>
    </w:p>
    <w:p w14:paraId="67EA94B2" w14:textId="77777777" w:rsidR="006129CC" w:rsidRDefault="006129CC" w:rsidP="00280B6E">
      <w:pPr>
        <w:pStyle w:val="Heading1"/>
        <w:rPr>
          <w:b/>
          <w:bCs/>
          <w:sz w:val="36"/>
          <w:szCs w:val="36"/>
        </w:rPr>
      </w:pPr>
    </w:p>
    <w:p w14:paraId="1A9BE31C" w14:textId="77777777" w:rsidR="006129CC" w:rsidRDefault="006129CC" w:rsidP="00280B6E">
      <w:pPr>
        <w:pStyle w:val="Heading1"/>
        <w:rPr>
          <w:b/>
          <w:bCs/>
          <w:sz w:val="36"/>
          <w:szCs w:val="36"/>
        </w:rPr>
      </w:pPr>
    </w:p>
    <w:p w14:paraId="523DC26A" w14:textId="77777777" w:rsidR="006129CC" w:rsidRDefault="006129CC" w:rsidP="006129CC"/>
    <w:p w14:paraId="238B2A97" w14:textId="77777777" w:rsidR="006129CC" w:rsidRDefault="006129CC" w:rsidP="006129CC"/>
    <w:p w14:paraId="32E93E53" w14:textId="77777777" w:rsidR="006129CC" w:rsidRDefault="006129CC" w:rsidP="006129CC"/>
    <w:p w14:paraId="231D0991" w14:textId="77777777" w:rsidR="006129CC" w:rsidRDefault="006129CC" w:rsidP="006129CC"/>
    <w:p w14:paraId="13D53107" w14:textId="3908D696" w:rsidR="00280B6E" w:rsidRPr="006129CC" w:rsidRDefault="00280B6E" w:rsidP="006129CC">
      <w:pPr>
        <w:pStyle w:val="Heading1"/>
        <w:rPr>
          <w:b/>
          <w:bCs/>
          <w:sz w:val="36"/>
          <w:szCs w:val="36"/>
        </w:rPr>
      </w:pPr>
      <w:bookmarkStart w:id="2" w:name="_Toc231355719"/>
      <w:r w:rsidRPr="006129CC">
        <w:rPr>
          <w:b/>
          <w:bCs/>
          <w:sz w:val="36"/>
          <w:szCs w:val="36"/>
        </w:rPr>
        <w:t>1. Introduction</w:t>
      </w:r>
      <w:bookmarkEnd w:id="2"/>
    </w:p>
    <w:p w14:paraId="229ED1C3" w14:textId="77777777" w:rsidR="00280B6E" w:rsidRDefault="00280B6E" w:rsidP="00280B6E">
      <w:pPr>
        <w:spacing w:line="360" w:lineRule="auto"/>
        <w:jc w:val="both"/>
      </w:pPr>
      <w:r>
        <w:t>The retail industry currently faces an era characterized by massive restructuring as a result of the combination of digitization, shifting consumer needs, and unpredictable macroeconomic environment (Whittington et al., 2020). Artificial Intelligence is emerging as a critical component of corporate strategy that retailers can leverage in their attempts to deliver superior customer experiences, increase efficiency, and differentiate themselves sustainably (Guendouz, 2024). At the same time, the fast-paced integration of AI in consumer technologies poses a number of threats – ranging from discriminatory algorithmic practices to severe cyber security compromises – that could quickly jeopardize brand reputation and consumer confidence (Bonetti et al., 2022).</w:t>
      </w:r>
    </w:p>
    <w:p w14:paraId="0D946E79" w14:textId="14431D18" w:rsidR="00280B6E" w:rsidRDefault="00280B6E" w:rsidP="00280B6E">
      <w:pPr>
        <w:spacing w:line="360" w:lineRule="auto"/>
        <w:jc w:val="both"/>
      </w:pPr>
      <w:r>
        <w:t>Marks &amp; Spencer (M&amp;S) presents an interesting example of the described tension. As one of the leading British retailers since 1884, M&amp;S sells Food, Clothing &amp; Home, and Beauty products on an international level and engages in e-commerce activities (M&amp;S, 2025). Digital technologies have received substantial investments from M&amp;S since 2018, forming the basis of its turnaround from nearly collapsing into insolvency in the 2010s. In this regard, its 'Reshaping for Growth' strategy can be considered successful because the company has recorded revenues worth £13.9 billion for fiscal year 2025, returning to the FTSE 100 index (M&amp;S, 2025).</w:t>
      </w:r>
    </w:p>
    <w:p w14:paraId="3348D2B5" w14:textId="77777777" w:rsidR="00280B6E" w:rsidRDefault="00280B6E" w:rsidP="00280B6E">
      <w:pPr>
        <w:spacing w:line="360" w:lineRule="auto"/>
        <w:jc w:val="both"/>
      </w:pPr>
      <w:r>
        <w:t>The attack in April 2025 represents the inflection point. Reported as the largest cyber-attack suffered by a leading retailer in the United Kingdom, the cyber-attack affected the functioning of online services of the company for almost three months, led to massive breaches of private data of millions of clients, and resulted in approximately £300 million losses in operating profits (Reuters, 2025). The attack exposed the fundamental contradiction behind the digital strategy implemented by Marks &amp; Spencer: the attempt to promote its growth with the help of AI technologies against a backdrop of a lack of appropriate governance strategies to protect such technologies.</w:t>
      </w:r>
    </w:p>
    <w:p w14:paraId="76DDC8BE" w14:textId="1C0CB8F2" w:rsidR="00280B6E" w:rsidRDefault="00280B6E" w:rsidP="00280B6E">
      <w:pPr>
        <w:spacing w:line="360" w:lineRule="auto"/>
        <w:jc w:val="both"/>
      </w:pPr>
      <w:r>
        <w:t xml:space="preserve">This report aims to address whether the AI-driven customer experience strategy implemented by M&amp;S represents strategic agility or reputation risk. To achieve this purpose, an analytical process involving PESTLE, Porter’s Five Forces, RBV/VRIO, and organizational agility is used to </w:t>
      </w:r>
      <w:r>
        <w:lastRenderedPageBreak/>
        <w:t>arrive at evidence-based conclusions and recommendations. The timeframe of research covers the period between 2022 and 2026 with a focus on the developments after the implementation of the Reshaping for Growth strategy and a cyber-attack of 2025.</w:t>
      </w:r>
    </w:p>
    <w:p w14:paraId="20510234" w14:textId="77777777" w:rsidR="00280B6E" w:rsidRDefault="00280B6E" w:rsidP="00280B6E">
      <w:pPr>
        <w:spacing w:line="360" w:lineRule="auto"/>
        <w:jc w:val="both"/>
      </w:pPr>
    </w:p>
    <w:p w14:paraId="456ECF06" w14:textId="77777777" w:rsidR="00280B6E" w:rsidRPr="00280B6E" w:rsidRDefault="00280B6E" w:rsidP="00280B6E">
      <w:pPr>
        <w:pStyle w:val="Heading1"/>
        <w:rPr>
          <w:b/>
          <w:bCs/>
          <w:sz w:val="36"/>
          <w:szCs w:val="36"/>
        </w:rPr>
      </w:pPr>
      <w:bookmarkStart w:id="3" w:name="_Toc231355720"/>
      <w:r w:rsidRPr="00280B6E">
        <w:rPr>
          <w:b/>
          <w:bCs/>
          <w:sz w:val="36"/>
          <w:szCs w:val="36"/>
        </w:rPr>
        <w:t>2. Main Findings: Strategic Analysis and Critical Evaluation</w:t>
      </w:r>
      <w:bookmarkEnd w:id="3"/>
    </w:p>
    <w:p w14:paraId="10FBF58A" w14:textId="77777777" w:rsidR="00280B6E" w:rsidRPr="00280B6E" w:rsidRDefault="00280B6E" w:rsidP="00280B6E">
      <w:pPr>
        <w:pStyle w:val="Heading2"/>
      </w:pPr>
      <w:bookmarkStart w:id="4" w:name="_Toc231355721"/>
      <w:r w:rsidRPr="00280B6E">
        <w:t>2.1 PESTLE Analysis: The Macro-Environmental Context</w:t>
      </w:r>
      <w:bookmarkEnd w:id="4"/>
    </w:p>
    <w:p w14:paraId="2BD78768" w14:textId="15B42F8E" w:rsidR="00280B6E" w:rsidRDefault="00280B6E" w:rsidP="00280B6E">
      <w:pPr>
        <w:spacing w:line="360" w:lineRule="auto"/>
        <w:jc w:val="both"/>
      </w:pPr>
      <w:r w:rsidRPr="00280B6E">
        <w:t>A PESTLE analysis outlines the highly complicated and dynamic external environment into which the AI-driven CX strategy of Marks &amp; Spencer’s (M&amp;S) is to be implemented. The dimensions are discussed one after another.</w:t>
      </w:r>
    </w:p>
    <w:p w14:paraId="25287E3A" w14:textId="577FB020" w:rsidR="00280B6E" w:rsidRDefault="00280B6E" w:rsidP="00280B6E">
      <w:pPr>
        <w:pStyle w:val="Heading3"/>
      </w:pPr>
      <w:bookmarkStart w:id="5" w:name="_Toc231355722"/>
      <w:r>
        <w:t xml:space="preserve">2.1.1 </w:t>
      </w:r>
      <w:r w:rsidRPr="00280B6E">
        <w:t>Political Factors</w:t>
      </w:r>
      <w:bookmarkEnd w:id="5"/>
    </w:p>
    <w:p w14:paraId="23C81EAF" w14:textId="3284D7B0" w:rsidR="00140003" w:rsidRDefault="00320CA4" w:rsidP="00320CA4">
      <w:pPr>
        <w:spacing w:line="360" w:lineRule="auto"/>
        <w:jc w:val="both"/>
      </w:pPr>
      <w:r w:rsidRPr="00320CA4">
        <w:t>Post-Brexit regulation in the UK creates divergence in the legal environment with respect to European Union regulation, creating additional compliance burden for companies that process EU-derived customer data. The Information Commissioner’s Office (ICO) signals its intention to take a stricter stance on AI regulation in the realm of personal data, introducing sectoral guidance to the industry in 2024 (ICO, 2024). On the other hand, the national AI strategy of the UK government published in 2021 and the AI Safety Summit in 2023 reveal a predominantly supportive political attitude to the development of AI, although with a heightened focus on responsibility and transparency (UK Government, 2023).</w:t>
      </w:r>
    </w:p>
    <w:p w14:paraId="796CA59E" w14:textId="77777777" w:rsidR="00A748DA" w:rsidRDefault="00A748DA" w:rsidP="00A748DA">
      <w:pPr>
        <w:pStyle w:val="Heading3"/>
      </w:pPr>
      <w:bookmarkStart w:id="6" w:name="_Toc231355723"/>
      <w:r>
        <w:t xml:space="preserve">2.1.2 </w:t>
      </w:r>
      <w:r w:rsidRPr="00A748DA">
        <w:t>Economic Factors</w:t>
      </w:r>
      <w:bookmarkEnd w:id="6"/>
    </w:p>
    <w:p w14:paraId="720CE673" w14:textId="7790A6F4" w:rsidR="00A748DA" w:rsidRDefault="00A748DA" w:rsidP="00A748DA">
      <w:pPr>
        <w:spacing w:line="360" w:lineRule="auto"/>
        <w:jc w:val="both"/>
      </w:pPr>
      <w:r w:rsidRPr="00A748DA">
        <w:t xml:space="preserve">The economic </w:t>
      </w:r>
      <w:r>
        <w:t>condition</w:t>
      </w:r>
      <w:r w:rsidRPr="00A748DA">
        <w:t xml:space="preserve"> is defined by the constant pressure on the cost-of-living front and the inflation trend, which has significantly constrained discretionary consumer spending. In the UK, retail price inflation peaked at 8.9% in 2023 but has since declined; nevertheless, consumer confidence remains weak (ONS, 2024). In this economic situation, personalized solutions based on AI present a unique advantage: these technologies help M&amp;S charge more by adding extra value through differentiation rather than competing on costs. According to Lynch (2018), in periods of economic turbulence, companies that utilize intelligence in building customer relations manage to retain a disproportionately high amount of loyalty. The relaunch of the Sparks loyalty program in April 2026, which incorporates ML and generative AI, fully confirms this assertion (M&amp;S, 2026).</w:t>
      </w:r>
    </w:p>
    <w:p w14:paraId="42702100" w14:textId="0446BEBE" w:rsidR="00A748DA" w:rsidRDefault="00A748DA" w:rsidP="00A748DA">
      <w:pPr>
        <w:pStyle w:val="Heading3"/>
      </w:pPr>
      <w:bookmarkStart w:id="7" w:name="_Toc231355724"/>
      <w:r>
        <w:lastRenderedPageBreak/>
        <w:t>2.1.3 Social Factors</w:t>
      </w:r>
      <w:bookmarkEnd w:id="7"/>
    </w:p>
    <w:p w14:paraId="6AB68977" w14:textId="130E8339" w:rsidR="00A748DA" w:rsidRDefault="00A748DA" w:rsidP="00A748DA">
      <w:pPr>
        <w:spacing w:line="360" w:lineRule="auto"/>
        <w:jc w:val="both"/>
      </w:pPr>
      <w:r w:rsidRPr="00A748DA">
        <w:t>Personalized shopping experiences are increasingly desired by the consumers today, with research suggesting that 71% of them expect personalization from companies (McKinsey, 2024). Equally so, there has been an increased level of concern among the general population about their data being mishandled due to a number of cases in the media where companies have suffered from security breaches. According to the Deloitte 2024 Digital Consumer Trends report, 63% of UK consumers were 'very concerned' about how their data was used by the retailers. For M&amp;S, the mismanagement of consumer data poses significantly more damage because its brand is built on trust, quality, and Britishness (Johnson et al., 2020).</w:t>
      </w:r>
    </w:p>
    <w:p w14:paraId="0B073A46" w14:textId="0ADECDEB" w:rsidR="00A748DA" w:rsidRDefault="00E61586" w:rsidP="00E61586">
      <w:pPr>
        <w:pStyle w:val="Heading3"/>
      </w:pPr>
      <w:bookmarkStart w:id="8" w:name="_Toc231355725"/>
      <w:r>
        <w:t>2.1.4 Technological Factors</w:t>
      </w:r>
      <w:bookmarkEnd w:id="8"/>
    </w:p>
    <w:p w14:paraId="10E155C9" w14:textId="52825598" w:rsidR="00E61586" w:rsidRDefault="00E61586" w:rsidP="00A748DA">
      <w:pPr>
        <w:spacing w:line="360" w:lineRule="auto"/>
        <w:jc w:val="both"/>
      </w:pPr>
      <w:r w:rsidRPr="00E61586">
        <w:t>The speedy advancements in generative AI, large language models, and computer vision keep putting pressure on retailers to innovate in terms of their AI technologies so as to avoid being left behind competitively (Dutta, 2024). Marks &amp; Spencer's (M&amp;S) association with Microsoft Azure, combined with the use of Azure Synapse Analytics, Azure Databricks, and the integration of First Insight AI, helps the company stay ahead of many of its competitors in the UK retail industry. On the other hand, such advancements bring about risks; that is, AI and cloud computing technologies enable the creation of new customer experiences but create larger opportunities for attacks by malicious actors (MTI Technology, 2025). The DragonForce ransomware attack highlighted that the rich data sources and critical operations involved with AI-driven customer-intelligence solutions make them valuable targets for ransomware operators.</w:t>
      </w:r>
    </w:p>
    <w:p w14:paraId="426CFCA0" w14:textId="40282277" w:rsidR="00E61586" w:rsidRDefault="00E61586" w:rsidP="00E61586">
      <w:pPr>
        <w:pStyle w:val="Heading3"/>
      </w:pPr>
      <w:bookmarkStart w:id="9" w:name="_Toc231355726"/>
      <w:r>
        <w:t>2.1.5 Legal Factors</w:t>
      </w:r>
      <w:bookmarkEnd w:id="9"/>
    </w:p>
    <w:p w14:paraId="602AFBF6" w14:textId="1F5836A9" w:rsidR="00E61586" w:rsidRPr="00A748DA" w:rsidRDefault="00E61586" w:rsidP="00A748DA">
      <w:pPr>
        <w:spacing w:line="360" w:lineRule="auto"/>
        <w:jc w:val="both"/>
      </w:pPr>
      <w:r w:rsidRPr="00E61586">
        <w:t>Legal issues are especially significant in this regard. Under the UK General Data Protection Regulation (UK GDPR), adopted in the UK after Brexit as the UK Data Protection Act 2018 (as amended), a fine of up to £17.5 million or 4% of worldwide turnover can be imposed on an organization in case of severe violations of data protection laws (ICO, 2024). Moreover, the new EU NIS2 Directive requires additional compliance from organizations concerning the safety of critical infrastructure and supply chains. The breach in April 2025, which led to the leak of customers’ personal data, including their full names, addresses, date of birth, and online purchase history, is a serious violation of regulatory requirements that poses legal risks for M&amp;S.</w:t>
      </w:r>
    </w:p>
    <w:p w14:paraId="5DBFDD59" w14:textId="4DA1D783" w:rsidR="00EA65A2" w:rsidRDefault="00095921" w:rsidP="00095921">
      <w:pPr>
        <w:pStyle w:val="Heading3"/>
      </w:pPr>
      <w:bookmarkStart w:id="10" w:name="_Toc231355727"/>
      <w:r>
        <w:lastRenderedPageBreak/>
        <w:t>2.1.6 Environmental Factors</w:t>
      </w:r>
      <w:bookmarkEnd w:id="10"/>
    </w:p>
    <w:p w14:paraId="20749196" w14:textId="5C32B919" w:rsidR="00095921" w:rsidRDefault="00095921" w:rsidP="00320CA4">
      <w:pPr>
        <w:spacing w:line="360" w:lineRule="auto"/>
        <w:jc w:val="both"/>
      </w:pPr>
      <w:r w:rsidRPr="00095921">
        <w:t>While not directly related to the cyber-attack dimension, there are certain environmental aspects that are pertinent to the strategic positioning of Marks &amp; Spencer. The company’s strategy of using AI for improving its sustainability plan, namely Plan A, and its efforts to optimize the supply chain through the use of AI by predicting demands and managing inventories effectively, connect environmentalism with the implementation of AI technology. Such connection becomes increasingly relevant for investor decisions and consumers as part of ESG criteria (Whittington et al., 2020).</w:t>
      </w:r>
    </w:p>
    <w:p w14:paraId="0EEA2180" w14:textId="2E1CBA27" w:rsidR="00095921" w:rsidRDefault="00490D7D" w:rsidP="00320CA4">
      <w:pPr>
        <w:spacing w:line="360" w:lineRule="auto"/>
        <w:jc w:val="both"/>
      </w:pPr>
      <w:r w:rsidRPr="00490D7D">
        <w:t>As revealed through the use of the PESTLE analysis, the application of AI technology for the CX initiative of Marks &amp; Spencer is enabled and restricted by environmental considerations at the same time. There is an increasingly strict political environment and a high level of pressure on M&amp;S due to the economic environment, which implies that loyalty personalization becomes crucial. Social factors are both supportive and restrictive in relation to the usage of big data; additionally, the technological environment provides opportunities as well as risks at the same time.</w:t>
      </w:r>
    </w:p>
    <w:p w14:paraId="664ACC29" w14:textId="77777777" w:rsidR="00490D7D" w:rsidRDefault="00490D7D" w:rsidP="00320CA4">
      <w:pPr>
        <w:spacing w:line="360" w:lineRule="auto"/>
        <w:jc w:val="both"/>
      </w:pPr>
    </w:p>
    <w:p w14:paraId="59E51058" w14:textId="77777777" w:rsidR="00490D7D" w:rsidRPr="00490D7D" w:rsidRDefault="00490D7D" w:rsidP="00490D7D">
      <w:pPr>
        <w:pStyle w:val="Heading2"/>
      </w:pPr>
      <w:bookmarkStart w:id="11" w:name="_Toc231355728"/>
      <w:r w:rsidRPr="00490D7D">
        <w:t>2.2 Porter's Five Forces: Competitive Dynamics</w:t>
      </w:r>
      <w:bookmarkEnd w:id="11"/>
    </w:p>
    <w:p w14:paraId="038A784C" w14:textId="558BDF00" w:rsidR="00490D7D" w:rsidRDefault="00490D7D" w:rsidP="00320CA4">
      <w:pPr>
        <w:spacing w:line="360" w:lineRule="auto"/>
        <w:jc w:val="both"/>
      </w:pPr>
      <w:r w:rsidRPr="00490D7D">
        <w:t>The Five Forces Model (Porter, 1980) provides an excellent starting point for assessing the competitiveness of M&amp;S within UK retailing, against the backdrop of artificial intelligence revolutionizing industry dynamics.</w:t>
      </w:r>
    </w:p>
    <w:p w14:paraId="09FD9C90" w14:textId="77777777" w:rsidR="00490D7D" w:rsidRDefault="00490D7D" w:rsidP="00490D7D">
      <w:pPr>
        <w:pStyle w:val="Heading3"/>
        <w:rPr>
          <w:rFonts w:eastAsiaTheme="minorHAnsi"/>
        </w:rPr>
      </w:pPr>
      <w:bookmarkStart w:id="12" w:name="_Toc231355729"/>
      <w:r>
        <w:t xml:space="preserve">2.2.1 </w:t>
      </w:r>
      <w:r w:rsidRPr="00490D7D">
        <w:rPr>
          <w:rFonts w:eastAsiaTheme="minorHAnsi"/>
        </w:rPr>
        <w:t>Threat of New Entrants (Moderate–High)</w:t>
      </w:r>
      <w:bookmarkEnd w:id="12"/>
    </w:p>
    <w:p w14:paraId="27017017" w14:textId="07C631A8" w:rsidR="00490D7D" w:rsidRDefault="00490D7D" w:rsidP="00490D7D">
      <w:pPr>
        <w:spacing w:line="360" w:lineRule="auto"/>
        <w:jc w:val="both"/>
      </w:pPr>
      <w:r w:rsidRPr="00490D7D">
        <w:t>In the case of the UK retail sector, there is a moderate entry barrier into the physical store space but significantly lower entry barriers when it comes to e-commerce operations. New e-commerce companies like ASOS and Boohoo, alongside foreign entrants such as Shein and Temu, have shown the ability to quickly attract a significant customer base through social media ads powered by artificial intelligence algorithms, personalized product recommendations, and price changes. Unlike their competitors, digitally born businesses don’t incur large costs related to legacy systems and technologies, which means the competitive edge that can be gained from using Microsoft Azure is becoming less effective due to API commoditization.</w:t>
      </w:r>
    </w:p>
    <w:p w14:paraId="401B8226" w14:textId="435C72CA" w:rsidR="00490D7D" w:rsidRPr="00711365" w:rsidRDefault="00711365" w:rsidP="00711365">
      <w:pPr>
        <w:pStyle w:val="Heading3"/>
        <w:rPr>
          <w:rFonts w:eastAsiaTheme="minorHAnsi"/>
        </w:rPr>
      </w:pPr>
      <w:bookmarkStart w:id="13" w:name="_Toc231355730"/>
      <w:r w:rsidRPr="00711365">
        <w:rPr>
          <w:rFonts w:eastAsiaTheme="minorHAnsi"/>
        </w:rPr>
        <w:lastRenderedPageBreak/>
        <w:t>2.2.2 Bargaining Power of Suppliers (Moderate)</w:t>
      </w:r>
      <w:bookmarkEnd w:id="13"/>
    </w:p>
    <w:p w14:paraId="033A2E66" w14:textId="177EE4BE" w:rsidR="00090EB9" w:rsidRPr="00090EB9" w:rsidRDefault="00090EB9" w:rsidP="00090EB9">
      <w:pPr>
        <w:spacing w:line="360" w:lineRule="auto"/>
        <w:jc w:val="both"/>
      </w:pPr>
      <w:r w:rsidRPr="00090EB9">
        <w:t>M&amp;S is in a position because of its size and the number of suppliers it works with. However, using intelligence and digital systems to manage the supply chain means they have to rely on these new systems.</w:t>
      </w:r>
    </w:p>
    <w:p w14:paraId="6A12A005" w14:textId="77777777" w:rsidR="00090EB9" w:rsidRPr="00090EB9" w:rsidRDefault="00090EB9" w:rsidP="00090EB9">
      <w:pPr>
        <w:spacing w:line="360" w:lineRule="auto"/>
        <w:jc w:val="both"/>
      </w:pPr>
      <w:r w:rsidRPr="00090EB9">
        <w:t>In April 2025 M&amp;S had a problem with a cyberattack. This made it hard for them to work with their suppliers. They even had to go to doing things by hand and some stores did not have enough products on the shelves. This shows that the systems that use intelligence to manage the supply chain did not have a good backup plan in place.</w:t>
      </w:r>
    </w:p>
    <w:p w14:paraId="6791DD06" w14:textId="77777777" w:rsidR="00090EB9" w:rsidRPr="00090EB9" w:rsidRDefault="00090EB9" w:rsidP="00090EB9">
      <w:pPr>
        <w:spacing w:line="360" w:lineRule="auto"/>
        <w:jc w:val="both"/>
      </w:pPr>
      <w:r w:rsidRPr="00090EB9">
        <w:t>M&amp;S uses a company called First Insight that helps them figure out how much of a product they will need. This is helpful for planning. It also means they have to rely on this company, which can be a problem. This means that the people they buy things from have power to negotiate, which is not ideal, for M&amp;S.</w:t>
      </w:r>
    </w:p>
    <w:p w14:paraId="6B4D9D2B" w14:textId="77777777" w:rsidR="00711365" w:rsidRPr="00090EB9" w:rsidRDefault="00711365" w:rsidP="00090EB9">
      <w:pPr>
        <w:pStyle w:val="Heading3"/>
        <w:rPr>
          <w:rFonts w:eastAsiaTheme="minorHAnsi"/>
        </w:rPr>
      </w:pPr>
      <w:bookmarkStart w:id="14" w:name="_Toc231355731"/>
      <w:r w:rsidRPr="00090EB9">
        <w:rPr>
          <w:rFonts w:eastAsiaTheme="minorHAnsi"/>
        </w:rPr>
        <w:t>2.2.3 Bargaining Power of Buyers (High)</w:t>
      </w:r>
      <w:bookmarkEnd w:id="14"/>
    </w:p>
    <w:p w14:paraId="72FCFC31" w14:textId="0B3A98AC" w:rsidR="00711365" w:rsidRDefault="008C13E6" w:rsidP="00490D7D">
      <w:pPr>
        <w:spacing w:line="360" w:lineRule="auto"/>
        <w:jc w:val="both"/>
      </w:pPr>
      <w:r w:rsidRPr="008C13E6">
        <w:t>Consumers in the UK who buy clothes and food items are extremely sensitive about prices, exhibit brand promiscuity behavior, and tend to switch their purchasing channels more frequently. Comparison and review sites, along with social media amplification of poor experience, have significantly heightened consumer knowledge due to which there is a massive asymmetry of information on the side of the buyer. As highlighted by Ameen et al. (2020), customer experience through AI can reduce switching intentions to a great extent; nevertheless, the data breach in 2025 might have undone this effort</w:t>
      </w:r>
    </w:p>
    <w:p w14:paraId="522EB306" w14:textId="2F34436E" w:rsidR="00711365" w:rsidRPr="00090EB9" w:rsidRDefault="00711365" w:rsidP="00090EB9">
      <w:pPr>
        <w:pStyle w:val="Heading3"/>
        <w:rPr>
          <w:rFonts w:eastAsiaTheme="minorHAnsi"/>
        </w:rPr>
      </w:pPr>
      <w:bookmarkStart w:id="15" w:name="_Toc231355732"/>
      <w:r w:rsidRPr="00090EB9">
        <w:rPr>
          <w:rFonts w:eastAsiaTheme="minorHAnsi"/>
        </w:rPr>
        <w:t>2.2.4 Threat of Substitutes (High)</w:t>
      </w:r>
      <w:bookmarkEnd w:id="15"/>
    </w:p>
    <w:p w14:paraId="6F4D8489" w14:textId="32B47A06" w:rsidR="00711365" w:rsidRPr="00C37E39" w:rsidRDefault="00C37E39" w:rsidP="00711365">
      <w:pPr>
        <w:spacing w:line="360" w:lineRule="auto"/>
        <w:jc w:val="both"/>
      </w:pPr>
      <w:r w:rsidRPr="00C37E39">
        <w:t>The risks involved with substitute threats exist on various levels, from the existence of fashion reselling websites such as Vinted and Depop to budget chains such as Primark and Matalan, as well as the growing popularity of the online-only and second-hand garment marketplaces. As far as the food retail industry goes, the risks include high-end brands focused on convenience, meal kits, and the growing influence of Aldi and Lidl. The role of artificial intelligence-driven loyalty schemes in mitigating substitutes rests in the fact that they increase the switching cost if data trust is established.</w:t>
      </w:r>
    </w:p>
    <w:p w14:paraId="2A007994" w14:textId="77777777" w:rsidR="00711365" w:rsidRPr="00090EB9" w:rsidRDefault="00711365" w:rsidP="00090EB9">
      <w:pPr>
        <w:pStyle w:val="Heading3"/>
        <w:rPr>
          <w:rFonts w:eastAsiaTheme="minorHAnsi"/>
        </w:rPr>
      </w:pPr>
      <w:bookmarkStart w:id="16" w:name="_Toc231355733"/>
      <w:r w:rsidRPr="00090EB9">
        <w:rPr>
          <w:rFonts w:eastAsiaTheme="minorHAnsi"/>
        </w:rPr>
        <w:lastRenderedPageBreak/>
        <w:t>2.2.5 Competitive Rivalry (Very High)</w:t>
      </w:r>
      <w:bookmarkEnd w:id="16"/>
    </w:p>
    <w:p w14:paraId="06513B09" w14:textId="37F0B97A" w:rsidR="00711365" w:rsidRPr="00915BF3" w:rsidRDefault="00915BF3" w:rsidP="00711365">
      <w:pPr>
        <w:spacing w:line="360" w:lineRule="auto"/>
        <w:jc w:val="both"/>
      </w:pPr>
      <w:r w:rsidRPr="00915BF3">
        <w:t>There is an evident competitive intensity prevailing throughout the entire chain of operations carried out by Marks &amp; Spencer in the retail industry of the UK. In case of the food segment, there exists a direct form of competition between Tesco, Sainsbury, and Waitrose. On the other hand, in clothing and homeware, the likes of Next, John Lewis, and a myriad of other online and physical rivals continue to take away market shares. In fact, both Tesco and Sainsbury have put a lot of investments in their respective loyalty programs (i.e., Clubcard and Nectar), hence creating a fierce battle of competitive personalization in the process (Gupta, 2025). Next continues to be hailed as a good example of AI in the UK clothing retail industry.</w:t>
      </w:r>
    </w:p>
    <w:p w14:paraId="240FD552" w14:textId="31660D18" w:rsidR="00915BF3" w:rsidRPr="00915BF3" w:rsidRDefault="00915BF3" w:rsidP="00711365">
      <w:pPr>
        <w:spacing w:line="360" w:lineRule="auto"/>
        <w:jc w:val="both"/>
      </w:pPr>
      <w:r w:rsidRPr="00915BF3">
        <w:t>According to the Five Forces model, Marks and Spencer (M&amp;S) finds itself in a highly demanding competitive environment, whereby AI competencies are quickly becoming standard and no longer offer any competitive advantage to the company. According to Porter (1980), competitive advantages must be defensible against all five forces simultaneously. M&amp;S has invested heavily in AI, but these investments have not been enough for M&amp;S to secure sufficient uniqueness and non-imitability to counteract the structural competitive threats. This cybersecurity attack will momentarily raise buyer power and competitive rivalry since M&amp;S customers switched to other competitors while experiencing difficulties accessing their products online. The strategic agility theory developed by Shao (2025) and Ahmed et al. (2025) suggests that, besides investing in AI competencies, resilience structures are also necessary to support them against the threat environment.</w:t>
      </w:r>
    </w:p>
    <w:p w14:paraId="442D2BEF" w14:textId="77777777" w:rsidR="00711365" w:rsidRPr="00490D7D" w:rsidRDefault="00711365" w:rsidP="00490D7D">
      <w:pPr>
        <w:spacing w:line="360" w:lineRule="auto"/>
        <w:jc w:val="both"/>
      </w:pPr>
    </w:p>
    <w:p w14:paraId="6A8E5124" w14:textId="77777777" w:rsidR="00445DD0" w:rsidRPr="00445DD0" w:rsidRDefault="00445DD0" w:rsidP="00445DD0">
      <w:pPr>
        <w:pStyle w:val="Heading2"/>
      </w:pPr>
      <w:bookmarkStart w:id="17" w:name="_Toc231355734"/>
      <w:r w:rsidRPr="00445DD0">
        <w:t>2.3 Resource-Based View and VRIO Analysis</w:t>
      </w:r>
      <w:bookmarkEnd w:id="17"/>
    </w:p>
    <w:p w14:paraId="3AF0ED31" w14:textId="01E91655" w:rsidR="00490D7D" w:rsidRDefault="00445DD0" w:rsidP="00320CA4">
      <w:pPr>
        <w:spacing w:line="360" w:lineRule="auto"/>
        <w:jc w:val="both"/>
      </w:pPr>
      <w:r w:rsidRPr="00445DD0">
        <w:t xml:space="preserve">According to the Resource-Based View (RBV), as explained by Barney (1991) and elaborated on by Wernerfelt (1984), the competitive advantages are created through the use of the firm’s resources and capabilities which should be Valuable, Rare, Inimitable and </w:t>
      </w:r>
      <w:r w:rsidR="004E5BCF" w:rsidRPr="00445DD0">
        <w:t>Organized</w:t>
      </w:r>
      <w:r w:rsidRPr="00445DD0">
        <w:t xml:space="preserve"> (VRIO). In regard to M&amp;S’s AI-powered customer experience (CX) capabilities, it is possible to conduct an assessment using the VRIO framework.</w:t>
      </w:r>
    </w:p>
    <w:p w14:paraId="7516572C" w14:textId="4E258FC3" w:rsidR="00445DD0" w:rsidRPr="00445DD0" w:rsidRDefault="00445DD0" w:rsidP="00445DD0">
      <w:pPr>
        <w:pStyle w:val="Heading3"/>
        <w:rPr>
          <w:rFonts w:eastAsiaTheme="minorHAnsi"/>
        </w:rPr>
      </w:pPr>
      <w:bookmarkStart w:id="18" w:name="_Toc231355735"/>
      <w:r>
        <w:t xml:space="preserve">2.3.1 </w:t>
      </w:r>
      <w:r w:rsidRPr="00445DD0">
        <w:rPr>
          <w:rFonts w:eastAsiaTheme="minorHAnsi"/>
        </w:rPr>
        <w:t>Sparks Loyalty Program and Customer Data Asset</w:t>
      </w:r>
      <w:bookmarkEnd w:id="18"/>
    </w:p>
    <w:p w14:paraId="09A18F36" w14:textId="7173AD3E" w:rsidR="00445DD0" w:rsidRDefault="00445DD0" w:rsidP="00320CA4">
      <w:pPr>
        <w:spacing w:line="360" w:lineRule="auto"/>
        <w:jc w:val="both"/>
      </w:pPr>
      <w:r w:rsidRPr="00445DD0">
        <w:t xml:space="preserve">Sparks program, launched by M&amp;S in April 2026 featuring ML and generative AI technologies, forms the foundation of an extensive proprietary dataset owned by the company. Sparks </w:t>
      </w:r>
      <w:r w:rsidRPr="00445DD0">
        <w:lastRenderedPageBreak/>
        <w:t xml:space="preserve">involves more than 13 million people and long-term information about their purchases, which makes it valuable in terms of </w:t>
      </w:r>
      <w:r w:rsidR="004E5BCF" w:rsidRPr="00445DD0">
        <w:t>personalization</w:t>
      </w:r>
      <w:r w:rsidRPr="00445DD0">
        <w:t xml:space="preserve"> and increasing customer lifetime value (M&amp;S, 2026). The combination of data related to food items, clothing, cosmetics, and purchases made online within one loyalty program is not widespread among UK-based multi-category retailers. Nevertheless, the level of inimitability cannot be determined, as there are other players on the market, such as Tesco's Clubcard, having a much bigger community. Moreover, AI-powered </w:t>
      </w:r>
      <w:r w:rsidR="004E5BCF" w:rsidRPr="00445DD0">
        <w:t>personalization</w:t>
      </w:r>
      <w:r w:rsidRPr="00445DD0">
        <w:t xml:space="preserve"> technology available to M&amp;S could potentially be acquired by its competitors through the same cloud providers. The issues with governance can arise; for instance, the cyberattack revealed gaps between data governance arrangements and the strategic objectives associated with data strategy development.</w:t>
      </w:r>
    </w:p>
    <w:p w14:paraId="7937EA43" w14:textId="77777777" w:rsidR="004E5BCF" w:rsidRPr="004E5BCF" w:rsidRDefault="004E5BCF" w:rsidP="004E5BCF">
      <w:pPr>
        <w:pStyle w:val="Heading3"/>
        <w:rPr>
          <w:rFonts w:eastAsiaTheme="minorHAnsi"/>
        </w:rPr>
      </w:pPr>
      <w:bookmarkStart w:id="19" w:name="_Toc231355736"/>
      <w:r w:rsidRPr="004E5BCF">
        <w:rPr>
          <w:rFonts w:eastAsiaTheme="minorHAnsi"/>
        </w:rPr>
        <w:t>2.3.2 Microsoft Azure Strategic Partnership</w:t>
      </w:r>
      <w:bookmarkEnd w:id="19"/>
    </w:p>
    <w:p w14:paraId="3F103C8F" w14:textId="2A59B69C" w:rsidR="004E5BCF" w:rsidRDefault="00F357BD" w:rsidP="00320CA4">
      <w:pPr>
        <w:spacing w:line="360" w:lineRule="auto"/>
        <w:jc w:val="both"/>
      </w:pPr>
      <w:r w:rsidRPr="00F357BD">
        <w:t>The collaboration with Azure provides M&amp;S with enterprise-level AI architecture, which includes Synapse Analytics, Databricks, and Azure Data Lake Storage. The above architecture will provide real-time personalization, supply chain analysis, and customer insights. Nonetheless, it is worth noting that collaborations between firms and cloud infrastructures are quite common, with nearly all top retailers having similar relationships with hyperscalers. As such, any competitive edge cannot be gained from the infrastructure alone; rather, it depends on how effective the data science skills utilized through the said infrastructure are and the organization’s ability to experiment quickly (Prentice and Chen, 2024).</w:t>
      </w:r>
    </w:p>
    <w:p w14:paraId="6761B45A" w14:textId="77777777" w:rsidR="004E5BCF" w:rsidRPr="004E5BCF" w:rsidRDefault="004E5BCF" w:rsidP="004E5BCF">
      <w:pPr>
        <w:pStyle w:val="Heading3"/>
        <w:rPr>
          <w:rFonts w:eastAsiaTheme="minorHAnsi"/>
        </w:rPr>
      </w:pPr>
      <w:bookmarkStart w:id="20" w:name="_Toc231355737"/>
      <w:r w:rsidRPr="004E5BCF">
        <w:rPr>
          <w:rFonts w:eastAsiaTheme="minorHAnsi"/>
        </w:rPr>
        <w:t>2.3.3 First Insight AI and Predictive Merchandising</w:t>
      </w:r>
      <w:bookmarkEnd w:id="20"/>
    </w:p>
    <w:p w14:paraId="1F271F54" w14:textId="6F52381A" w:rsidR="004E5BCF" w:rsidRDefault="00F357BD" w:rsidP="00320CA4">
      <w:pPr>
        <w:spacing w:line="360" w:lineRule="auto"/>
        <w:jc w:val="both"/>
      </w:pPr>
      <w:r w:rsidRPr="00F357BD">
        <w:t>The extension of First Insight AI to include the entire Clothing &amp; Home line of Marks &amp; Spencer in December 2024 can be seen as a more justified competence. Predictive merchandising involves using AI technologies to make accurate predictions regarding sales forecasts, optimal assortment of goods, and markdown risks. Financial benefits result from the creation of additional margins and enhanced inventory management. As the knowledge gained from learning about specific M&amp;S products, pricing strategies, and targeted consumer segments accumulates, it acquires a degree of path-dependent inimitability (Barney, 1991). Nevertheless, realizing such potential requires continuous investments in data-science expertise and an evidence-based organizational culture.</w:t>
      </w:r>
    </w:p>
    <w:p w14:paraId="2267511F" w14:textId="77777777" w:rsidR="004E5BCF" w:rsidRPr="004E5BCF" w:rsidRDefault="004E5BCF" w:rsidP="004E5BCF">
      <w:pPr>
        <w:pStyle w:val="Heading3"/>
        <w:rPr>
          <w:rFonts w:eastAsiaTheme="minorHAnsi"/>
        </w:rPr>
      </w:pPr>
      <w:bookmarkStart w:id="21" w:name="_Toc231355738"/>
      <w:r w:rsidRPr="004E5BCF">
        <w:rPr>
          <w:rFonts w:eastAsiaTheme="minorHAnsi"/>
        </w:rPr>
        <w:lastRenderedPageBreak/>
        <w:t>2.3.4 Cambridge Spark AI Academy and Internal Capability Development</w:t>
      </w:r>
      <w:bookmarkEnd w:id="21"/>
    </w:p>
    <w:p w14:paraId="0CBE32DE" w14:textId="7021AE91" w:rsidR="004E5BCF" w:rsidRDefault="00F357BD" w:rsidP="00320CA4">
      <w:pPr>
        <w:spacing w:line="360" w:lineRule="auto"/>
        <w:jc w:val="both"/>
      </w:pPr>
      <w:r w:rsidRPr="00F357BD">
        <w:t>The decision by Marks and Spencer (M&amp;S) to allocate resources towards a Level 7 data science apprenticeship scheme in collaboration with Cambridge Spark can be seen as an example of investing in human capital. The training of individuals within Marks and Spencer in artificial intelligence skills, as opposed to outsourcing them through other companies, is a unique strength since this combination of skill sets will only prove beneficial to M&amp;S due to their institutional knowledge of the company’s customers. According to Johnson et al. (2020), building of human skills poses the greatest challenge to competitors, who cannot easily replicate them because they take time to build and become part of the organizational culture and practices.</w:t>
      </w:r>
    </w:p>
    <w:p w14:paraId="143255B9" w14:textId="09541FA0" w:rsidR="00F357BD" w:rsidRDefault="00F357BD" w:rsidP="00320CA4">
      <w:pPr>
        <w:spacing w:line="360" w:lineRule="auto"/>
        <w:jc w:val="both"/>
      </w:pPr>
      <w:r w:rsidRPr="00F357BD">
        <w:t>Using RBV/VRIO analysis, M&amp;S's AI capabilities provide a more complex picture. Technology acquisitions can be easily replicated; the greatest value lies in the building of proprietary information about the company's customers through loyalty programs, and in the development of expertise in using AI tools. As stated by Guendouz (2024), in the era of AI-driven business models, data becomes the key resource for competitive advantage due to its path-dependent and firm-specific character. The cyber-attack of 2025 had a detrimental effect on M&amp;S's ability to preserve its competitive advantage through maintaining trust among its customers, which was predicted by Barney (1991).</w:t>
      </w:r>
    </w:p>
    <w:p w14:paraId="0882FF12" w14:textId="77777777" w:rsidR="00F9284E" w:rsidRDefault="00F9284E" w:rsidP="00320CA4">
      <w:pPr>
        <w:spacing w:line="360" w:lineRule="auto"/>
        <w:jc w:val="both"/>
      </w:pPr>
    </w:p>
    <w:p w14:paraId="4E7105D7" w14:textId="71E929D1" w:rsidR="00F9284E" w:rsidRDefault="00F9284E" w:rsidP="00563C3B">
      <w:pPr>
        <w:pStyle w:val="Heading2"/>
      </w:pPr>
      <w:bookmarkStart w:id="22" w:name="_Toc231355739"/>
      <w:r w:rsidRPr="00F9284E">
        <w:t>2.4 Organizational Agility: Strategic or Illusory?</w:t>
      </w:r>
      <w:bookmarkEnd w:id="22"/>
    </w:p>
    <w:p w14:paraId="370FD15C" w14:textId="568800BF" w:rsidR="00F9284E" w:rsidRDefault="00563C3B" w:rsidP="00F9284E">
      <w:pPr>
        <w:spacing w:line="360" w:lineRule="auto"/>
        <w:jc w:val="both"/>
      </w:pPr>
      <w:r w:rsidRPr="00563C3B">
        <w:t>The key emphasis of the module in terms of the organizational agility that pertains to the capability of sensing changes, allocating resources, and acting accordingly while ensuring that the actions taken have consistency with strategy (Whittington et al., 2020) provides a critical basis for evaluating the AI strategy of Marks &amp; Spencer. According to Shao (2025), digital agility can be conceptualized through three dimensions that include sensing, seizing, and reconfiguration.</w:t>
      </w:r>
    </w:p>
    <w:p w14:paraId="1E22D698" w14:textId="77777777" w:rsidR="00145650" w:rsidRDefault="00145650" w:rsidP="00F9284E">
      <w:pPr>
        <w:spacing w:line="360" w:lineRule="auto"/>
        <w:jc w:val="both"/>
      </w:pPr>
    </w:p>
    <w:p w14:paraId="20E12853" w14:textId="77777777" w:rsidR="00145650" w:rsidRPr="00145650" w:rsidRDefault="00145650" w:rsidP="004E74E8">
      <w:pPr>
        <w:pStyle w:val="Heading3"/>
        <w:rPr>
          <w:rFonts w:eastAsiaTheme="minorHAnsi"/>
        </w:rPr>
      </w:pPr>
      <w:bookmarkStart w:id="23" w:name="_Toc231355740"/>
      <w:r>
        <w:lastRenderedPageBreak/>
        <w:t xml:space="preserve">2.4.1 </w:t>
      </w:r>
      <w:r w:rsidRPr="00145650">
        <w:rPr>
          <w:rFonts w:eastAsiaTheme="minorHAnsi"/>
        </w:rPr>
        <w:t>Sensing Capability</w:t>
      </w:r>
      <w:bookmarkEnd w:id="23"/>
    </w:p>
    <w:p w14:paraId="14B2F14D" w14:textId="6126C227" w:rsidR="00563C3B" w:rsidRDefault="00145650" w:rsidP="00F9284E">
      <w:pPr>
        <w:spacing w:line="360" w:lineRule="auto"/>
        <w:jc w:val="both"/>
      </w:pPr>
      <w:r w:rsidRPr="00145650">
        <w:t>M&amp;S has shown signs of sensing by identifying AI as something essential. The organization's early involvement in the Microsoft AI partnership back in 2018, the establishment of an AI academy within M&amp;S, and the organization's sensitivity towards loyalty dynamics by launching Sparks in response to Tesco's Clubcard update show that M&amp;S had an ability to sense changes and translate them into strategic investments (Ahmed et al., 2025). However, the M&amp;S cyberattack in 2025 revealed a major limitation in M&amp;S's ability to sense its environment since, unlike Co-op which was able to detect an active threat in minutes, it took M&amp;S two days to realize that there was a threat in its IT infrastructure (MTI Technology, 2025).</w:t>
      </w:r>
    </w:p>
    <w:p w14:paraId="5F22EA2F" w14:textId="77777777" w:rsidR="00145650" w:rsidRPr="00145650" w:rsidRDefault="00145650" w:rsidP="004E74E8">
      <w:pPr>
        <w:pStyle w:val="Heading3"/>
        <w:rPr>
          <w:rFonts w:eastAsiaTheme="minorHAnsi"/>
        </w:rPr>
      </w:pPr>
      <w:bookmarkStart w:id="24" w:name="_Toc231355741"/>
      <w:r>
        <w:t xml:space="preserve">2.4.2 </w:t>
      </w:r>
      <w:r w:rsidRPr="00145650">
        <w:rPr>
          <w:rFonts w:eastAsiaTheme="minorHAnsi"/>
        </w:rPr>
        <w:t>Seizing Capability</w:t>
      </w:r>
      <w:bookmarkEnd w:id="24"/>
    </w:p>
    <w:p w14:paraId="2A88955F" w14:textId="16D3AFC7" w:rsidR="00145650" w:rsidRDefault="00145650" w:rsidP="00F9284E">
      <w:pPr>
        <w:spacing w:line="360" w:lineRule="auto"/>
        <w:jc w:val="both"/>
      </w:pPr>
      <w:r w:rsidRPr="00145650">
        <w:t>There is evidence that the organization has been able to show significant capability in resource utilization as far as capturing AI opportunities goes. This is proven by the use of the computer vision platform from SymphonyAI within over 500 stores, the deployment of First Insight within all of M&amp;S's clothing and home division, and the relaunching of Sparks in April 2026. As per the views expressed by Usman et al. (2025), successful AI opportunity identification in the retail industry requires alignment of technology, customers, and commercial departments, something that seems to be achieved at M&amp;S via the Reshaping for Growth initiative.</w:t>
      </w:r>
    </w:p>
    <w:p w14:paraId="64DBF606" w14:textId="77777777" w:rsidR="00145650" w:rsidRPr="00145650" w:rsidRDefault="00145650" w:rsidP="004E74E8">
      <w:pPr>
        <w:pStyle w:val="Heading3"/>
        <w:rPr>
          <w:rFonts w:eastAsiaTheme="minorHAnsi"/>
        </w:rPr>
      </w:pPr>
      <w:bookmarkStart w:id="25" w:name="_Toc231355742"/>
      <w:r>
        <w:t xml:space="preserve">2.4.3 </w:t>
      </w:r>
      <w:r w:rsidRPr="00145650">
        <w:rPr>
          <w:rFonts w:eastAsiaTheme="minorHAnsi"/>
        </w:rPr>
        <w:t>Reconfiguring Capability</w:t>
      </w:r>
      <w:bookmarkEnd w:id="25"/>
    </w:p>
    <w:p w14:paraId="1D76784B" w14:textId="06189633" w:rsidR="00145650" w:rsidRDefault="00145650" w:rsidP="00F9284E">
      <w:pPr>
        <w:spacing w:line="360" w:lineRule="auto"/>
        <w:jc w:val="both"/>
      </w:pPr>
      <w:r w:rsidRPr="00145650">
        <w:t xml:space="preserve">This is precisely where the claims made by Marks &amp; Spencer on being agile become most challenged. Reconfiguration is not merely about adding new capacities but rather about tearing down and </w:t>
      </w:r>
      <w:r w:rsidR="004E74E8" w:rsidRPr="00145650">
        <w:t>reorganizing</w:t>
      </w:r>
      <w:r w:rsidRPr="00145650">
        <w:t xml:space="preserve"> existing processes which limit flexibility (Lynch, 2018). The way that the cyberattack was handled shows some weaknesses in reconfiguration – namely, a return to manual practices, lengthy disruption to online orders, and eventually building up trust again – all indicating that </w:t>
      </w:r>
      <w:r w:rsidR="004E74E8" w:rsidRPr="00145650">
        <w:t>digitalization</w:t>
      </w:r>
      <w:r w:rsidRPr="00145650">
        <w:t xml:space="preserve"> built upon previous practices. According to Whittington et al. (2020), true </w:t>
      </w:r>
      <w:r w:rsidR="004E74E8" w:rsidRPr="00145650">
        <w:t>organizational</w:t>
      </w:r>
      <w:r w:rsidRPr="00145650">
        <w:t xml:space="preserve"> agility involves, in addition to agility, the practice of “strategic renewal”, or regular reassessment of the company’s resource pool and strategic assumptions. The framework “Reshaping for Growth” can be seen as an attempt at strategic renewal for M&amp;S, although it seems like such a renewal is rather patchy, moving faster in customer-related AI technologies than the necessary reconfiguration in the governance systems.</w:t>
      </w:r>
    </w:p>
    <w:p w14:paraId="1F8F5184" w14:textId="77777777" w:rsidR="00145650" w:rsidRPr="00145650" w:rsidRDefault="00145650" w:rsidP="004E74E8">
      <w:pPr>
        <w:pStyle w:val="Heading3"/>
        <w:rPr>
          <w:rFonts w:eastAsiaTheme="minorHAnsi"/>
        </w:rPr>
      </w:pPr>
      <w:bookmarkStart w:id="26" w:name="_Toc231355743"/>
      <w:r>
        <w:lastRenderedPageBreak/>
        <w:t xml:space="preserve">2.4.4 </w:t>
      </w:r>
      <w:r w:rsidRPr="00145650">
        <w:rPr>
          <w:rFonts w:eastAsiaTheme="minorHAnsi"/>
        </w:rPr>
        <w:t>Emergent versus Deliberate Strategy</w:t>
      </w:r>
      <w:bookmarkEnd w:id="26"/>
    </w:p>
    <w:p w14:paraId="3DB8DF71" w14:textId="024A3E87" w:rsidR="00145650" w:rsidRDefault="00145650" w:rsidP="00F9284E">
      <w:pPr>
        <w:spacing w:line="360" w:lineRule="auto"/>
        <w:jc w:val="both"/>
      </w:pPr>
      <w:r w:rsidRPr="00145650">
        <w:t>M&amp;S's AI adoption displays characteristics of both deliberate and emerging strategy. The formal partnership structures, apprenticeship programs, and loyalty platform investments reflect deliberate strategic choice. However, the specific AI use cases deployed — including the exact configuration of the Sparks ML models and the First Insight demand forecasting algorithms — likely reflect emergent learning from iterative deployment. Mintzberg and Waters (1985) argue that the most effective strategies combine deliberate direction with emergent responsiveness; M&amp;S appears to be developing this capability, though the governance architecture has lagged behind the pace of emergent AI innovation.</w:t>
      </w:r>
    </w:p>
    <w:p w14:paraId="094E8762" w14:textId="77777777" w:rsidR="00145650" w:rsidRPr="00145650" w:rsidRDefault="00145650" w:rsidP="004E74E8">
      <w:pPr>
        <w:pStyle w:val="Heading3"/>
        <w:rPr>
          <w:rFonts w:eastAsiaTheme="minorHAnsi"/>
        </w:rPr>
      </w:pPr>
      <w:bookmarkStart w:id="27" w:name="_Toc231355744"/>
      <w:r>
        <w:t xml:space="preserve">2.4.5 </w:t>
      </w:r>
      <w:r w:rsidRPr="00145650">
        <w:rPr>
          <w:rFonts w:eastAsiaTheme="minorHAnsi"/>
        </w:rPr>
        <w:t>The Cyberattack as a Strategic Stress Test</w:t>
      </w:r>
      <w:bookmarkEnd w:id="27"/>
    </w:p>
    <w:p w14:paraId="65169925" w14:textId="77777777" w:rsidR="004E74E8" w:rsidRDefault="004E74E8" w:rsidP="004E74E8">
      <w:pPr>
        <w:spacing w:line="360" w:lineRule="auto"/>
        <w:jc w:val="both"/>
      </w:pPr>
      <w:r>
        <w:t>However, the April 2025 episode should not only be evaluated from an operational perspective; rather, a more systemic assessment can be made based on the ability of M&amp;S to demonstrate strategic agility under the model proposed by Shao (2025). A truly agile company will be able to spot the danger, respond effectively, communicate transparently with consumers, and quickly get back on track. Indeed, M&amp;S managed to overcome the situation with containment and recovery; moreover, Stuart Machin’s communication policy was highly appreciated (University of Portsmouth, 2025). Nonetheless, the slow detection of the problem along with the long-lasting disturbance of the online platform operation indicates problems with agility at the level of security operations.</w:t>
      </w:r>
    </w:p>
    <w:p w14:paraId="28ECE1AB" w14:textId="65F50E96" w:rsidR="00145650" w:rsidRDefault="004E74E8" w:rsidP="004E74E8">
      <w:pPr>
        <w:spacing w:line="360" w:lineRule="auto"/>
        <w:jc w:val="both"/>
      </w:pPr>
      <w:r>
        <w:t>Evaluation: The analysis shows that strategic agility exists at M&amp;S, although the firm shows considerable diversity in implementing its agility. While the organization is flexible in terms of sensing and seizing new opportunities on the market, it displays less effectiveness in relation to the reconfiguration of governance and security processes. According to Ahmed et al. (2025), full-stack innovation is required for an organization to display genuine agility: customer-oriented flexibility needs to be complemented with operational and governance agility.</w:t>
      </w:r>
    </w:p>
    <w:p w14:paraId="4E78EDF6" w14:textId="77777777" w:rsidR="004E74E8" w:rsidRDefault="004E74E8" w:rsidP="004E74E8">
      <w:pPr>
        <w:spacing w:line="360" w:lineRule="auto"/>
        <w:jc w:val="both"/>
      </w:pPr>
    </w:p>
    <w:p w14:paraId="13701BFB" w14:textId="77777777" w:rsidR="004E74E8" w:rsidRDefault="004E74E8" w:rsidP="004E74E8">
      <w:pPr>
        <w:spacing w:line="360" w:lineRule="auto"/>
        <w:jc w:val="both"/>
      </w:pPr>
    </w:p>
    <w:p w14:paraId="4B146228" w14:textId="77777777" w:rsidR="009D426E" w:rsidRDefault="009D426E" w:rsidP="004E74E8">
      <w:pPr>
        <w:spacing w:line="360" w:lineRule="auto"/>
        <w:jc w:val="both"/>
      </w:pPr>
    </w:p>
    <w:p w14:paraId="53AFB5E3" w14:textId="77777777" w:rsidR="009D426E" w:rsidRPr="009D426E" w:rsidRDefault="009D426E" w:rsidP="00771949">
      <w:pPr>
        <w:pStyle w:val="Heading2"/>
      </w:pPr>
      <w:bookmarkStart w:id="28" w:name="_Toc231355745"/>
      <w:r w:rsidRPr="009D426E">
        <w:lastRenderedPageBreak/>
        <w:t>2.5 Customer Experience and Trust: The Critical Interface</w:t>
      </w:r>
      <w:bookmarkEnd w:id="28"/>
    </w:p>
    <w:p w14:paraId="5B52CD31" w14:textId="7FE00945" w:rsidR="009D426E" w:rsidRDefault="009D426E" w:rsidP="004E74E8">
      <w:pPr>
        <w:spacing w:line="360" w:lineRule="auto"/>
        <w:jc w:val="both"/>
      </w:pPr>
      <w:r w:rsidRPr="009D426E">
        <w:t>The extant research on the relation between artificial intelligence (AI) and CX notes an inherent paradox regarding AI-enabled CX. While technologies that are highly efficient in creating personalized and compelling CX for consumers pose the highest risk for trust failures, if not carefully designed, according to Prentice and Chen (2024). Specifically, AI-enabled CX can be characterized through three different lenses: efficiency (delivery speed and efficiency), personalization (appropriateness and contextualization of interactions), and emotional engagement (human-like nature of interactions created with the help of AI technology). M&amp;S makes an investment into three different areas associated with AI-based CX: predictive merchandizing focuses on efficiency, Sparks focuses on personalization, and the computer vision AI-based system helps improve in-store experience.</w:t>
      </w:r>
    </w:p>
    <w:p w14:paraId="0A022734" w14:textId="77777777" w:rsidR="009D426E" w:rsidRDefault="009D426E" w:rsidP="009D426E">
      <w:pPr>
        <w:spacing w:line="360" w:lineRule="auto"/>
        <w:jc w:val="both"/>
      </w:pPr>
      <w:r>
        <w:t>Ameen et al. (2020) have empirical support showing that consumers' willingness to provide data necessary for AI-enabled personalization is determined by the organization's data management practices' trustworthiness. The 2025 data breach, resulting in both loss and exposure of customers' personal data, negatively impacted the level of trust. Post-breach consumer sentiment analysis (University of Portsmouth, 2025) shows that M&amp;S's consistent approach based on transparency, with notifications and clear directions provided to all concerned parties, has helped minimize reputational damage; however, complete regaining of trust will take more time.</w:t>
      </w:r>
    </w:p>
    <w:p w14:paraId="6DF0D5D8" w14:textId="0A1AD189" w:rsidR="009D426E" w:rsidRDefault="009D426E" w:rsidP="009D426E">
      <w:pPr>
        <w:spacing w:line="360" w:lineRule="auto"/>
        <w:jc w:val="both"/>
      </w:pPr>
      <w:r>
        <w:t>Bunea and Corboș (2026) use PLS-SEM analysis to prove empirically that competitive advantage through customer satisfaction and loyalty generated by adopting AI in e-retailing depends on data security. Organizations providing a high level of personalization through the use of AI while at the same time lacking trust in terms of security have a lower competitive advantage compared to those delivering a medium level of personalization and having high trust in security. This means that for M&amp;S, the combination of AI personalization without appropriate security may turn out to be counterproductive.</w:t>
      </w:r>
    </w:p>
    <w:p w14:paraId="11201539" w14:textId="6E154DC9" w:rsidR="009D426E" w:rsidRDefault="009D426E" w:rsidP="009D426E">
      <w:pPr>
        <w:spacing w:line="360" w:lineRule="auto"/>
        <w:jc w:val="both"/>
      </w:pPr>
      <w:r w:rsidRPr="009D426E">
        <w:t xml:space="preserve">According to BCG (2026), in the age of artificial intelligence, the current standards for the consumer experience mandate that data ethics should be considered more than a mere necessity, but rather something that will differentiate the brand. Those retailers who are able </w:t>
      </w:r>
      <w:r w:rsidRPr="009D426E">
        <w:lastRenderedPageBreak/>
        <w:t>to show trustworthiness in their AI activities like transparency, safe management of data, and providing control to the consumer can gain loyal customers.</w:t>
      </w:r>
    </w:p>
    <w:p w14:paraId="78965AEF" w14:textId="77777777" w:rsidR="009D426E" w:rsidRDefault="009D426E" w:rsidP="009D426E">
      <w:pPr>
        <w:spacing w:line="360" w:lineRule="auto"/>
        <w:jc w:val="both"/>
      </w:pPr>
    </w:p>
    <w:p w14:paraId="579D745E" w14:textId="77777777" w:rsidR="00771949" w:rsidRPr="00771949" w:rsidRDefault="00771949" w:rsidP="00771949">
      <w:pPr>
        <w:pStyle w:val="Heading2"/>
      </w:pPr>
      <w:bookmarkStart w:id="29" w:name="_Toc231355746"/>
      <w:r w:rsidRPr="00771949">
        <w:t>2.6 Ethical Dimensions and Governance</w:t>
      </w:r>
      <w:bookmarkEnd w:id="29"/>
    </w:p>
    <w:p w14:paraId="5BCEEC18" w14:textId="77777777" w:rsidR="002264AF" w:rsidRDefault="002264AF" w:rsidP="002264AF">
      <w:pPr>
        <w:spacing w:line="360" w:lineRule="auto"/>
        <w:jc w:val="both"/>
      </w:pPr>
      <w:r>
        <w:t>In addition to the cybersecurity implications, the ethical dimensions of the use of artificial intelligence (AI) technologies to enhance customer experience relate to algorithmic discrimination, data minimization, and the appropriate limits of AI-guided nudging of customers in business settings. The emphasis in the module on the ethical, CSR, and governance issues as key aspects of the strategic agenda rather than just compliance highlights the importance of these factors for the company's strategic direction.</w:t>
      </w:r>
    </w:p>
    <w:p w14:paraId="5283AA0A" w14:textId="411774EB" w:rsidR="002264AF" w:rsidRDefault="002264AF" w:rsidP="002264AF">
      <w:pPr>
        <w:spacing w:line="360" w:lineRule="auto"/>
        <w:jc w:val="both"/>
      </w:pPr>
      <w:r>
        <w:t>The application of generative AI in Sparks, the M&amp;S loyalty program, creates an issue of transparency related to offers that are personalized using customers' data. While the EU AI Act (2024) will not be applicable for the United Kingdom after Brexit, the mentioned legislation serves as a sign of the international regulatory trend. Therefore, the Act implies that companies like M&amp;S will have to meet specific requirements in the future. Thus, providers of AI systems are required to prepare documentation, conduct conformity assessments, and have the capacity for human supervision of the AI.</w:t>
      </w:r>
    </w:p>
    <w:p w14:paraId="10C7046D" w14:textId="633470B9" w:rsidR="009D426E" w:rsidRDefault="002264AF" w:rsidP="002264AF">
      <w:pPr>
        <w:spacing w:line="360" w:lineRule="auto"/>
        <w:jc w:val="both"/>
      </w:pPr>
      <w:r>
        <w:t>According to Johnson et al. (2020), in the case of companies where brand trust becomes a critical strategic advantage—as for M&amp;S—the issues of AI ethics and strategic competitiveness become mutually dependent. Proactive ethical governance of artificial intelligence allows the company to build a differentiator by positioning itself as an ethical partner of customers in their digital journeys. Thus, ethical AI governance becomes part of the M&amp;S competitive advantage, which is hard for competitors to emulate if they prioritize AI development over the governance of technology.</w:t>
      </w:r>
    </w:p>
    <w:p w14:paraId="6A461AD3" w14:textId="70E6987E" w:rsidR="002264AF" w:rsidRDefault="002264AF" w:rsidP="002264AF">
      <w:pPr>
        <w:spacing w:line="360" w:lineRule="auto"/>
        <w:jc w:val="both"/>
      </w:pPr>
    </w:p>
    <w:p w14:paraId="59751C72" w14:textId="77777777" w:rsidR="002264AF" w:rsidRDefault="002264AF">
      <w:r>
        <w:br w:type="page"/>
      </w:r>
    </w:p>
    <w:p w14:paraId="0C49F172" w14:textId="77777777" w:rsidR="002264AF" w:rsidRPr="006129CC" w:rsidRDefault="002264AF" w:rsidP="007B76DA">
      <w:pPr>
        <w:pStyle w:val="Heading1"/>
        <w:rPr>
          <w:b/>
          <w:bCs/>
          <w:sz w:val="36"/>
          <w:szCs w:val="36"/>
        </w:rPr>
      </w:pPr>
      <w:bookmarkStart w:id="30" w:name="_Toc231355747"/>
      <w:r w:rsidRPr="006129CC">
        <w:rPr>
          <w:b/>
          <w:bCs/>
          <w:sz w:val="36"/>
          <w:szCs w:val="36"/>
        </w:rPr>
        <w:lastRenderedPageBreak/>
        <w:t>3. Conclusions</w:t>
      </w:r>
      <w:bookmarkEnd w:id="30"/>
    </w:p>
    <w:p w14:paraId="512DA27C" w14:textId="77777777" w:rsidR="007B76DA" w:rsidRDefault="007B76DA" w:rsidP="007B76DA">
      <w:pPr>
        <w:spacing w:line="360" w:lineRule="auto"/>
        <w:jc w:val="both"/>
      </w:pPr>
      <w:r>
        <w:t>An analysis of the AI CX Strategy of Marks &amp; Spencer reveals that there are multiple angles through which the company's efforts should be analyzed to reach a more nuanced understanding of their impact. In the end, despite its undeniable strengths, M&amp;S' efforts reveal an element of strategic agility that is accompanied by significant reputational risk.</w:t>
      </w:r>
    </w:p>
    <w:p w14:paraId="6B89FC11" w14:textId="77777777" w:rsidR="007B76DA" w:rsidRDefault="007B76DA" w:rsidP="007B76DA">
      <w:pPr>
        <w:spacing w:line="360" w:lineRule="auto"/>
        <w:jc w:val="both"/>
      </w:pPr>
      <w:r>
        <w:t>To begin with, M&amp;S invested heavily into AI CX technology. This involved using AI for loyalty personalization, predictive merchandizing, computer vision, and cloud infrastructure development and building a strong AI capability internally. Such investments have allowed M&amp;S to recover financially and regain market position: M&amp;S was included back into the FTSE 100 and increased clothing market share to 10.0%.</w:t>
      </w:r>
    </w:p>
    <w:p w14:paraId="0CB9035B" w14:textId="77777777" w:rsidR="007B76DA" w:rsidRDefault="007B76DA" w:rsidP="007B76DA">
      <w:pPr>
        <w:spacing w:line="360" w:lineRule="auto"/>
        <w:jc w:val="both"/>
      </w:pPr>
      <w:r>
        <w:t>Furthermore, the April 2025 cyberattack represents a crisis situation from both the strategic and reputation perspectives. As a result of the attack, Marks &amp; Spencer incurred £300 million losses and disrupted its customers for months. As one can see, relying on vulnerable AI-driven growth strategies entails the risk of suffering catastrophic downsides.</w:t>
      </w:r>
    </w:p>
    <w:p w14:paraId="2FEDBB8D" w14:textId="77777777" w:rsidR="007B76DA" w:rsidRDefault="007B76DA" w:rsidP="007B76DA">
      <w:pPr>
        <w:spacing w:line="360" w:lineRule="auto"/>
        <w:jc w:val="both"/>
      </w:pPr>
      <w:r>
        <w:t>From the perspective of the RBV/VRIO approach to competitive advantage, it is possible to conclude that the unique competitive advantages of Marks &amp; Spencer are built not around AI technologies but proprietary customer data, loyalty program infrastructure, and an internal AI workforce – all of which are necessary to develop the former. In this regard, maintaining such advantages requires a proper governance mechanism.</w:t>
      </w:r>
    </w:p>
    <w:p w14:paraId="2B3ADB2B" w14:textId="77777777" w:rsidR="007B76DA" w:rsidRDefault="007B76DA" w:rsidP="007B76DA">
      <w:pPr>
        <w:spacing w:line="360" w:lineRule="auto"/>
        <w:jc w:val="both"/>
      </w:pPr>
      <w:r>
        <w:t>Furthermore, M&amp;S can be described as a highly agile organization but not entirely: the organization demonstrates strong agility in using customer-facing AI application and strategic communication on CX initiatives but lacks agility related to threat detection, security management, and legacy system modernization.</w:t>
      </w:r>
    </w:p>
    <w:p w14:paraId="149E3B48" w14:textId="77777777" w:rsidR="007B76DA" w:rsidRDefault="007B76DA" w:rsidP="007B76DA">
      <w:pPr>
        <w:spacing w:line="360" w:lineRule="auto"/>
        <w:jc w:val="both"/>
      </w:pPr>
      <w:r>
        <w:t>Finally, as demonstrated by scholarly research, the ability of AI-driven CX to provide competitive advantages depends on customer trust related to data handling. Since M&amp;S suffered significant damage to its trust capital in 2025, addressing the issue becomes imperative from the strategic standpoint.</w:t>
      </w:r>
    </w:p>
    <w:p w14:paraId="1554E5F7" w14:textId="77777777" w:rsidR="007B76DA" w:rsidRDefault="007B76DA" w:rsidP="007B76DA">
      <w:pPr>
        <w:spacing w:line="360" w:lineRule="auto"/>
        <w:jc w:val="both"/>
      </w:pPr>
    </w:p>
    <w:p w14:paraId="2DE62357" w14:textId="75070008" w:rsidR="002264AF" w:rsidRPr="00563C3B" w:rsidRDefault="007B76DA" w:rsidP="007B76DA">
      <w:pPr>
        <w:spacing w:line="360" w:lineRule="auto"/>
        <w:jc w:val="both"/>
      </w:pPr>
      <w:r>
        <w:lastRenderedPageBreak/>
        <w:t>As can be seen from above, the framing of M&amp;S' CX strategy in terms of "strategic agility or reputational risk" implies an artificial binary: in fact, the company's efforts to leverage AI represent both.</w:t>
      </w:r>
    </w:p>
    <w:p w14:paraId="5FCCA5C7" w14:textId="77777777" w:rsidR="00F9284E" w:rsidRDefault="00F9284E" w:rsidP="00320CA4">
      <w:pPr>
        <w:spacing w:line="360" w:lineRule="auto"/>
        <w:jc w:val="both"/>
      </w:pPr>
    </w:p>
    <w:p w14:paraId="7D05B49D" w14:textId="2DC6B79C" w:rsidR="007B76DA" w:rsidRPr="006129CC" w:rsidRDefault="004A5EB7" w:rsidP="004A5EB7">
      <w:pPr>
        <w:pStyle w:val="Heading1"/>
        <w:rPr>
          <w:b/>
          <w:bCs/>
          <w:sz w:val="36"/>
          <w:szCs w:val="36"/>
        </w:rPr>
      </w:pPr>
      <w:bookmarkStart w:id="31" w:name="_Toc231355748"/>
      <w:r w:rsidRPr="006129CC">
        <w:rPr>
          <w:b/>
          <w:bCs/>
          <w:sz w:val="36"/>
          <w:szCs w:val="36"/>
        </w:rPr>
        <w:t>4. Recommendations</w:t>
      </w:r>
      <w:bookmarkEnd w:id="31"/>
    </w:p>
    <w:p w14:paraId="0FB4C7BA" w14:textId="14B3BFAE" w:rsidR="004A5EB7" w:rsidRDefault="004A5EB7" w:rsidP="004A5EB7">
      <w:pPr>
        <w:spacing w:line="360" w:lineRule="auto"/>
        <w:jc w:val="both"/>
      </w:pPr>
      <w:r w:rsidRPr="004A5EB7">
        <w:t>Based on the foregoing analysis, the following recommendations are ordered by urgency and strategic impact.</w:t>
      </w:r>
    </w:p>
    <w:p w14:paraId="3F54B0C1" w14:textId="77777777" w:rsidR="0078797F" w:rsidRPr="0078797F" w:rsidRDefault="0078797F" w:rsidP="00AE4999">
      <w:pPr>
        <w:pStyle w:val="Heading3"/>
        <w:rPr>
          <w:rFonts w:eastAsiaTheme="minorHAnsi"/>
        </w:rPr>
      </w:pPr>
      <w:bookmarkStart w:id="32" w:name="_Toc231355749"/>
      <w:r>
        <w:t xml:space="preserve">4.1.1 </w:t>
      </w:r>
      <w:r w:rsidRPr="0078797F">
        <w:rPr>
          <w:rFonts w:eastAsiaTheme="minorHAnsi"/>
        </w:rPr>
        <w:t>Appoint a Chief AI Ethics and Data Governance Officer</w:t>
      </w:r>
      <w:bookmarkEnd w:id="32"/>
    </w:p>
    <w:p w14:paraId="12A25A2C" w14:textId="63817073" w:rsidR="004A5EB7" w:rsidRDefault="0078797F" w:rsidP="004A5EB7">
      <w:pPr>
        <w:spacing w:line="360" w:lineRule="auto"/>
        <w:jc w:val="both"/>
      </w:pPr>
      <w:r w:rsidRPr="0078797F">
        <w:t>A board-level CAEGO role needs to be created within Marks &amp; Spencer with cross-functional control and authority regarding AI deployment standards, data privacy architectures, and algorithmic accountability. This role, reporting directly to the Chief Executive Officer and the Audit and Risk Committee of the company, will help create the necessary organizational architecture that will facilitate sustainable investment in AI CX. This recommendation is consistent with the assertion by Whittington et al. (2020) that the existence of a certain capability in an organization necessitates organizational architecture for its sustainability; governance capability can be considered a strategic resource, not just an operational one.</w:t>
      </w:r>
    </w:p>
    <w:p w14:paraId="1EB6ABBE" w14:textId="5FAB71C3" w:rsidR="0078797F" w:rsidRDefault="0078797F" w:rsidP="00AE4999">
      <w:pPr>
        <w:pStyle w:val="Heading3"/>
      </w:pPr>
      <w:bookmarkStart w:id="33" w:name="_Toc231355750"/>
      <w:r>
        <w:t xml:space="preserve">4.1.2 </w:t>
      </w:r>
      <w:r w:rsidRPr="0078797F">
        <w:t>Implement Privacy-by-Design Across All AI Systems</w:t>
      </w:r>
      <w:bookmarkEnd w:id="33"/>
    </w:p>
    <w:p w14:paraId="2478441A" w14:textId="765A0812" w:rsidR="0078797F" w:rsidRPr="0078797F" w:rsidRDefault="0078797F" w:rsidP="004A5EB7">
      <w:pPr>
        <w:spacing w:line="360" w:lineRule="auto"/>
        <w:jc w:val="both"/>
      </w:pPr>
      <w:r w:rsidRPr="0078797F">
        <w:t>All current and future AI-powered CX applications such as Sparks personalization tool, First Insight, SymphonyAI store intelligence, and other relevant solutions should undergo auditing according to the principles of Privacy-by-Design as suggested by Cavoukian (2010). M&amp;S should: (a) complete Data Protection Impact Assessment (DPIA) for all AI systems in question; (b) implement data minimization by storing minimal amount of personal information; and (c) develop customer-focused data transparency portals allowing Sparks members to manage personal information used by the AI and delete profiles as desired. These actions will reduce the company's regulatory exposure under UK GDPR while building trust among customers.</w:t>
      </w:r>
    </w:p>
    <w:p w14:paraId="11A1F1CE" w14:textId="07B67D1D" w:rsidR="0078797F" w:rsidRDefault="0078797F" w:rsidP="00AE4999">
      <w:pPr>
        <w:pStyle w:val="Heading3"/>
      </w:pPr>
      <w:bookmarkStart w:id="34" w:name="_Toc231355751"/>
      <w:r>
        <w:t xml:space="preserve">4.1.3 </w:t>
      </w:r>
      <w:r w:rsidRPr="0078797F">
        <w:t>Establish a Zero Trust Security Architecture</w:t>
      </w:r>
      <w:bookmarkEnd w:id="34"/>
    </w:p>
    <w:p w14:paraId="742065B9" w14:textId="74E2E578" w:rsidR="0078797F" w:rsidRPr="00AE4999" w:rsidRDefault="00AE4999" w:rsidP="004A5EB7">
      <w:pPr>
        <w:spacing w:line="360" w:lineRule="auto"/>
        <w:jc w:val="both"/>
      </w:pPr>
      <w:r w:rsidRPr="00AE4999">
        <w:t xml:space="preserve">The company needs to speed up the process of implementing a Zero Trust security architecture within its cloud infrastructure, moving from implicit trust to continuous authentication and authorization of access to the system. As was evidenced by the case of </w:t>
      </w:r>
      <w:r w:rsidRPr="00AE4999">
        <w:lastRenderedPageBreak/>
        <w:t>DragonForce (MTI Technology, 2025), implicit trust relations in the company's network allowed the attackers to go from the initial intrusion into causing significant damage within two days of the attack remaining undiscovered. The adoption of a Zero Trust paradigm is aimed precisely at addressing such threats. M&amp;S needs to collaborate with the security services provided by Microsoft Azure and have a Security Operations Centre operating around the clock that uses AI tools to detect potential threats.</w:t>
      </w:r>
    </w:p>
    <w:p w14:paraId="0C8E5ED2" w14:textId="4659C953" w:rsidR="0078797F" w:rsidRPr="0078797F" w:rsidRDefault="0078797F" w:rsidP="00AE4999">
      <w:pPr>
        <w:pStyle w:val="Heading2"/>
        <w:rPr>
          <w:rFonts w:eastAsiaTheme="minorHAnsi"/>
        </w:rPr>
      </w:pPr>
      <w:bookmarkStart w:id="35" w:name="_Toc231355752"/>
      <w:r>
        <w:t xml:space="preserve">4.1.4 </w:t>
      </w:r>
      <w:r w:rsidRPr="0078797F">
        <w:rPr>
          <w:rFonts w:eastAsiaTheme="minorHAnsi"/>
        </w:rPr>
        <w:t>Develop a Supplier AI and Cybersecurity Accreditation Program</w:t>
      </w:r>
      <w:bookmarkEnd w:id="35"/>
    </w:p>
    <w:p w14:paraId="752AA93C" w14:textId="011CBE16" w:rsidR="0078797F" w:rsidRDefault="00AE4999" w:rsidP="004A5EB7">
      <w:pPr>
        <w:spacing w:line="360" w:lineRule="auto"/>
        <w:jc w:val="both"/>
      </w:pPr>
      <w:r w:rsidRPr="00AE4999">
        <w:t>The supply chain being disrupted by the cyberattack is further evidence that digital resilience requires proper governance of the entire supplier ecosystem alongside other measures. M&amp;S should adopt strict cybersecurity criteria for all its Tier 1 and Tier 2 suppliers, including mandatory multi-factor authentication, regular penetration testing, and timely notifications of any incidents. This will help in addressing the supply chain issues that led to M&amp;S suffering so badly from the 2025 cyberattack, which follows the UK NCSC guidelines for managing the security of the supplier ecosystem (NCSC, 2023).</w:t>
      </w:r>
    </w:p>
    <w:p w14:paraId="5F930E6D" w14:textId="77777777" w:rsidR="0078797F" w:rsidRPr="0078797F" w:rsidRDefault="0078797F" w:rsidP="00AE4999">
      <w:pPr>
        <w:pStyle w:val="Heading2"/>
        <w:rPr>
          <w:rFonts w:eastAsiaTheme="minorHAnsi"/>
        </w:rPr>
      </w:pPr>
      <w:bookmarkStart w:id="36" w:name="_Toc231355753"/>
      <w:r>
        <w:t xml:space="preserve">4.1.5 </w:t>
      </w:r>
      <w:r w:rsidRPr="0078797F">
        <w:rPr>
          <w:rFonts w:eastAsiaTheme="minorHAnsi"/>
        </w:rPr>
        <w:t>Invest in Transparent AI Communication with Customers</w:t>
      </w:r>
      <w:bookmarkEnd w:id="36"/>
    </w:p>
    <w:p w14:paraId="6BB127B7" w14:textId="732B072B" w:rsidR="0078797F" w:rsidRDefault="00AE4999" w:rsidP="004A5EB7">
      <w:pPr>
        <w:spacing w:line="360" w:lineRule="auto"/>
        <w:jc w:val="both"/>
      </w:pPr>
      <w:r w:rsidRPr="00AE4999">
        <w:t>To address the problem of customer trust related to the 2025 cyberattack, M&amp;S should prepare a clear, comprehensible "AI and your Data" communication program, explaining the principles of using AI to provide personalization services, what data are collected, how they are protected, and customers' rights to their own data. According to Guendouz (2024), customers are more likely to use AI for personalization purposes if they know about the data relationship and have control over it. Such a communication strategy could be complemented by regular, comprehensible reports on the steps taken to improve data protection.</w:t>
      </w:r>
    </w:p>
    <w:p w14:paraId="34389ECF" w14:textId="77777777" w:rsidR="0078797F" w:rsidRPr="0078797F" w:rsidRDefault="0078797F" w:rsidP="00AE4999">
      <w:pPr>
        <w:pStyle w:val="Heading2"/>
        <w:rPr>
          <w:rFonts w:eastAsiaTheme="minorHAnsi"/>
        </w:rPr>
      </w:pPr>
      <w:bookmarkStart w:id="37" w:name="_Toc231355754"/>
      <w:r>
        <w:t xml:space="preserve">4.1.6 </w:t>
      </w:r>
      <w:r w:rsidRPr="0078797F">
        <w:rPr>
          <w:rFonts w:eastAsiaTheme="minorHAnsi"/>
        </w:rPr>
        <w:t>Establish Analogue Resilience Protocols</w:t>
      </w:r>
      <w:bookmarkEnd w:id="37"/>
    </w:p>
    <w:p w14:paraId="2C3FCCE0" w14:textId="0475A12B" w:rsidR="0078797F" w:rsidRDefault="00AE4999" w:rsidP="004A5EB7">
      <w:pPr>
        <w:spacing w:line="360" w:lineRule="auto"/>
        <w:jc w:val="both"/>
      </w:pPr>
      <w:r w:rsidRPr="00AE4999">
        <w:t>The fact that M&amp;S suffers greatly from the cyberattack due to being highly dependent on digital technologies while not maintaining sufficient analogue fallback means that M&amp;S has a problem with strategic resilience. M&amp;S needs to create a number of business continuity plans that would allow the company to keep running critical business processes, like ordering, managing the supply chain, and communicating with customers, in reduced capacity if there were a problem with its digital infrastructure. As proposed by Lynch (2018), resilience is a prerequisite for agility.</w:t>
      </w:r>
    </w:p>
    <w:p w14:paraId="76DE109D" w14:textId="618B0C53" w:rsidR="0078797F" w:rsidRPr="006129CC" w:rsidRDefault="006129CC" w:rsidP="006129CC">
      <w:pPr>
        <w:pStyle w:val="Heading1"/>
        <w:rPr>
          <w:b/>
          <w:bCs/>
          <w:sz w:val="36"/>
          <w:szCs w:val="36"/>
        </w:rPr>
      </w:pPr>
      <w:bookmarkStart w:id="38" w:name="_Toc231355755"/>
      <w:r w:rsidRPr="006129CC">
        <w:rPr>
          <w:b/>
          <w:bCs/>
          <w:sz w:val="36"/>
          <w:szCs w:val="36"/>
        </w:rPr>
        <w:lastRenderedPageBreak/>
        <w:t>References</w:t>
      </w:r>
      <w:bookmarkEnd w:id="38"/>
    </w:p>
    <w:p w14:paraId="06B09841" w14:textId="77777777" w:rsidR="006129CC" w:rsidRPr="006129CC" w:rsidRDefault="006129CC" w:rsidP="006129CC">
      <w:pPr>
        <w:spacing w:line="360" w:lineRule="auto"/>
        <w:jc w:val="both"/>
      </w:pPr>
      <w:r w:rsidRPr="006129CC">
        <w:t>Ahmed, R., Hassan, M. and Malik, S. (2025) 'Artificial Intelligence and Machine Learning in Business Analytics: Implications for Organisational Agility', Journal of Business Research and Analytics, 4(2). doi: 10.63125/f7yjxw69.</w:t>
      </w:r>
    </w:p>
    <w:p w14:paraId="3FCD9875" w14:textId="77777777" w:rsidR="006129CC" w:rsidRPr="006129CC" w:rsidRDefault="006129CC" w:rsidP="006129CC">
      <w:pPr>
        <w:spacing w:line="360" w:lineRule="auto"/>
        <w:jc w:val="both"/>
      </w:pPr>
      <w:r w:rsidRPr="006129CC">
        <w:t>Ameen, N., Tarhini, A., Reppel, A. and Anand, A. (2020) 'Customer experiences in the age of artificial intelligence', Computers in Human Behavior, 114, p.106548. doi: 10.1016/j.chb.2020.106548.</w:t>
      </w:r>
    </w:p>
    <w:p w14:paraId="4D5E85BD" w14:textId="77777777" w:rsidR="006129CC" w:rsidRPr="006129CC" w:rsidRDefault="006129CC" w:rsidP="006129CC">
      <w:pPr>
        <w:spacing w:line="360" w:lineRule="auto"/>
        <w:jc w:val="both"/>
      </w:pPr>
      <w:r w:rsidRPr="006129CC">
        <w:t>Barney, J. (1991) 'Firm Resources and Sustained Competitive Advantage', Journal of Management, 17(1), pp.99–120.</w:t>
      </w:r>
    </w:p>
    <w:p w14:paraId="3E3D7735" w14:textId="77777777" w:rsidR="006129CC" w:rsidRPr="006129CC" w:rsidRDefault="006129CC" w:rsidP="006129CC">
      <w:pPr>
        <w:spacing w:line="360" w:lineRule="auto"/>
        <w:jc w:val="both"/>
      </w:pPr>
      <w:r w:rsidRPr="006129CC">
        <w:t>BCG (2026) The New Rules of Customer Experience in the Age of AI. Boston Consulting Group. Available at: https://www.bcg.com/publications/2026/the-new-rules-of-customer-experience-in-the-age-of-ai (Accessed: 20 May 2026).</w:t>
      </w:r>
    </w:p>
    <w:p w14:paraId="5712F409" w14:textId="77777777" w:rsidR="006129CC" w:rsidRPr="006129CC" w:rsidRDefault="006129CC" w:rsidP="006129CC">
      <w:pPr>
        <w:spacing w:line="360" w:lineRule="auto"/>
        <w:jc w:val="both"/>
      </w:pPr>
      <w:r w:rsidRPr="006129CC">
        <w:t>Bonetti, F., Warnaby, G. and Quinn, L. (2022) 'Augmented reality and virtual reality in physical and online retailing: A review, synthesis and research agenda', Journal of the Academy of Marketing Science, 50, pp.119–132. doi: 10.1007/s11747-022-00896-1.</w:t>
      </w:r>
    </w:p>
    <w:p w14:paraId="0D28D790" w14:textId="77777777" w:rsidR="006129CC" w:rsidRPr="006129CC" w:rsidRDefault="006129CC" w:rsidP="006129CC">
      <w:pPr>
        <w:spacing w:line="360" w:lineRule="auto"/>
        <w:jc w:val="both"/>
      </w:pPr>
      <w:r w:rsidRPr="006129CC">
        <w:t>Bunea, A.M. and Corboș, R.A. (2026) 'Artificial Intelligence in E-Retailing and Competitive Advantage: A PLS-SEM Approach', Journal of Theoretical and Applied Electronic Commerce Research, 21(4), p.119. doi: 10.3390/jtaer21040119.</w:t>
      </w:r>
    </w:p>
    <w:p w14:paraId="72E25E11" w14:textId="77777777" w:rsidR="006129CC" w:rsidRPr="006129CC" w:rsidRDefault="006129CC" w:rsidP="006129CC">
      <w:pPr>
        <w:spacing w:line="360" w:lineRule="auto"/>
        <w:jc w:val="both"/>
      </w:pPr>
      <w:r w:rsidRPr="006129CC">
        <w:t>Cavoukian, A. (2010) Privacy by Design: The 7 Foundational Principles. Information and Privacy Commissioner of Ontario.</w:t>
      </w:r>
    </w:p>
    <w:p w14:paraId="713F9933" w14:textId="77777777" w:rsidR="006129CC" w:rsidRPr="006129CC" w:rsidRDefault="006129CC" w:rsidP="006129CC">
      <w:pPr>
        <w:spacing w:line="360" w:lineRule="auto"/>
        <w:jc w:val="both"/>
      </w:pPr>
      <w:r w:rsidRPr="006129CC">
        <w:t>DecisionMarketing (2024) M&amp;S rolls out AI intelligence to Clothing and Home unit. Available at: https://www.decisionmarketing.co.uk/news/ms-rolls-out-ai-intelligence-to-clothing-home-unit (Accessed: 10 May 2026).</w:t>
      </w:r>
    </w:p>
    <w:p w14:paraId="2FE53071" w14:textId="77777777" w:rsidR="006129CC" w:rsidRPr="006129CC" w:rsidRDefault="006129CC" w:rsidP="006129CC">
      <w:pPr>
        <w:spacing w:line="360" w:lineRule="auto"/>
        <w:jc w:val="both"/>
      </w:pPr>
      <w:r w:rsidRPr="006129CC">
        <w:t>Deloitte (2024) Digital Consumer Trends Survey 2024: UK Results. Deloitte LLP. Available at: https://www.deloitte.com/uk/en/Industries/technology-media-telecommunications/research/digital-consumer-trends-2024.html (Accessed: 15 May 2026).</w:t>
      </w:r>
    </w:p>
    <w:p w14:paraId="06801CB8" w14:textId="77777777" w:rsidR="006129CC" w:rsidRPr="006129CC" w:rsidRDefault="006129CC" w:rsidP="006129CC">
      <w:pPr>
        <w:spacing w:line="360" w:lineRule="auto"/>
        <w:jc w:val="both"/>
      </w:pPr>
      <w:r w:rsidRPr="006129CC">
        <w:lastRenderedPageBreak/>
        <w:t>Dutta, S. (2024) 'Generative AI in Omnichannel Retail: Transforming Customer Experience and Operations', International Journal for Multidisciplinary Research, 6(5). doi: 10.36948/ijfmr.2024.v06i05.28799.</w:t>
      </w:r>
    </w:p>
    <w:p w14:paraId="7BDA8520" w14:textId="77777777" w:rsidR="006129CC" w:rsidRPr="006129CC" w:rsidRDefault="006129CC" w:rsidP="006129CC">
      <w:pPr>
        <w:spacing w:line="360" w:lineRule="auto"/>
        <w:jc w:val="both"/>
      </w:pPr>
      <w:r w:rsidRPr="006129CC">
        <w:t>Guendouz, M. (2024) 'AI-Powered Customer Experience, Hyper-Personalisation, and Sustainable Competitive Advantage', International Journal of Scientific Research, 3(6). doi: 10.59992/ijsr.2024.v3n6p9.</w:t>
      </w:r>
    </w:p>
    <w:p w14:paraId="09320501" w14:textId="77777777" w:rsidR="006129CC" w:rsidRPr="006129CC" w:rsidRDefault="006129CC" w:rsidP="006129CC">
      <w:pPr>
        <w:spacing w:line="360" w:lineRule="auto"/>
        <w:jc w:val="both"/>
      </w:pPr>
      <w:r w:rsidRPr="006129CC">
        <w:t>Gupta, A. (2025) 'Artificial Intelligence in Commerce: From Operational Efficiency to Competitive Advantage', International Journal for Multidisciplinary Research, 7(5). doi: 10.36948/ijfmr.2025.v07i05.56071.</w:t>
      </w:r>
    </w:p>
    <w:p w14:paraId="5EF6ABE3" w14:textId="77777777" w:rsidR="006129CC" w:rsidRPr="006129CC" w:rsidRDefault="006129CC" w:rsidP="006129CC">
      <w:pPr>
        <w:spacing w:line="360" w:lineRule="auto"/>
        <w:jc w:val="both"/>
      </w:pPr>
      <w:r w:rsidRPr="006129CC">
        <w:t>ICO (2024) Guidance on AI and Data Protection. Information Commissioner's Office. Available at: https://ico.org.uk/for-organisations/guide-to-data-protection/key-dp-themes/guidance-on-ai-and-data-protection/ (Accessed: 12 May 2026).</w:t>
      </w:r>
    </w:p>
    <w:p w14:paraId="382D09F8" w14:textId="77777777" w:rsidR="006129CC" w:rsidRPr="006129CC" w:rsidRDefault="006129CC" w:rsidP="006129CC">
      <w:pPr>
        <w:spacing w:line="360" w:lineRule="auto"/>
        <w:jc w:val="both"/>
      </w:pPr>
      <w:r w:rsidRPr="006129CC">
        <w:t>Johnson, G., Scholes, K. and Whittington, R. (2020) Exploring Strategy, 12th edn. Harlow: Pearson.</w:t>
      </w:r>
    </w:p>
    <w:p w14:paraId="32E43527" w14:textId="77777777" w:rsidR="006129CC" w:rsidRPr="006129CC" w:rsidRDefault="006129CC" w:rsidP="006129CC">
      <w:pPr>
        <w:spacing w:line="360" w:lineRule="auto"/>
        <w:jc w:val="both"/>
      </w:pPr>
      <w:r w:rsidRPr="006129CC">
        <w:t>Lynch, R. (2018) Strategic Management, 8th edn. Harlow: Pearson.</w:t>
      </w:r>
    </w:p>
    <w:p w14:paraId="77D7ECA3" w14:textId="77777777" w:rsidR="006129CC" w:rsidRPr="006129CC" w:rsidRDefault="006129CC" w:rsidP="006129CC">
      <w:pPr>
        <w:spacing w:line="360" w:lineRule="auto"/>
        <w:jc w:val="both"/>
      </w:pPr>
      <w:r w:rsidRPr="006129CC">
        <w:t>M&amp;S (2025) Annual Report and Financial Statements 2025. Marks and Spencer Group plc. Available at: https://corporate.marksandspencer.com/investors/our-performance-updates/2026-annual-report (Accessed: 5 May 2026).</w:t>
      </w:r>
    </w:p>
    <w:p w14:paraId="319E1064" w14:textId="77777777" w:rsidR="006129CC" w:rsidRPr="006129CC" w:rsidRDefault="006129CC" w:rsidP="006129CC">
      <w:pPr>
        <w:spacing w:line="360" w:lineRule="auto"/>
        <w:jc w:val="both"/>
      </w:pPr>
      <w:r w:rsidRPr="006129CC">
        <w:t>M&amp;S (2026) M&amp;S Announces Transformed Sparks Loyalty Programme. Marks and Spencer Group plc Newsroom. Available at: https://corporate.marksandspencer.com/newsroom/press-releases/ms-announces-transformed-sparks-loyalty-programme (Accessed: 20 April 2026).</w:t>
      </w:r>
    </w:p>
    <w:p w14:paraId="17E7AAD1" w14:textId="77777777" w:rsidR="006129CC" w:rsidRPr="006129CC" w:rsidRDefault="006129CC" w:rsidP="006129CC">
      <w:pPr>
        <w:spacing w:line="360" w:lineRule="auto"/>
        <w:jc w:val="both"/>
      </w:pPr>
      <w:r w:rsidRPr="006129CC">
        <w:t>McKinsey (2024) The Value of Getting Personalisation Right — or Wrong — Is Multiplying. McKinsey &amp; Company. Available at: https://www.mckinsey.com/capabilities/growth-marketing-and-sales/our-insights/the-value-of-getting-personalization-right-or-wrong-is-multiplying (Accessed: 10 May 2026).</w:t>
      </w:r>
    </w:p>
    <w:p w14:paraId="2D90C947" w14:textId="77777777" w:rsidR="006129CC" w:rsidRPr="006129CC" w:rsidRDefault="006129CC" w:rsidP="006129CC">
      <w:pPr>
        <w:spacing w:line="360" w:lineRule="auto"/>
        <w:jc w:val="both"/>
      </w:pPr>
      <w:r w:rsidRPr="006129CC">
        <w:t>Mintzberg, H. and Waters, J.A. (1985) 'Of Strategies, Deliberate and Emergent', Strategic Management Journal, 6(3), pp.257–272.</w:t>
      </w:r>
    </w:p>
    <w:p w14:paraId="268668DC" w14:textId="77777777" w:rsidR="006129CC" w:rsidRPr="006129CC" w:rsidRDefault="006129CC" w:rsidP="006129CC">
      <w:pPr>
        <w:spacing w:line="360" w:lineRule="auto"/>
        <w:jc w:val="both"/>
      </w:pPr>
      <w:r w:rsidRPr="006129CC">
        <w:lastRenderedPageBreak/>
        <w:t>MTI Technology (2025) M&amp;S and Co-op 2025 Cyber Attacks: Lessons Learned. Available at: https://mti.com/ms-and-coop-2025-cyber-attacks-lessons-learned/ (Accessed: 15 May 2026).</w:t>
      </w:r>
    </w:p>
    <w:p w14:paraId="0D717F04" w14:textId="77777777" w:rsidR="006129CC" w:rsidRPr="006129CC" w:rsidRDefault="006129CC" w:rsidP="006129CC">
      <w:pPr>
        <w:spacing w:line="360" w:lineRule="auto"/>
        <w:jc w:val="both"/>
      </w:pPr>
      <w:r w:rsidRPr="006129CC">
        <w:t>NCSC (2023) Supply Chain Security Guidance. National Cyber Security Centre. Available at: https://www.ncsc.gov.uk/collection/supply-chain-security (Accessed: 18 May 2026).</w:t>
      </w:r>
    </w:p>
    <w:p w14:paraId="56226DAE" w14:textId="77777777" w:rsidR="006129CC" w:rsidRPr="006129CC" w:rsidRDefault="006129CC" w:rsidP="006129CC">
      <w:pPr>
        <w:spacing w:line="360" w:lineRule="auto"/>
        <w:jc w:val="both"/>
      </w:pPr>
      <w:r w:rsidRPr="006129CC">
        <w:t>ONS (2024) Retail Sales, Great Britain: December 2024. Office for National Statistics. Available at: https://www.ons.gov.uk/businessindustryandtrade/retailindustry/bulletins/retailsales/december2024 (Accessed: 20 May 2026).</w:t>
      </w:r>
    </w:p>
    <w:p w14:paraId="01D69304" w14:textId="77777777" w:rsidR="006129CC" w:rsidRPr="006129CC" w:rsidRDefault="006129CC" w:rsidP="006129CC">
      <w:pPr>
        <w:spacing w:line="360" w:lineRule="auto"/>
        <w:jc w:val="both"/>
      </w:pPr>
      <w:r w:rsidRPr="006129CC">
        <w:t>PESTEL Analysis (2025) Marks and Spencer PESTEL Analysis. Available at: https://pestel-analysis.com/blogs/competitors/marksandspencer (Accessed: 5 May 2026).</w:t>
      </w:r>
    </w:p>
    <w:p w14:paraId="1FD2BC06" w14:textId="77777777" w:rsidR="006129CC" w:rsidRPr="006129CC" w:rsidRDefault="006129CC" w:rsidP="006129CC">
      <w:pPr>
        <w:spacing w:line="360" w:lineRule="auto"/>
        <w:jc w:val="both"/>
      </w:pPr>
      <w:r w:rsidRPr="006129CC">
        <w:t>Porter, M.E. (1980) Competitive Strategy: Techniques for Analyzing Industries and Competitors. New York: Free Press.</w:t>
      </w:r>
    </w:p>
    <w:p w14:paraId="7283F52A" w14:textId="77777777" w:rsidR="006129CC" w:rsidRPr="006129CC" w:rsidRDefault="006129CC" w:rsidP="006129CC">
      <w:pPr>
        <w:spacing w:line="360" w:lineRule="auto"/>
        <w:jc w:val="both"/>
      </w:pPr>
      <w:r w:rsidRPr="006129CC">
        <w:t>Prentice, C. and Chen, J. (2024) 'Artificial Intelligence and Customer Experience: A Framework for Understanding Value Co-Creation', Australasian Marketing Journal, 32(3). doi: 10.1177/14413582241252904.</w:t>
      </w:r>
    </w:p>
    <w:p w14:paraId="4B614BEF" w14:textId="77777777" w:rsidR="006129CC" w:rsidRPr="006129CC" w:rsidRDefault="006129CC" w:rsidP="006129CC">
      <w:pPr>
        <w:spacing w:line="360" w:lineRule="auto"/>
        <w:jc w:val="both"/>
      </w:pPr>
      <w:r w:rsidRPr="006129CC">
        <w:t>Reuters (2025) Britain's M&amp;S says cyberattack to cost £300 million. Available at: https://www.reuters.com/business/media-telecom/britains-ms-says-cyberattack-cost-400-million-2025-05-21/ (Accessed: 22 May 2026).</w:t>
      </w:r>
    </w:p>
    <w:p w14:paraId="6EAAFD71" w14:textId="77777777" w:rsidR="006129CC" w:rsidRPr="006129CC" w:rsidRDefault="006129CC" w:rsidP="006129CC">
      <w:pPr>
        <w:spacing w:line="360" w:lineRule="auto"/>
        <w:jc w:val="both"/>
      </w:pPr>
      <w:r w:rsidRPr="006129CC">
        <w:t>Shao, Y. (2025) 'Digital Transformation, Organisational Agility and Competitive Advantage: Evidence from Retail', Advances in Economics, Business and Management Research, 2754. doi: 10.54254/2754-1169/2024.19552.</w:t>
      </w:r>
    </w:p>
    <w:p w14:paraId="30C9CE4A" w14:textId="77777777" w:rsidR="006129CC" w:rsidRPr="006129CC" w:rsidRDefault="006129CC" w:rsidP="006129CC">
      <w:pPr>
        <w:spacing w:line="360" w:lineRule="auto"/>
        <w:jc w:val="both"/>
      </w:pPr>
      <w:r w:rsidRPr="006129CC">
        <w:t>UK Government (2023) AI Safety Summit 2023: Key Outcomes. HM Government. Available at: https://www.gov.uk/government/publications/ai-safety-summit-2023-the-bletchley-declaration (Accessed: 10 May 2026).</w:t>
      </w:r>
    </w:p>
    <w:p w14:paraId="48FBB8A3" w14:textId="77777777" w:rsidR="006129CC" w:rsidRPr="006129CC" w:rsidRDefault="006129CC" w:rsidP="006129CC">
      <w:pPr>
        <w:spacing w:line="360" w:lineRule="auto"/>
        <w:jc w:val="both"/>
      </w:pPr>
      <w:r w:rsidRPr="006129CC">
        <w:t>University of Portsmouth (2025) M&amp;S Cyberattack: How Can Retailers Regain Customers' Trust After a Hack? Available at: https://www.port.ac.uk/news-events-and-blogs/blogs/academic-expertise/ms-cyberattack-how-can-retailers-regain-customers-trust-after-a-hack (Accessed: 15 May 2026).</w:t>
      </w:r>
    </w:p>
    <w:p w14:paraId="7BE71130" w14:textId="77777777" w:rsidR="006129CC" w:rsidRPr="006129CC" w:rsidRDefault="006129CC" w:rsidP="006129CC">
      <w:pPr>
        <w:spacing w:line="360" w:lineRule="auto"/>
        <w:jc w:val="both"/>
      </w:pPr>
      <w:r w:rsidRPr="006129CC">
        <w:lastRenderedPageBreak/>
        <w:t>Usman, M., Ahmad, Z. and Chaudhry, I.S. (2025) 'Artificial Intelligence in Customer Relationship Management and Retail Operations', European Business &amp; Management, 4(2). doi: 10.54518/ebh.4.2.2025.627.</w:t>
      </w:r>
    </w:p>
    <w:p w14:paraId="6A8B65AE" w14:textId="77777777" w:rsidR="006129CC" w:rsidRPr="006129CC" w:rsidRDefault="006129CC" w:rsidP="006129CC">
      <w:pPr>
        <w:spacing w:line="360" w:lineRule="auto"/>
        <w:jc w:val="both"/>
      </w:pPr>
      <w:r w:rsidRPr="006129CC">
        <w:t>Wernerfelt, B. (1984) 'A Resource-Based View of the Firm', Strategic Management Journal, 5(2), pp.171–180.</w:t>
      </w:r>
    </w:p>
    <w:p w14:paraId="00C8BF2C" w14:textId="77777777" w:rsidR="006129CC" w:rsidRPr="006129CC" w:rsidRDefault="006129CC" w:rsidP="006129CC">
      <w:pPr>
        <w:spacing w:line="360" w:lineRule="auto"/>
        <w:jc w:val="both"/>
      </w:pPr>
      <w:r w:rsidRPr="006129CC">
        <w:t>Whittington, R., Regner, P., Angwin, D., Johnson, G. and Scholes, K. (2020) Exploring Strategy: Text and Cases, 12th edn. Harlow: Pearson Education.</w:t>
      </w:r>
    </w:p>
    <w:p w14:paraId="6754C687" w14:textId="77777777" w:rsidR="006129CC" w:rsidRPr="004A5EB7" w:rsidRDefault="006129CC" w:rsidP="004A5EB7">
      <w:pPr>
        <w:spacing w:line="360" w:lineRule="auto"/>
        <w:jc w:val="both"/>
      </w:pPr>
    </w:p>
    <w:p w14:paraId="05E9A112" w14:textId="77777777" w:rsidR="004A5EB7" w:rsidRPr="004A5EB7" w:rsidRDefault="004A5EB7" w:rsidP="004A5EB7"/>
    <w:p w14:paraId="2CB8595B" w14:textId="77777777" w:rsidR="007B76DA" w:rsidRPr="00140003" w:rsidRDefault="007B76DA" w:rsidP="00320CA4">
      <w:pPr>
        <w:spacing w:line="360" w:lineRule="auto"/>
        <w:jc w:val="both"/>
      </w:pPr>
    </w:p>
    <w:sectPr w:rsidR="007B76DA" w:rsidRPr="00140003" w:rsidSect="00437604">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A0C20" w14:textId="77777777" w:rsidR="00004CFC" w:rsidRDefault="00004CFC" w:rsidP="00437604">
      <w:pPr>
        <w:spacing w:after="0" w:line="240" w:lineRule="auto"/>
      </w:pPr>
      <w:r>
        <w:separator/>
      </w:r>
    </w:p>
  </w:endnote>
  <w:endnote w:type="continuationSeparator" w:id="0">
    <w:p w14:paraId="6920C3B3" w14:textId="77777777" w:rsidR="00004CFC" w:rsidRDefault="00004CFC" w:rsidP="00437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0232298"/>
      <w:docPartObj>
        <w:docPartGallery w:val="Page Numbers (Bottom of Page)"/>
        <w:docPartUnique/>
      </w:docPartObj>
    </w:sdtPr>
    <w:sdtEndPr>
      <w:rPr>
        <w:color w:val="7F7F7F" w:themeColor="background1" w:themeShade="7F"/>
        <w:spacing w:val="60"/>
      </w:rPr>
    </w:sdtEndPr>
    <w:sdtContent>
      <w:p w14:paraId="76103882" w14:textId="384F0207" w:rsidR="00437604" w:rsidRDefault="0043760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DAF48C" w14:textId="77777777" w:rsidR="00437604" w:rsidRDefault="00437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B8EB0" w14:textId="77777777" w:rsidR="00004CFC" w:rsidRDefault="00004CFC" w:rsidP="00437604">
      <w:pPr>
        <w:spacing w:after="0" w:line="240" w:lineRule="auto"/>
      </w:pPr>
      <w:r>
        <w:separator/>
      </w:r>
    </w:p>
  </w:footnote>
  <w:footnote w:type="continuationSeparator" w:id="0">
    <w:p w14:paraId="09C363D8" w14:textId="77777777" w:rsidR="00004CFC" w:rsidRDefault="00004CFC" w:rsidP="004376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B6E"/>
    <w:rsid w:val="00004CFC"/>
    <w:rsid w:val="00082926"/>
    <w:rsid w:val="00090EB9"/>
    <w:rsid w:val="00095921"/>
    <w:rsid w:val="00140003"/>
    <w:rsid w:val="00145650"/>
    <w:rsid w:val="00184C1D"/>
    <w:rsid w:val="002264AF"/>
    <w:rsid w:val="00280B6E"/>
    <w:rsid w:val="00320CA4"/>
    <w:rsid w:val="00345B31"/>
    <w:rsid w:val="00437604"/>
    <w:rsid w:val="00445DD0"/>
    <w:rsid w:val="00446DD4"/>
    <w:rsid w:val="00490D7D"/>
    <w:rsid w:val="004A5EB7"/>
    <w:rsid w:val="004E5BCF"/>
    <w:rsid w:val="004E74E8"/>
    <w:rsid w:val="00563C3B"/>
    <w:rsid w:val="005D1797"/>
    <w:rsid w:val="006129CC"/>
    <w:rsid w:val="00711365"/>
    <w:rsid w:val="00731641"/>
    <w:rsid w:val="0073329C"/>
    <w:rsid w:val="00771949"/>
    <w:rsid w:val="0078797F"/>
    <w:rsid w:val="007B76DA"/>
    <w:rsid w:val="00852A60"/>
    <w:rsid w:val="008C13E6"/>
    <w:rsid w:val="00915BF3"/>
    <w:rsid w:val="009B2B16"/>
    <w:rsid w:val="009D426E"/>
    <w:rsid w:val="00A748DA"/>
    <w:rsid w:val="00AE4999"/>
    <w:rsid w:val="00C31525"/>
    <w:rsid w:val="00C37E39"/>
    <w:rsid w:val="00CD7F01"/>
    <w:rsid w:val="00E61586"/>
    <w:rsid w:val="00EA65A2"/>
    <w:rsid w:val="00F357BD"/>
    <w:rsid w:val="00F9284E"/>
    <w:rsid w:val="00F96D52"/>
    <w:rsid w:val="00FF1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CAC0E"/>
  <w15:chartTrackingRefBased/>
  <w15:docId w15:val="{25F776FF-1FCF-4823-AB73-F23A8556D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B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80B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80B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0B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0B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0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B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80B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80B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0B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0B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0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B6E"/>
    <w:rPr>
      <w:rFonts w:eastAsiaTheme="majorEastAsia" w:cstheme="majorBidi"/>
      <w:color w:val="272727" w:themeColor="text1" w:themeTint="D8"/>
    </w:rPr>
  </w:style>
  <w:style w:type="paragraph" w:styleId="Title">
    <w:name w:val="Title"/>
    <w:basedOn w:val="Normal"/>
    <w:next w:val="Normal"/>
    <w:link w:val="TitleChar"/>
    <w:uiPriority w:val="10"/>
    <w:qFormat/>
    <w:rsid w:val="00280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B6E"/>
    <w:pPr>
      <w:spacing w:before="160"/>
      <w:jc w:val="center"/>
    </w:pPr>
    <w:rPr>
      <w:i/>
      <w:iCs/>
      <w:color w:val="404040" w:themeColor="text1" w:themeTint="BF"/>
    </w:rPr>
  </w:style>
  <w:style w:type="character" w:customStyle="1" w:styleId="QuoteChar">
    <w:name w:val="Quote Char"/>
    <w:basedOn w:val="DefaultParagraphFont"/>
    <w:link w:val="Quote"/>
    <w:uiPriority w:val="29"/>
    <w:rsid w:val="00280B6E"/>
    <w:rPr>
      <w:i/>
      <w:iCs/>
      <w:color w:val="404040" w:themeColor="text1" w:themeTint="BF"/>
    </w:rPr>
  </w:style>
  <w:style w:type="paragraph" w:styleId="ListParagraph">
    <w:name w:val="List Paragraph"/>
    <w:basedOn w:val="Normal"/>
    <w:uiPriority w:val="34"/>
    <w:qFormat/>
    <w:rsid w:val="00280B6E"/>
    <w:pPr>
      <w:ind w:left="720"/>
      <w:contextualSpacing/>
    </w:pPr>
  </w:style>
  <w:style w:type="character" w:styleId="IntenseEmphasis">
    <w:name w:val="Intense Emphasis"/>
    <w:basedOn w:val="DefaultParagraphFont"/>
    <w:uiPriority w:val="21"/>
    <w:qFormat/>
    <w:rsid w:val="00280B6E"/>
    <w:rPr>
      <w:i/>
      <w:iCs/>
      <w:color w:val="2F5496" w:themeColor="accent1" w:themeShade="BF"/>
    </w:rPr>
  </w:style>
  <w:style w:type="paragraph" w:styleId="IntenseQuote">
    <w:name w:val="Intense Quote"/>
    <w:basedOn w:val="Normal"/>
    <w:next w:val="Normal"/>
    <w:link w:val="IntenseQuoteChar"/>
    <w:uiPriority w:val="30"/>
    <w:qFormat/>
    <w:rsid w:val="00280B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0B6E"/>
    <w:rPr>
      <w:i/>
      <w:iCs/>
      <w:color w:val="2F5496" w:themeColor="accent1" w:themeShade="BF"/>
    </w:rPr>
  </w:style>
  <w:style w:type="character" w:styleId="IntenseReference">
    <w:name w:val="Intense Reference"/>
    <w:basedOn w:val="DefaultParagraphFont"/>
    <w:uiPriority w:val="32"/>
    <w:qFormat/>
    <w:rsid w:val="00280B6E"/>
    <w:rPr>
      <w:b/>
      <w:bCs/>
      <w:smallCaps/>
      <w:color w:val="2F5496" w:themeColor="accent1" w:themeShade="BF"/>
      <w:spacing w:val="5"/>
    </w:rPr>
  </w:style>
  <w:style w:type="paragraph" w:styleId="TOCHeading">
    <w:name w:val="TOC Heading"/>
    <w:basedOn w:val="Heading1"/>
    <w:next w:val="Normal"/>
    <w:uiPriority w:val="39"/>
    <w:unhideWhenUsed/>
    <w:qFormat/>
    <w:rsid w:val="006129C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129CC"/>
    <w:pPr>
      <w:spacing w:after="100"/>
    </w:pPr>
  </w:style>
  <w:style w:type="paragraph" w:styleId="TOC2">
    <w:name w:val="toc 2"/>
    <w:basedOn w:val="Normal"/>
    <w:next w:val="Normal"/>
    <w:autoRedefine/>
    <w:uiPriority w:val="39"/>
    <w:unhideWhenUsed/>
    <w:rsid w:val="006129CC"/>
    <w:pPr>
      <w:spacing w:after="100"/>
      <w:ind w:left="240"/>
    </w:pPr>
  </w:style>
  <w:style w:type="paragraph" w:styleId="TOC3">
    <w:name w:val="toc 3"/>
    <w:basedOn w:val="Normal"/>
    <w:next w:val="Normal"/>
    <w:autoRedefine/>
    <w:uiPriority w:val="39"/>
    <w:unhideWhenUsed/>
    <w:rsid w:val="006129CC"/>
    <w:pPr>
      <w:spacing w:after="100"/>
      <w:ind w:left="480"/>
    </w:pPr>
  </w:style>
  <w:style w:type="character" w:styleId="Hyperlink">
    <w:name w:val="Hyperlink"/>
    <w:basedOn w:val="DefaultParagraphFont"/>
    <w:uiPriority w:val="99"/>
    <w:unhideWhenUsed/>
    <w:rsid w:val="006129CC"/>
    <w:rPr>
      <w:color w:val="0563C1" w:themeColor="hyperlink"/>
      <w:u w:val="single"/>
    </w:rPr>
  </w:style>
  <w:style w:type="paragraph" w:styleId="Header">
    <w:name w:val="header"/>
    <w:basedOn w:val="Normal"/>
    <w:link w:val="HeaderChar"/>
    <w:uiPriority w:val="99"/>
    <w:unhideWhenUsed/>
    <w:rsid w:val="004376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604"/>
  </w:style>
  <w:style w:type="paragraph" w:styleId="Footer">
    <w:name w:val="footer"/>
    <w:basedOn w:val="Normal"/>
    <w:link w:val="FooterChar"/>
    <w:uiPriority w:val="99"/>
    <w:unhideWhenUsed/>
    <w:rsid w:val="004376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E9896-04F0-447E-86F4-2B38F83CF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Pages>
  <Words>7021</Words>
  <Characters>40020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Shibly Noman</dc:creator>
  <cp:keywords/>
  <dc:description/>
  <cp:lastModifiedBy>Jony Ramany</cp:lastModifiedBy>
  <cp:revision>29</cp:revision>
  <dcterms:created xsi:type="dcterms:W3CDTF">2026-06-02T20:38:00Z</dcterms:created>
  <dcterms:modified xsi:type="dcterms:W3CDTF">2026-06-29T08:32:00Z</dcterms:modified>
</cp:coreProperties>
</file>