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sz w:val="36"/>
          <w:szCs w:val="36"/>
        </w:rPr>
      </w:pPr>
      <w:r>
        <w:rPr>
          <w:rFonts w:ascii="Times New Roman" w:hAnsi="Times New Roman" w:cs="Times New Roman"/>
          <w:sz w:val="36"/>
          <w:szCs w:val="36"/>
        </w:rPr>
        <w:t>M3X9111</w:t>
      </w:r>
    </w:p>
    <w:p>
      <w:pPr>
        <w:jc w:val="center"/>
        <w:rPr>
          <w:rFonts w:ascii="Times New Roman" w:hAnsi="Times New Roman" w:cs="Times New Roman"/>
          <w:sz w:val="36"/>
          <w:szCs w:val="36"/>
        </w:rPr>
      </w:pPr>
      <w:r>
        <w:rPr>
          <w:rFonts w:ascii="Times New Roman" w:hAnsi="Times New Roman" w:cs="Times New Roman"/>
          <w:sz w:val="36"/>
          <w:szCs w:val="36"/>
        </w:rPr>
        <w:t>Adidas Report</w:t>
      </w:r>
    </w:p>
    <w:p>
      <w:pPr>
        <w:jc w:val="center"/>
        <w:rPr>
          <w:rFonts w:ascii="Times New Roman" w:hAnsi="Times New Roman" w:cs="Times New Roman"/>
          <w:sz w:val="36"/>
          <w:szCs w:val="36"/>
        </w:rPr>
      </w:pPr>
    </w:p>
    <w:p>
      <w:pPr>
        <w:jc w:val="center"/>
        <w:rPr>
          <w:rFonts w:ascii="Times New Roman" w:hAnsi="Times New Roman" w:cs="Times New Roman"/>
          <w:sz w:val="36"/>
          <w:szCs w:val="36"/>
        </w:rPr>
      </w:pPr>
    </w:p>
    <w:p>
      <w:pPr>
        <w:jc w:val="center"/>
        <w:rPr>
          <w:rFonts w:ascii="Times New Roman" w:hAnsi="Times New Roman" w:cs="Times New Roman"/>
          <w:sz w:val="36"/>
          <w:szCs w:val="36"/>
        </w:rPr>
      </w:pPr>
    </w:p>
    <w:p>
      <w:pPr>
        <w:jc w:val="center"/>
        <w:rPr>
          <w:rFonts w:ascii="Times New Roman" w:hAnsi="Times New Roman" w:cs="Times New Roman"/>
          <w:sz w:val="36"/>
          <w:szCs w:val="36"/>
        </w:rPr>
      </w:pPr>
    </w:p>
    <w:p>
      <w:pPr>
        <w:spacing w:line="360" w:lineRule="auto"/>
        <w:jc w:val="center"/>
        <w:rPr>
          <w:rFonts w:hint="eastAsia" w:ascii="Times New Roman" w:hAnsi="Times New Roman" w:cs="Times New Roman" w:eastAsiaTheme="minorEastAsia"/>
          <w:sz w:val="28"/>
          <w:szCs w:val="28"/>
          <w:lang w:val="en-US" w:eastAsia="zh-CN"/>
        </w:rPr>
      </w:pPr>
      <w:r>
        <w:rPr>
          <w:rFonts w:ascii="Times New Roman" w:hAnsi="Times New Roman" w:cs="Times New Roman"/>
          <w:sz w:val="28"/>
          <w:szCs w:val="28"/>
        </w:rPr>
        <w:t>Student name</w:t>
      </w:r>
      <w:r>
        <w:rPr>
          <w:rFonts w:hint="eastAsia" w:ascii="Times New Roman" w:hAnsi="Times New Roman" w:cs="Times New Roman"/>
          <w:sz w:val="28"/>
          <w:szCs w:val="28"/>
          <w:lang w:eastAsia="zh-CN"/>
        </w:rPr>
        <w:t>：</w:t>
      </w:r>
      <w:r>
        <w:rPr>
          <w:rFonts w:hint="eastAsia" w:ascii="Times New Roman" w:hAnsi="Times New Roman" w:cs="Times New Roman"/>
          <w:sz w:val="28"/>
          <w:szCs w:val="28"/>
          <w:lang w:val="en-US" w:eastAsia="zh-CN"/>
        </w:rPr>
        <w:t>MINGHU DENG</w:t>
      </w:r>
    </w:p>
    <w:p>
      <w:pPr>
        <w:spacing w:line="360" w:lineRule="auto"/>
        <w:jc w:val="center"/>
        <w:rPr>
          <w:rFonts w:hint="eastAsia" w:ascii="Times New Roman" w:hAnsi="Times New Roman" w:cs="Times New Roman" w:eastAsiaTheme="minorEastAsia"/>
          <w:sz w:val="28"/>
          <w:szCs w:val="28"/>
          <w:lang w:val="en-US" w:eastAsia="zh-CN"/>
        </w:rPr>
      </w:pPr>
      <w:r>
        <w:rPr>
          <w:rFonts w:ascii="Times New Roman" w:hAnsi="Times New Roman" w:cs="Times New Roman"/>
          <w:sz w:val="28"/>
          <w:szCs w:val="28"/>
        </w:rPr>
        <w:t>Student ID</w:t>
      </w:r>
      <w:r>
        <w:rPr>
          <w:rFonts w:hint="eastAsia" w:ascii="Times New Roman" w:hAnsi="Times New Roman" w:cs="Times New Roman"/>
          <w:sz w:val="28"/>
          <w:szCs w:val="28"/>
          <w:lang w:val="en-US" w:eastAsia="zh-CN"/>
        </w:rPr>
        <w:t>:1800181</w:t>
      </w:r>
    </w:p>
    <w:p>
      <w:pPr>
        <w:widowControl/>
        <w:jc w:val="left"/>
        <w:rPr>
          <w:rFonts w:ascii="Times New Roman" w:hAnsi="Times New Roman" w:cs="Times New Roman"/>
          <w:sz w:val="28"/>
          <w:szCs w:val="28"/>
        </w:rPr>
      </w:pPr>
      <w:r>
        <w:rPr>
          <w:rFonts w:ascii="Times New Roman" w:hAnsi="Times New Roman" w:cs="Times New Roman"/>
          <w:sz w:val="28"/>
          <w:szCs w:val="28"/>
        </w:rPr>
        <w:br w:type="page"/>
      </w:r>
    </w:p>
    <w:p>
      <w:pPr>
        <w:spacing w:line="360" w:lineRule="auto"/>
        <w:jc w:val="center"/>
        <w:rPr>
          <w:rFonts w:ascii="Times New Roman" w:hAnsi="Times New Roman" w:cs="Times New Roman"/>
          <w:sz w:val="28"/>
          <w:szCs w:val="28"/>
        </w:rPr>
      </w:pPr>
    </w:p>
    <w:sdt>
      <w:sdtPr>
        <w:rPr>
          <w:rFonts w:ascii="Times New Roman" w:hAnsi="Times New Roman" w:cs="Times New Roman" w:eastAsiaTheme="minorEastAsia"/>
          <w:color w:val="auto"/>
          <w:kern w:val="2"/>
          <w:sz w:val="21"/>
          <w:szCs w:val="22"/>
          <w:lang w:val="zh-CN"/>
        </w:rPr>
        <w:id w:val="2136364772"/>
        <w:docPartObj>
          <w:docPartGallery w:val="Table of Contents"/>
          <w:docPartUnique/>
        </w:docPartObj>
      </w:sdtPr>
      <w:sdtEndPr>
        <w:rPr>
          <w:rFonts w:ascii="Times New Roman" w:hAnsi="Times New Roman" w:cs="Times New Roman" w:eastAsiaTheme="minorEastAsia"/>
          <w:b/>
          <w:bCs/>
          <w:color w:val="auto"/>
          <w:kern w:val="2"/>
          <w:sz w:val="21"/>
          <w:szCs w:val="22"/>
          <w:lang w:val="zh-CN"/>
        </w:rPr>
      </w:sdtEndPr>
      <w:sdtContent>
        <w:p>
          <w:pPr>
            <w:pStyle w:val="23"/>
            <w:spacing w:line="360" w:lineRule="auto"/>
            <w:rPr>
              <w:rFonts w:ascii="Times New Roman" w:hAnsi="Times New Roman" w:cs="Times New Roman"/>
              <w:sz w:val="24"/>
              <w:szCs w:val="24"/>
            </w:rPr>
          </w:pPr>
          <w:r>
            <w:rPr>
              <w:rFonts w:ascii="Times New Roman" w:hAnsi="Times New Roman" w:cs="Times New Roman"/>
              <w:sz w:val="24"/>
              <w:szCs w:val="24"/>
              <w:lang w:val="zh-CN"/>
            </w:rPr>
            <w:t>Table of Contexts</w:t>
          </w:r>
        </w:p>
        <w:p>
          <w:pPr>
            <w:pStyle w:val="9"/>
            <w:tabs>
              <w:tab w:val="left" w:pos="840"/>
              <w:tab w:val="right" w:leader="dot" w:pos="8296"/>
            </w:tabs>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"_Toc530258845" </w:instrText>
          </w:r>
          <w:r>
            <w:fldChar w:fldCharType="separate"/>
          </w:r>
          <w:r>
            <w:rPr>
              <w:rStyle w:val="12"/>
              <w:rFonts w:ascii="Times New Roman" w:hAnsi="Times New Roman" w:cs="Times New Roman"/>
            </w:rPr>
            <w:t>1.0</w:t>
          </w:r>
          <w:r>
            <w:tab/>
          </w:r>
          <w:r>
            <w:rPr>
              <w:rStyle w:val="12"/>
              <w:rFonts w:ascii="Times New Roman" w:hAnsi="Times New Roman" w:cs="Times New Roman"/>
            </w:rPr>
            <w:t>Executive Summary</w:t>
          </w:r>
          <w:r>
            <w:tab/>
          </w:r>
          <w:r>
            <w:fldChar w:fldCharType="begin"/>
          </w:r>
          <w:r>
            <w:instrText xml:space="preserve"> PAGEREF _Toc530258845 \h </w:instrText>
          </w:r>
          <w:r>
            <w:fldChar w:fldCharType="separate"/>
          </w:r>
          <w:r>
            <w:t>1</w:t>
          </w:r>
          <w:r>
            <w:fldChar w:fldCharType="end"/>
          </w:r>
          <w:r>
            <w:fldChar w:fldCharType="end"/>
          </w:r>
        </w:p>
        <w:p>
          <w:pPr>
            <w:pStyle w:val="9"/>
            <w:tabs>
              <w:tab w:val="left" w:pos="840"/>
              <w:tab w:val="right" w:leader="dot" w:pos="8296"/>
            </w:tabs>
          </w:pPr>
          <w:r>
            <w:fldChar w:fldCharType="begin"/>
          </w:r>
          <w:r>
            <w:instrText xml:space="preserve"> HYPERLINK \l "_Toc530258846" </w:instrText>
          </w:r>
          <w:r>
            <w:fldChar w:fldCharType="separate"/>
          </w:r>
          <w:r>
            <w:rPr>
              <w:rStyle w:val="12"/>
              <w:rFonts w:ascii="Times New Roman" w:hAnsi="Times New Roman" w:cs="Times New Roman"/>
            </w:rPr>
            <w:t>2.0</w:t>
          </w:r>
          <w:r>
            <w:tab/>
          </w:r>
          <w:r>
            <w:rPr>
              <w:rStyle w:val="12"/>
              <w:rFonts w:ascii="Times New Roman" w:hAnsi="Times New Roman" w:cs="Times New Roman"/>
            </w:rPr>
            <w:t>Introduction</w:t>
          </w:r>
          <w:r>
            <w:tab/>
          </w:r>
          <w:r>
            <w:fldChar w:fldCharType="begin"/>
          </w:r>
          <w:r>
            <w:instrText xml:space="preserve"> PAGEREF _Toc530258846 \h </w:instrText>
          </w:r>
          <w:r>
            <w:fldChar w:fldCharType="separate"/>
          </w:r>
          <w:r>
            <w:t>2</w:t>
          </w:r>
          <w:r>
            <w:fldChar w:fldCharType="end"/>
          </w:r>
          <w:r>
            <w:fldChar w:fldCharType="end"/>
          </w:r>
        </w:p>
        <w:p>
          <w:pPr>
            <w:pStyle w:val="9"/>
            <w:tabs>
              <w:tab w:val="right" w:leader="dot" w:pos="8296"/>
            </w:tabs>
          </w:pPr>
          <w:r>
            <w:fldChar w:fldCharType="begin"/>
          </w:r>
          <w:r>
            <w:instrText xml:space="preserve"> HYPERLINK \l "_Toc530258847" </w:instrText>
          </w:r>
          <w:r>
            <w:fldChar w:fldCharType="separate"/>
          </w:r>
          <w:r>
            <w:rPr>
              <w:rStyle w:val="12"/>
              <w:rFonts w:ascii="Times New Roman" w:hAnsi="Times New Roman" w:cs="Times New Roman"/>
            </w:rPr>
            <w:t>3.0 The Competitive Strategy</w:t>
          </w:r>
          <w:r>
            <w:tab/>
          </w:r>
          <w:r>
            <w:fldChar w:fldCharType="begin"/>
          </w:r>
          <w:r>
            <w:instrText xml:space="preserve"> PAGEREF _Toc530258847 \h </w:instrText>
          </w:r>
          <w:r>
            <w:fldChar w:fldCharType="separate"/>
          </w:r>
          <w:r>
            <w:t>3</w:t>
          </w:r>
          <w:r>
            <w:fldChar w:fldCharType="end"/>
          </w:r>
          <w:r>
            <w:fldChar w:fldCharType="end"/>
          </w:r>
        </w:p>
        <w:p>
          <w:pPr>
            <w:pStyle w:val="10"/>
            <w:tabs>
              <w:tab w:val="right" w:leader="dot" w:pos="8296"/>
            </w:tabs>
          </w:pPr>
          <w:r>
            <w:fldChar w:fldCharType="begin"/>
          </w:r>
          <w:r>
            <w:instrText xml:space="preserve"> HYPERLINK \l "_Toc530258848" </w:instrText>
          </w:r>
          <w:r>
            <w:fldChar w:fldCharType="separate"/>
          </w:r>
          <w:r>
            <w:rPr>
              <w:rStyle w:val="12"/>
              <w:rFonts w:ascii="Times New Roman" w:hAnsi="Times New Roman" w:cs="Times New Roman"/>
            </w:rPr>
            <w:t>3.1 The Cost Leadership Strategy that Adidas has Utilized to Develop Their Current Competitive Position</w:t>
          </w:r>
          <w:r>
            <w:tab/>
          </w:r>
          <w:r>
            <w:fldChar w:fldCharType="begin"/>
          </w:r>
          <w:r>
            <w:instrText xml:space="preserve"> PAGEREF _Toc530258848 \h </w:instrText>
          </w:r>
          <w:r>
            <w:fldChar w:fldCharType="separate"/>
          </w:r>
          <w:r>
            <w:t>3</w:t>
          </w:r>
          <w:r>
            <w:fldChar w:fldCharType="end"/>
          </w:r>
          <w:r>
            <w:fldChar w:fldCharType="end"/>
          </w:r>
        </w:p>
        <w:p>
          <w:pPr>
            <w:pStyle w:val="5"/>
            <w:tabs>
              <w:tab w:val="right" w:leader="dot" w:pos="8296"/>
            </w:tabs>
          </w:pPr>
          <w:r>
            <w:fldChar w:fldCharType="begin"/>
          </w:r>
          <w:r>
            <w:instrText xml:space="preserve"> HYPERLINK \l "_Toc530258849" </w:instrText>
          </w:r>
          <w:r>
            <w:fldChar w:fldCharType="separate"/>
          </w:r>
          <w:r>
            <w:rPr>
              <w:rStyle w:val="12"/>
              <w:rFonts w:ascii="Times New Roman" w:hAnsi="Times New Roman" w:cs="Times New Roman"/>
            </w:rPr>
            <w:t>3.1.1 Logistics Outsourcing</w:t>
          </w:r>
          <w:r>
            <w:tab/>
          </w:r>
          <w:r>
            <w:fldChar w:fldCharType="begin"/>
          </w:r>
          <w:r>
            <w:instrText xml:space="preserve"> PAGEREF _Toc530258849 \h </w:instrText>
          </w:r>
          <w:r>
            <w:fldChar w:fldCharType="separate"/>
          </w:r>
          <w:r>
            <w:t>4</w:t>
          </w:r>
          <w:r>
            <w:fldChar w:fldCharType="end"/>
          </w:r>
          <w:r>
            <w:fldChar w:fldCharType="end"/>
          </w:r>
        </w:p>
        <w:p>
          <w:pPr>
            <w:pStyle w:val="5"/>
            <w:tabs>
              <w:tab w:val="right" w:leader="dot" w:pos="8296"/>
            </w:tabs>
          </w:pPr>
          <w:r>
            <w:fldChar w:fldCharType="begin"/>
          </w:r>
          <w:r>
            <w:instrText xml:space="preserve"> HYPERLINK \l "_Toc530258850" </w:instrText>
          </w:r>
          <w:r>
            <w:fldChar w:fldCharType="separate"/>
          </w:r>
          <w:r>
            <w:rPr>
              <w:rStyle w:val="12"/>
            </w:rPr>
            <w:t>3.1.2 OEM Research and Development Interaction</w:t>
          </w:r>
          <w:r>
            <w:tab/>
          </w:r>
          <w:r>
            <w:fldChar w:fldCharType="begin"/>
          </w:r>
          <w:r>
            <w:instrText xml:space="preserve"> PAGEREF _Toc530258850 \h </w:instrText>
          </w:r>
          <w:r>
            <w:fldChar w:fldCharType="separate"/>
          </w:r>
          <w:r>
            <w:t>4</w:t>
          </w:r>
          <w:r>
            <w:fldChar w:fldCharType="end"/>
          </w:r>
          <w:r>
            <w:fldChar w:fldCharType="end"/>
          </w:r>
        </w:p>
        <w:p>
          <w:pPr>
            <w:pStyle w:val="10"/>
            <w:tabs>
              <w:tab w:val="right" w:leader="dot" w:pos="8296"/>
            </w:tabs>
          </w:pPr>
          <w:r>
            <w:fldChar w:fldCharType="begin"/>
          </w:r>
          <w:r>
            <w:instrText xml:space="preserve"> HYPERLINK \l "_Toc530258851" </w:instrText>
          </w:r>
          <w:r>
            <w:fldChar w:fldCharType="separate"/>
          </w:r>
          <w:r>
            <w:rPr>
              <w:rStyle w:val="12"/>
              <w:rFonts w:ascii="Times New Roman" w:hAnsi="Times New Roman" w:cs="Times New Roman"/>
            </w:rPr>
            <w:t>3.2 Examples of Actions that Adidas has Taken to Accomplish this Strategy</w:t>
          </w:r>
          <w:r>
            <w:tab/>
          </w:r>
          <w:r>
            <w:fldChar w:fldCharType="begin"/>
          </w:r>
          <w:r>
            <w:instrText xml:space="preserve"> PAGEREF _Toc530258851 \h </w:instrText>
          </w:r>
          <w:r>
            <w:fldChar w:fldCharType="separate"/>
          </w:r>
          <w:r>
            <w:t>5</w:t>
          </w:r>
          <w:r>
            <w:fldChar w:fldCharType="end"/>
          </w:r>
          <w:r>
            <w:fldChar w:fldCharType="end"/>
          </w:r>
        </w:p>
        <w:p>
          <w:pPr>
            <w:pStyle w:val="5"/>
            <w:tabs>
              <w:tab w:val="right" w:leader="dot" w:pos="8296"/>
            </w:tabs>
          </w:pPr>
          <w:r>
            <w:fldChar w:fldCharType="begin"/>
          </w:r>
          <w:r>
            <w:instrText xml:space="preserve"> HYPERLINK \l "_Toc530258852" </w:instrText>
          </w:r>
          <w:r>
            <w:fldChar w:fldCharType="separate"/>
          </w:r>
          <w:r>
            <w:rPr>
              <w:rStyle w:val="12"/>
              <w:rFonts w:ascii="Times New Roman" w:hAnsi="Times New Roman" w:cs="Times New Roman"/>
            </w:rPr>
            <w:t>3.2.1 Cooperation Case with Logistics Companies</w:t>
          </w:r>
          <w:r>
            <w:tab/>
          </w:r>
          <w:r>
            <w:fldChar w:fldCharType="begin"/>
          </w:r>
          <w:r>
            <w:instrText xml:space="preserve"> PAGEREF _Toc530258852 \h </w:instrText>
          </w:r>
          <w:r>
            <w:fldChar w:fldCharType="separate"/>
          </w:r>
          <w:r>
            <w:t>5</w:t>
          </w:r>
          <w:r>
            <w:fldChar w:fldCharType="end"/>
          </w:r>
          <w:r>
            <w:fldChar w:fldCharType="end"/>
          </w:r>
        </w:p>
        <w:p>
          <w:pPr>
            <w:pStyle w:val="5"/>
            <w:tabs>
              <w:tab w:val="right" w:leader="dot" w:pos="8296"/>
            </w:tabs>
          </w:pPr>
          <w:r>
            <w:fldChar w:fldCharType="begin"/>
          </w:r>
          <w:r>
            <w:instrText xml:space="preserve"> HYPERLINK \l "_Toc530258853" </w:instrText>
          </w:r>
          <w:r>
            <w:fldChar w:fldCharType="separate"/>
          </w:r>
          <w:r>
            <w:rPr>
              <w:rStyle w:val="12"/>
            </w:rPr>
            <w:t>3.2.2 Cooperation Case with Paocheng Company</w:t>
          </w:r>
          <w:r>
            <w:tab/>
          </w:r>
          <w:r>
            <w:fldChar w:fldCharType="begin"/>
          </w:r>
          <w:r>
            <w:instrText xml:space="preserve"> PAGEREF _Toc530258853 \h </w:instrText>
          </w:r>
          <w:r>
            <w:fldChar w:fldCharType="separate"/>
          </w:r>
          <w:r>
            <w:t>6</w:t>
          </w:r>
          <w:r>
            <w:fldChar w:fldCharType="end"/>
          </w:r>
          <w:r>
            <w:fldChar w:fldCharType="end"/>
          </w:r>
        </w:p>
        <w:p>
          <w:pPr>
            <w:pStyle w:val="9"/>
            <w:tabs>
              <w:tab w:val="right" w:leader="dot" w:pos="8296"/>
            </w:tabs>
          </w:pPr>
          <w:r>
            <w:fldChar w:fldCharType="begin"/>
          </w:r>
          <w:r>
            <w:instrText xml:space="preserve"> HYPERLINK \l "_Toc530258854" </w:instrText>
          </w:r>
          <w:r>
            <w:fldChar w:fldCharType="separate"/>
          </w:r>
          <w:r>
            <w:rPr>
              <w:rStyle w:val="12"/>
              <w:rFonts w:ascii="Times New Roman" w:hAnsi="Times New Roman" w:cs="Times New Roman"/>
            </w:rPr>
            <w:t>4.0 The Evaluation of the Competitive Strategy that Adidas has Utilized</w:t>
          </w:r>
          <w:r>
            <w:tab/>
          </w:r>
          <w:r>
            <w:fldChar w:fldCharType="begin"/>
          </w:r>
          <w:r>
            <w:instrText xml:space="preserve"> PAGEREF _Toc530258854 \h </w:instrText>
          </w:r>
          <w:r>
            <w:fldChar w:fldCharType="separate"/>
          </w:r>
          <w:r>
            <w:t>8</w:t>
          </w:r>
          <w:r>
            <w:fldChar w:fldCharType="end"/>
          </w:r>
          <w:r>
            <w:fldChar w:fldCharType="end"/>
          </w:r>
        </w:p>
        <w:p>
          <w:pPr>
            <w:pStyle w:val="10"/>
            <w:tabs>
              <w:tab w:val="right" w:leader="dot" w:pos="8296"/>
            </w:tabs>
          </w:pPr>
          <w:r>
            <w:fldChar w:fldCharType="begin"/>
          </w:r>
          <w:r>
            <w:instrText xml:space="preserve"> HYPERLINK \l "_Toc530258855" </w:instrText>
          </w:r>
          <w:r>
            <w:fldChar w:fldCharType="separate"/>
          </w:r>
          <w:r>
            <w:rPr>
              <w:rStyle w:val="12"/>
              <w:rFonts w:ascii="Times New Roman" w:hAnsi="Times New Roman" w:cs="Times New Roman"/>
            </w:rPr>
            <w:t>4.1 The Advantages of This Strategy</w:t>
          </w:r>
          <w:r>
            <w:tab/>
          </w:r>
          <w:r>
            <w:fldChar w:fldCharType="begin"/>
          </w:r>
          <w:r>
            <w:instrText xml:space="preserve"> PAGEREF _Toc530258855 \h </w:instrText>
          </w:r>
          <w:r>
            <w:fldChar w:fldCharType="separate"/>
          </w:r>
          <w:r>
            <w:t>8</w:t>
          </w:r>
          <w:r>
            <w:fldChar w:fldCharType="end"/>
          </w:r>
          <w:r>
            <w:fldChar w:fldCharType="end"/>
          </w:r>
        </w:p>
        <w:p>
          <w:pPr>
            <w:pStyle w:val="5"/>
            <w:tabs>
              <w:tab w:val="right" w:leader="dot" w:pos="8296"/>
            </w:tabs>
          </w:pPr>
          <w:r>
            <w:fldChar w:fldCharType="begin"/>
          </w:r>
          <w:r>
            <w:instrText xml:space="preserve"> HYPERLINK \l "_Toc530258856" </w:instrText>
          </w:r>
          <w:r>
            <w:fldChar w:fldCharType="separate"/>
          </w:r>
          <w:r>
            <w:rPr>
              <w:rStyle w:val="12"/>
              <w:rFonts w:ascii="Times New Roman" w:hAnsi="Times New Roman" w:cs="Times New Roman"/>
            </w:rPr>
            <w:t>4.1.1 Logistics Outsourcing Increases Flexibility</w:t>
          </w:r>
          <w:r>
            <w:tab/>
          </w:r>
          <w:r>
            <w:fldChar w:fldCharType="begin"/>
          </w:r>
          <w:r>
            <w:instrText xml:space="preserve"> PAGEREF _Toc530258856 \h </w:instrText>
          </w:r>
          <w:r>
            <w:fldChar w:fldCharType="separate"/>
          </w:r>
          <w:r>
            <w:t>8</w:t>
          </w:r>
          <w:r>
            <w:fldChar w:fldCharType="end"/>
          </w:r>
          <w:r>
            <w:fldChar w:fldCharType="end"/>
          </w:r>
        </w:p>
        <w:p>
          <w:pPr>
            <w:pStyle w:val="5"/>
            <w:tabs>
              <w:tab w:val="right" w:leader="dot" w:pos="8296"/>
            </w:tabs>
          </w:pPr>
          <w:r>
            <w:fldChar w:fldCharType="begin"/>
          </w:r>
          <w:r>
            <w:instrText xml:space="preserve"> HYPERLINK \l "_Toc530258857" </w:instrText>
          </w:r>
          <w:r>
            <w:fldChar w:fldCharType="separate"/>
          </w:r>
          <w:r>
            <w:rPr>
              <w:rStyle w:val="12"/>
            </w:rPr>
            <w:t>4.1.2 Stable and Sustainable Supply</w:t>
          </w:r>
          <w:r>
            <w:tab/>
          </w:r>
          <w:r>
            <w:fldChar w:fldCharType="begin"/>
          </w:r>
          <w:r>
            <w:instrText xml:space="preserve"> PAGEREF _Toc530258857 \h </w:instrText>
          </w:r>
          <w:r>
            <w:fldChar w:fldCharType="separate"/>
          </w:r>
          <w:r>
            <w:t>10</w:t>
          </w:r>
          <w:r>
            <w:fldChar w:fldCharType="end"/>
          </w:r>
          <w:r>
            <w:fldChar w:fldCharType="end"/>
          </w:r>
        </w:p>
        <w:p>
          <w:pPr>
            <w:pStyle w:val="10"/>
            <w:tabs>
              <w:tab w:val="right" w:leader="dot" w:pos="8296"/>
            </w:tabs>
          </w:pPr>
          <w:r>
            <w:fldChar w:fldCharType="begin"/>
          </w:r>
          <w:r>
            <w:instrText xml:space="preserve"> HYPERLINK \l "_Toc530258858" </w:instrText>
          </w:r>
          <w:r>
            <w:fldChar w:fldCharType="separate"/>
          </w:r>
          <w:r>
            <w:rPr>
              <w:rStyle w:val="12"/>
              <w:rFonts w:ascii="Times New Roman" w:hAnsi="Times New Roman" w:cs="Times New Roman"/>
            </w:rPr>
            <w:t>4.2 The Limitation of This Strategy</w:t>
          </w:r>
          <w:r>
            <w:tab/>
          </w:r>
          <w:r>
            <w:fldChar w:fldCharType="begin"/>
          </w:r>
          <w:r>
            <w:instrText xml:space="preserve"> PAGEREF _Toc530258858 \h </w:instrText>
          </w:r>
          <w:r>
            <w:fldChar w:fldCharType="separate"/>
          </w:r>
          <w:r>
            <w:t>12</w:t>
          </w:r>
          <w:r>
            <w:fldChar w:fldCharType="end"/>
          </w:r>
          <w:r>
            <w:fldChar w:fldCharType="end"/>
          </w:r>
        </w:p>
        <w:p>
          <w:pPr>
            <w:pStyle w:val="5"/>
            <w:tabs>
              <w:tab w:val="right" w:leader="dot" w:pos="8296"/>
            </w:tabs>
          </w:pPr>
          <w:r>
            <w:fldChar w:fldCharType="begin"/>
          </w:r>
          <w:r>
            <w:instrText xml:space="preserve"> HYPERLINK \l "_Toc530258859" </w:instrText>
          </w:r>
          <w:r>
            <w:fldChar w:fldCharType="separate"/>
          </w:r>
          <w:r>
            <w:rPr>
              <w:rStyle w:val="12"/>
            </w:rPr>
            <w:t>4.2.1 The Expansion of the Logistics Network Will Bring About an Increase in Costs</w:t>
          </w:r>
          <w:r>
            <w:tab/>
          </w:r>
          <w:r>
            <w:fldChar w:fldCharType="begin"/>
          </w:r>
          <w:r>
            <w:instrText xml:space="preserve"> PAGEREF _Toc530258859 \h </w:instrText>
          </w:r>
          <w:r>
            <w:fldChar w:fldCharType="separate"/>
          </w:r>
          <w:r>
            <w:t>12</w:t>
          </w:r>
          <w:r>
            <w:fldChar w:fldCharType="end"/>
          </w:r>
          <w:r>
            <w:fldChar w:fldCharType="end"/>
          </w:r>
        </w:p>
        <w:p>
          <w:pPr>
            <w:pStyle w:val="5"/>
            <w:tabs>
              <w:tab w:val="right" w:leader="dot" w:pos="8296"/>
            </w:tabs>
          </w:pPr>
          <w:r>
            <w:fldChar w:fldCharType="begin"/>
          </w:r>
          <w:r>
            <w:instrText xml:space="preserve"> HYPERLINK \l "_Toc530258860" </w:instrText>
          </w:r>
          <w:r>
            <w:fldChar w:fldCharType="separate"/>
          </w:r>
          <w:r>
            <w:rPr>
              <w:rStyle w:val="12"/>
            </w:rPr>
            <w:t>4.2.2 Product Quality Monitoring Issues</w:t>
          </w:r>
          <w:r>
            <w:tab/>
          </w:r>
          <w:r>
            <w:fldChar w:fldCharType="begin"/>
          </w:r>
          <w:r>
            <w:instrText xml:space="preserve"> PAGEREF _Toc530258860 \h </w:instrText>
          </w:r>
          <w:r>
            <w:fldChar w:fldCharType="separate"/>
          </w:r>
          <w:r>
            <w:t>13</w:t>
          </w:r>
          <w:r>
            <w:fldChar w:fldCharType="end"/>
          </w:r>
          <w:r>
            <w:fldChar w:fldCharType="end"/>
          </w:r>
        </w:p>
        <w:p>
          <w:pPr>
            <w:pStyle w:val="9"/>
            <w:tabs>
              <w:tab w:val="right" w:leader="dot" w:pos="8296"/>
            </w:tabs>
          </w:pPr>
          <w:r>
            <w:fldChar w:fldCharType="begin"/>
          </w:r>
          <w:r>
            <w:instrText xml:space="preserve"> HYPERLINK \l "_Toc530258861" </w:instrText>
          </w:r>
          <w:r>
            <w:fldChar w:fldCharType="separate"/>
          </w:r>
          <w:r>
            <w:rPr>
              <w:rStyle w:val="12"/>
              <w:rFonts w:ascii="Times New Roman" w:hAnsi="Times New Roman" w:cs="Times New Roman"/>
            </w:rPr>
            <w:t>5.0 Recommendations</w:t>
          </w:r>
          <w:r>
            <w:tab/>
          </w:r>
          <w:r>
            <w:fldChar w:fldCharType="begin"/>
          </w:r>
          <w:r>
            <w:instrText xml:space="preserve"> PAGEREF _Toc530258861 \h </w:instrText>
          </w:r>
          <w:r>
            <w:fldChar w:fldCharType="separate"/>
          </w:r>
          <w:r>
            <w:t>14</w:t>
          </w:r>
          <w:r>
            <w:fldChar w:fldCharType="end"/>
          </w:r>
          <w:r>
            <w:fldChar w:fldCharType="end"/>
          </w:r>
        </w:p>
        <w:p>
          <w:pPr>
            <w:pStyle w:val="9"/>
            <w:tabs>
              <w:tab w:val="right" w:leader="dot" w:pos="8296"/>
            </w:tabs>
          </w:pPr>
          <w:r>
            <w:fldChar w:fldCharType="begin"/>
          </w:r>
          <w:r>
            <w:instrText xml:space="preserve"> HYPERLINK \l "_Toc530258862" </w:instrText>
          </w:r>
          <w:r>
            <w:fldChar w:fldCharType="separate"/>
          </w:r>
          <w:r>
            <w:rPr>
              <w:rStyle w:val="12"/>
              <w:rFonts w:ascii="Times New Roman" w:hAnsi="Times New Roman" w:cs="Times New Roman"/>
            </w:rPr>
            <w:t>References</w:t>
          </w:r>
          <w:r>
            <w:tab/>
          </w:r>
          <w:r>
            <w:fldChar w:fldCharType="begin"/>
          </w:r>
          <w:r>
            <w:instrText xml:space="preserve"> PAGEREF _Toc530258862 \h </w:instrText>
          </w:r>
          <w:r>
            <w:fldChar w:fldCharType="separate"/>
          </w:r>
          <w:r>
            <w:t>15</w:t>
          </w:r>
          <w:r>
            <w:fldChar w:fldCharType="end"/>
          </w:r>
          <w:r>
            <w:fldChar w:fldCharType="end"/>
          </w:r>
        </w:p>
        <w:p>
          <w:pPr>
            <w:spacing w:line="360" w:lineRule="auto"/>
            <w:rPr>
              <w:rFonts w:ascii="Times New Roman" w:hAnsi="Times New Roman" w:cs="Times New Roman"/>
            </w:rPr>
          </w:pPr>
          <w:r>
            <w:rPr>
              <w:rFonts w:ascii="Times New Roman" w:hAnsi="Times New Roman" w:cs="Times New Roman"/>
              <w:b/>
              <w:bCs/>
              <w:sz w:val="24"/>
              <w:szCs w:val="24"/>
              <w:lang w:val="zh-CN"/>
            </w:rPr>
            <w:fldChar w:fldCharType="end"/>
          </w:r>
        </w:p>
      </w:sdtContent>
    </w:sdt>
    <w:p>
      <w:pPr>
        <w:rPr>
          <w:rFonts w:ascii="Times New Roman" w:hAnsi="Times New Roman" w:cs="Times New Roman"/>
        </w:rPr>
      </w:pPr>
      <w:bookmarkStart w:id="0" w:name="_Toc530258845"/>
    </w:p>
    <w:p>
      <w:pPr>
        <w:rPr>
          <w:rFonts w:ascii="Times New Roman" w:hAnsi="Times New Roman" w:cs="Times New Roman"/>
          <w:sz w:val="24"/>
        </w:rPr>
      </w:pPr>
      <w:r>
        <w:rPr>
          <w:rFonts w:ascii="Times New Roman" w:hAnsi="Times New Roman" w:cs="Times New Roman"/>
          <w:sz w:val="24"/>
        </w:rPr>
        <w:t>Table of Figures</w:t>
      </w:r>
    </w:p>
    <w:p>
      <w:pPr>
        <w:rPr>
          <w:rFonts w:ascii="Times New Roman" w:hAnsi="Times New Roman" w:cs="Times New Roman"/>
          <w:sz w:val="24"/>
        </w:rPr>
      </w:pPr>
    </w:p>
    <w:p>
      <w:pPr>
        <w:rPr>
          <w:rFonts w:ascii="Times New Roman" w:hAnsi="Times New Roman" w:cs="Times New Roman"/>
        </w:rPr>
      </w:pPr>
      <w:r>
        <w:rPr>
          <w:rFonts w:ascii="Times New Roman" w:hAnsi="Times New Roman" w:cs="Times New Roman"/>
        </w:rPr>
        <w:t>Figure1: Two Ways of Cost Leadership Strategy............................................................................3</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Figure2: Adidas' R&amp;D production line...........................................................................................5</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Figure3: Three Core Area</w:t>
      </w:r>
      <w:r>
        <w:rPr>
          <w:rFonts w:hint="eastAsia" w:ascii="Times New Roman" w:hAnsi="Times New Roman" w:cs="Times New Roman"/>
        </w:rPr>
        <w:t>s</w:t>
      </w:r>
      <w:r>
        <w:rPr>
          <w:rFonts w:ascii="Times New Roman" w:hAnsi="Times New Roman" w:cs="Times New Roman"/>
        </w:rPr>
        <w:t xml:space="preserve"> of Strategy...........................................................................................6</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Figure 4: Complexity of the Supply Chain of Adidas....................................................................8</w:t>
      </w:r>
    </w:p>
    <w:p>
      <w:pPr>
        <w:rPr>
          <w:rFonts w:ascii="Times New Roman" w:hAnsi="Times New Roman" w:cs="Times New Roman"/>
        </w:rPr>
      </w:pPr>
    </w:p>
    <w:p>
      <w:pPr>
        <w:rPr>
          <w:rFonts w:ascii="Times New Roman" w:hAnsi="Times New Roman" w:cs="Times New Roman"/>
        </w:rPr>
      </w:pPr>
      <w:r>
        <w:rPr>
          <w:rFonts w:hint="eastAsia" w:ascii="Times New Roman" w:hAnsi="Times New Roman" w:cs="Times New Roman"/>
        </w:rPr>
        <w:t>F</w:t>
      </w:r>
      <w:r>
        <w:rPr>
          <w:rFonts w:ascii="Times New Roman" w:hAnsi="Times New Roman" w:cs="Times New Roman"/>
        </w:rPr>
        <w:t>igure 5: The Structure of Logistic Network…………………………………………………….9</w:t>
      </w:r>
    </w:p>
    <w:p>
      <w:pPr>
        <w:rPr>
          <w:rFonts w:ascii="Times New Roman" w:hAnsi="Times New Roman" w:cs="Times New Roman"/>
        </w:rPr>
      </w:pPr>
      <w:r>
        <w:rPr>
          <w:rFonts w:ascii="Times New Roman" w:hAnsi="Times New Roman" w:cs="Times New Roman"/>
        </w:rPr>
        <w:br w:type="page"/>
      </w:r>
    </w:p>
    <w:p>
      <w:pPr>
        <w:rPr>
          <w:rFonts w:ascii="Times New Roman" w:hAnsi="Times New Roman" w:cs="Times New Roman"/>
        </w:rPr>
      </w:pPr>
    </w:p>
    <w:p>
      <w:pPr>
        <w:rPr>
          <w:rFonts w:ascii="Times New Roman" w:hAnsi="Times New Roman" w:cs="Times New Roman"/>
        </w:rPr>
      </w:pPr>
    </w:p>
    <w:p>
      <w:pPr>
        <w:pStyle w:val="2"/>
        <w:numPr>
          <w:ilvl w:val="0"/>
          <w:numId w:val="2"/>
        </w:numPr>
        <w:rPr>
          <w:rFonts w:ascii="Times New Roman" w:hAnsi="Times New Roman" w:cs="Times New Roman"/>
        </w:rPr>
      </w:pPr>
      <w:r>
        <w:rPr>
          <w:rFonts w:ascii="Times New Roman" w:hAnsi="Times New Roman" w:cs="Times New Roman"/>
        </w:rPr>
        <w:t>Executive Summary</w:t>
      </w:r>
      <w:bookmarkEnd w:id="0"/>
    </w:p>
    <w:p>
      <w:pPr>
        <w:pStyle w:val="25"/>
      </w:pPr>
      <w:r>
        <w:t>The main purpose of this report is to introduce and analyze Adidas' competitive strategy for developing its current competitive position. Through some analysis tool, this report gives the examples and advantages and disadvantages of Adidas' cost leadership strategy.</w:t>
      </w:r>
    </w:p>
    <w:p>
      <w:pPr>
        <w:pStyle w:val="25"/>
      </w:pPr>
    </w:p>
    <w:p>
      <w:pPr>
        <w:pStyle w:val="25"/>
      </w:pPr>
      <w:r>
        <w:t xml:space="preserve">Adidas produces more than 900 million sports and sports lifestyle products annually with independent manufacturing partners worldwide (The Adidas Group,2018). </w:t>
      </w:r>
      <w:bookmarkStart w:id="18" w:name="_GoBack"/>
      <w:r>
        <w:t xml:space="preserve">Adidas' current cost leadership strategy increases the flexibility, stability and </w:t>
      </w:r>
      <w:bookmarkEnd w:id="18"/>
      <w:r>
        <w:t>sustainability of the supply chain network. And while ensuring flexibility and stability, Adidas' cost leadership strategy also greatly reduced the company's production costs.</w:t>
      </w:r>
    </w:p>
    <w:p>
      <w:pPr>
        <w:pStyle w:val="25"/>
      </w:pPr>
    </w:p>
    <w:p>
      <w:pPr>
        <w:pStyle w:val="25"/>
      </w:pPr>
      <w:r>
        <w:t>However, Adidas currently has some problems in its operation. For example, compared to Nike's powerful logistics network, Adidas does not have its own logistics network, which will impose certain restrictions on the market expansion of Adidas. And the choice of outsourcing foundry companies will face certain challenges.</w:t>
      </w:r>
    </w:p>
    <w:p>
      <w:pPr>
        <w:pStyle w:val="25"/>
      </w:pPr>
    </w:p>
    <w:p>
      <w:pPr>
        <w:pStyle w:val="25"/>
      </w:pPr>
      <w:r>
        <w:t>In order to solve these problems, this report gives recommendations. Adidas should develop its own logistics supply network as much as possible to expand the market and achieve greater cost savings. At the same time, low-cost foundations should be realized while ensuring quality.</w:t>
      </w:r>
    </w:p>
    <w:p>
      <w:pPr>
        <w:pStyle w:val="25"/>
      </w:pPr>
    </w:p>
    <w:p>
      <w:pPr>
        <w:pStyle w:val="2"/>
        <w:numPr>
          <w:ilvl w:val="0"/>
          <w:numId w:val="2"/>
        </w:numPr>
        <w:rPr>
          <w:rFonts w:ascii="Times New Roman" w:hAnsi="Times New Roman" w:cs="Times New Roman"/>
        </w:rPr>
      </w:pPr>
      <w:bookmarkStart w:id="1" w:name="_Toc530258846"/>
      <w:r>
        <w:rPr>
          <w:rFonts w:ascii="Times New Roman" w:hAnsi="Times New Roman" w:cs="Times New Roman"/>
        </w:rPr>
        <w:t>Introduction</w:t>
      </w:r>
      <w:bookmarkEnd w:id="1"/>
    </w:p>
    <w:p>
      <w:pPr>
        <w:pStyle w:val="25"/>
      </w:pPr>
      <w:r>
        <w:t>Adidas originated in Germany, but is a truly global company. In FY2017, Western Europe accounted for 27.7% of the company's total revenue, followed by North America (20.1%), Greater China (17.9%), MEAA (13.7%), Latin America (9%), Japan (5%), and other companies. (3.5%) and Russia/CIS (Kevin,2018).</w:t>
      </w:r>
    </w:p>
    <w:p>
      <w:pPr>
        <w:pStyle w:val="25"/>
      </w:pPr>
    </w:p>
    <w:p>
      <w:pPr>
        <w:pStyle w:val="25"/>
      </w:pPr>
      <w:r>
        <w:t>Adidas' competitive strategy for developing its current competitive position includes a cost leadership strategy. The cost leadership strategy refers to the strategy that companies use to increase efficiency and reduce production costs so that production costs are lower than the industry average or closest to their competitors' production costs (Raphael 1986). The cost leadership strategy adopted by Adidas mainly includes logistics outsourcing mode and foundry mode. Logistics outsourcing refers to the use of external logistics providers to provide outsourcing services for services that they cannot provide or provide high cost (Lynch, 2000). OEM R&amp;D interaction refers to outsourcing the production chain to the foundry company, but Adidas offers the choice of design and materials.</w:t>
      </w:r>
    </w:p>
    <w:p>
      <w:pPr>
        <w:pStyle w:val="25"/>
        <w:rPr>
          <w:rFonts w:eastAsiaTheme="minorEastAsia"/>
        </w:rPr>
      </w:pPr>
    </w:p>
    <w:p>
      <w:pPr>
        <w:pStyle w:val="2"/>
        <w:rPr>
          <w:rFonts w:ascii="Times New Roman" w:hAnsi="Times New Roman" w:cs="Times New Roman"/>
        </w:rPr>
      </w:pPr>
      <w:bookmarkStart w:id="2" w:name="_Toc530258847"/>
      <w:r>
        <w:rPr>
          <w:rFonts w:ascii="Times New Roman" w:hAnsi="Times New Roman" w:cs="Times New Roman"/>
        </w:rPr>
        <w:t>3.0 The Competitive Strategy</w:t>
      </w:r>
      <w:bookmarkEnd w:id="2"/>
    </w:p>
    <w:p>
      <w:pPr>
        <w:pStyle w:val="3"/>
        <w:rPr>
          <w:rFonts w:ascii="Times New Roman" w:hAnsi="Times New Roman" w:cs="Times New Roman"/>
        </w:rPr>
      </w:pPr>
      <w:bookmarkStart w:id="3" w:name="_Toc530258848"/>
      <w:r>
        <w:rPr>
          <w:rFonts w:ascii="Times New Roman" w:hAnsi="Times New Roman" w:cs="Times New Roman"/>
        </w:rPr>
        <w:t>3.1 The Cost Leadership Strategy that Adidas has Utilized to Develop Their Current Competitive Position</w:t>
      </w:r>
      <w:bookmarkEnd w:id="3"/>
    </w:p>
    <w:p>
      <w:pPr>
        <w:pStyle w:val="25"/>
      </w:pPr>
      <w:r>
        <w:t>Adidas chose a cost leadership strategy. It developed a competitive advantage that would promote sales and capture market share from competitors (Orges et al,2008). There are two ways to achieve this in a cost leadership strategy:</w:t>
      </w:r>
    </w:p>
    <w:p>
      <w:pPr>
        <w:pStyle w:val="25"/>
      </w:pPr>
      <w:r>
        <w:t>• Receive the average price in the industry, but increase profits by reducing costs</w:t>
      </w:r>
    </w:p>
    <w:p>
      <w:pPr>
        <w:pStyle w:val="25"/>
      </w:pPr>
      <w:r>
        <w:t>• Gain more market share by lowering the selling price, and because the cost has been reduced, you can still obtain a more reasonable profit in each sale (Robert et al,1975)</w:t>
      </w:r>
    </w:p>
    <w:p>
      <w:pPr>
        <w:rPr>
          <w:rFonts w:ascii="Times New Roman" w:hAnsi="Times New Roman" w:cs="Times New Roman"/>
        </w:rPr>
      </w:pPr>
      <w:r>
        <w:rPr>
          <w:rFonts w:ascii="Times New Roman" w:hAnsi="Times New Roman" w:cs="Times New Roman"/>
        </w:rPr>
        <w:drawing>
          <wp:inline distT="0" distB="0" distL="0" distR="0">
            <wp:extent cx="5274310" cy="3233420"/>
            <wp:effectExtent l="0" t="0" r="254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5274310" cy="3233420"/>
                    </a:xfrm>
                    <a:prstGeom prst="rect">
                      <a:avLst/>
                    </a:prstGeom>
                  </pic:spPr>
                </pic:pic>
              </a:graphicData>
            </a:graphic>
          </wp:inline>
        </w:drawing>
      </w:r>
    </w:p>
    <w:p>
      <w:pPr>
        <w:pStyle w:val="25"/>
        <w:jc w:val="center"/>
      </w:pPr>
      <w:r>
        <w:t>Figure 1: Two Ways of Cost Leadership Strategy</w:t>
      </w:r>
    </w:p>
    <w:p>
      <w:pPr>
        <w:rPr>
          <w:rFonts w:ascii="Times New Roman" w:hAnsi="Times New Roman" w:cs="Times New Roman"/>
        </w:rPr>
      </w:pPr>
    </w:p>
    <w:p>
      <w:pPr>
        <w:pStyle w:val="4"/>
        <w:rPr>
          <w:rFonts w:ascii="Times New Roman" w:hAnsi="Times New Roman" w:cs="Times New Roman"/>
        </w:rPr>
      </w:pPr>
      <w:bookmarkStart w:id="4" w:name="_Toc530258849"/>
      <w:r>
        <w:rPr>
          <w:rFonts w:ascii="Times New Roman" w:hAnsi="Times New Roman" w:cs="Times New Roman"/>
        </w:rPr>
        <w:t>3.1.1 Logistics Outsourcing</w:t>
      </w:r>
      <w:bookmarkEnd w:id="4"/>
    </w:p>
    <w:p>
      <w:pPr>
        <w:pStyle w:val="25"/>
      </w:pPr>
      <w:r>
        <w:t xml:space="preserve">Transportation is an important part of the logistics process and can provide conditions for people to trade because it is the physical connection between the company and the supplier and the customer (Lambert et al, 2006). </w:t>
      </w:r>
    </w:p>
    <w:p>
      <w:pPr>
        <w:pStyle w:val="25"/>
      </w:pPr>
    </w:p>
    <w:p>
      <w:pPr>
        <w:pStyle w:val="25"/>
      </w:pPr>
      <w:r>
        <w:t>Adidas has chosen to outsource its logistics operations after costing. Because it can greatly reduce the company's operating costs. And as a sports brand, Adidas should spend more on its core competitiveness: the design and manufacture of sports and sports lifestyles. Logistics outsourcing enables the company to focus on its product design. The ability to create core competing products and enhance other businesses makes the company more efficient (Simchi-Levi et al., 2008).</w:t>
      </w:r>
    </w:p>
    <w:p>
      <w:pPr>
        <w:pStyle w:val="25"/>
      </w:pPr>
    </w:p>
    <w:p>
      <w:pPr>
        <w:pStyle w:val="4"/>
      </w:pPr>
      <w:bookmarkStart w:id="5" w:name="_Toc530258850"/>
      <w:r>
        <w:t>3.1.2 OEM Research and Development Interaction</w:t>
      </w:r>
      <w:bookmarkEnd w:id="5"/>
    </w:p>
    <w:p>
      <w:pPr>
        <w:pStyle w:val="25"/>
        <w:rPr>
          <w:rFonts w:eastAsiaTheme="minorEastAsia"/>
        </w:rPr>
      </w:pPr>
      <w:r>
        <w:rPr>
          <w:rFonts w:eastAsiaTheme="minorEastAsia"/>
        </w:rPr>
        <w:t>For the sales life cycle of sportswear is rapidly shortening, Adidas chose the strategy to maintain its competitive advantage by interacting with R&amp;D of foundry companies. There is a certain distance between the development and production of shoes, shoes must go through the manufacturing model, sample shoe manufacturing, cost calculation, modification and other processes after design. In such a complex R&amp;D-production chain, Adidas have a competitive advantage in design and sales. Therefore, Adidas has chosen the strategy of foundry and research and development to maintain close contact and cooperation with manufacturing companies to maximize the company's benefits.</w:t>
      </w:r>
    </w:p>
    <w:p>
      <w:pPr>
        <w:pStyle w:val="25"/>
      </w:pPr>
    </w:p>
    <w:p>
      <w:pPr>
        <w:pStyle w:val="3"/>
        <w:rPr>
          <w:rFonts w:ascii="Times New Roman" w:hAnsi="Times New Roman" w:cs="Times New Roman"/>
        </w:rPr>
      </w:pPr>
      <w:bookmarkStart w:id="6" w:name="_Toc530258851"/>
      <w:r>
        <w:rPr>
          <w:rFonts w:ascii="Times New Roman" w:hAnsi="Times New Roman" w:cs="Times New Roman"/>
        </w:rPr>
        <w:t>3.2 Examples of Actions that Adidas has Taken to Accomplish this Strategy</w:t>
      </w:r>
      <w:bookmarkEnd w:id="6"/>
    </w:p>
    <w:p>
      <w:pPr>
        <w:pStyle w:val="4"/>
        <w:rPr>
          <w:rFonts w:ascii="Times New Roman" w:hAnsi="Times New Roman" w:cs="Times New Roman"/>
        </w:rPr>
      </w:pPr>
      <w:bookmarkStart w:id="7" w:name="_Toc530258852"/>
      <w:r>
        <w:rPr>
          <w:rFonts w:ascii="Times New Roman" w:hAnsi="Times New Roman" w:cs="Times New Roman"/>
        </w:rPr>
        <w:t>3.2.1 Cooperation Case with Logistics Companies</w:t>
      </w:r>
      <w:bookmarkEnd w:id="7"/>
    </w:p>
    <w:p>
      <w:pPr>
        <w:pStyle w:val="25"/>
      </w:pPr>
      <w:r>
        <w:t>Adidas's logistics strategy is different from Nike. Nike has been developed for a long time and established a good logistics infrastructure, using its own logistics system. Adidas outsources its logistics operations in order to reduce operating costs.</w:t>
      </w:r>
      <w:r>
        <w:rPr>
          <w:rFonts w:hint="eastAsia" w:eastAsiaTheme="minorEastAsia"/>
        </w:rPr>
        <w:t xml:space="preserve"> </w:t>
      </w:r>
      <w:r>
        <w:t>In 1996, Adidas decided to outsource the distribution of its clothing in the United States to UPS Global Logistics.</w:t>
      </w:r>
      <w:r>
        <w:rPr>
          <w:rFonts w:hint="eastAsia" w:eastAsiaTheme="minorEastAsia"/>
        </w:rPr>
        <w:t xml:space="preserve"> </w:t>
      </w:r>
      <w:r>
        <w:rPr>
          <w:rFonts w:eastAsiaTheme="minorEastAsia"/>
        </w:rPr>
        <w:t>Th</w:t>
      </w:r>
      <w:r>
        <w:t>en cooperate with CALIBER Logistics in 1997</w:t>
      </w:r>
      <w:r>
        <w:rPr>
          <w:rFonts w:hint="eastAsia" w:eastAsiaTheme="minorEastAsia"/>
        </w:rPr>
        <w:t xml:space="preserve">. </w:t>
      </w:r>
      <w:r>
        <w:t>It not only saves a lot of cost, but also improves the quality of logistics service (Gavrielatos et al,2007).</w:t>
      </w:r>
      <w:r>
        <w:rPr>
          <w:rFonts w:hint="eastAsia" w:eastAsiaTheme="minorEastAsia"/>
        </w:rPr>
        <w:t xml:space="preserve"> </w:t>
      </w:r>
    </w:p>
    <w:p>
      <w:pPr>
        <w:pStyle w:val="25"/>
        <w:rPr>
          <w:rFonts w:eastAsiaTheme="minorEastAsia"/>
        </w:rPr>
      </w:pPr>
    </w:p>
    <w:p>
      <w:pPr>
        <w:pStyle w:val="25"/>
        <w:rPr>
          <w:rFonts w:eastAsiaTheme="minorEastAsia"/>
        </w:rPr>
      </w:pPr>
      <w:r>
        <w:rPr>
          <w:rFonts w:eastAsiaTheme="minorEastAsia"/>
        </w:rPr>
        <w:t>Another strategic priority is to establish a wholly-owned subsidiary in Japan to take over the distribution of products in Asia. Despite the increase in gross profit, the increase in cost is not conducive to the development of the group in the long run. As a result, Adidas has adopted a range of strategies to reduce costs and increase efficiency to accommodate the needs of an efficient organization including restructuring the European logistics system. Overall, after Adidas adjusted its marketing strategy in 1999, global income up nearly 500 million marks from the 9.91 billion mark in 1998, an increase of nearly 80% over 1997</w:t>
      </w:r>
      <w:r>
        <w:rPr>
          <w:rFonts w:eastAsiaTheme="minorEastAsia"/>
          <w:color w:val="FF0000"/>
        </w:rPr>
        <w:t xml:space="preserve"> </w:t>
      </w:r>
      <w:r>
        <w:rPr>
          <w:rFonts w:eastAsiaTheme="minorEastAsia"/>
        </w:rPr>
        <w:t>(Dara, 2003).</w:t>
      </w:r>
    </w:p>
    <w:p>
      <w:pPr>
        <w:pStyle w:val="25"/>
        <w:rPr>
          <w:rFonts w:eastAsiaTheme="minorEastAsia"/>
        </w:rPr>
      </w:pPr>
    </w:p>
    <w:p>
      <w:pPr>
        <w:pStyle w:val="4"/>
      </w:pPr>
      <w:bookmarkStart w:id="8" w:name="_Toc530258853"/>
      <w:r>
        <w:t>3.2.2 Cooperation Case with PaoCheng Company</w:t>
      </w:r>
      <w:bookmarkEnd w:id="8"/>
    </w:p>
    <w:p>
      <w:pPr>
        <w:pStyle w:val="25"/>
        <w:rPr>
          <w:rFonts w:eastAsiaTheme="minorEastAsia"/>
        </w:rPr>
      </w:pPr>
      <w:r>
        <w:rPr>
          <w:rFonts w:eastAsiaTheme="minorEastAsia"/>
        </w:rPr>
        <w:t>Adidas and its foundry company PouCheng formed a mature chain of cooperation. First, the designer of Adidas determines the design and the required materials. Then the PouCheng R&amp;D Center develops the mold and purchases the raw materials according to the designer's requirements. The production center of the R&amp;D center then makes the sample shoes according to the mold, and then puts the shoes sample shoes for Adidas, the internal high-level will review the sample shoes, Adidas executives through the evaluation of key customers to decide whether to mass production. The reverse is also a reverse feedback chain.</w:t>
      </w:r>
    </w:p>
    <w:p>
      <w:pPr>
        <w:pStyle w:val="25"/>
        <w:rPr>
          <w:rFonts w:eastAsiaTheme="minorEastAsia"/>
        </w:rPr>
      </w:pPr>
      <w:r>
        <w:drawing>
          <wp:inline distT="0" distB="0" distL="0" distR="0">
            <wp:extent cx="5274310" cy="2811145"/>
            <wp:effectExtent l="0" t="0" r="2540"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6"/>
                    <a:stretch>
                      <a:fillRect/>
                    </a:stretch>
                  </pic:blipFill>
                  <pic:spPr>
                    <a:xfrm>
                      <a:off x="0" y="0"/>
                      <a:ext cx="5274310" cy="2811145"/>
                    </a:xfrm>
                    <a:prstGeom prst="rect">
                      <a:avLst/>
                    </a:prstGeom>
                  </pic:spPr>
                </pic:pic>
              </a:graphicData>
            </a:graphic>
          </wp:inline>
        </w:drawing>
      </w:r>
    </w:p>
    <w:p>
      <w:pPr>
        <w:pStyle w:val="25"/>
        <w:jc w:val="center"/>
        <w:rPr>
          <w:rFonts w:eastAsiaTheme="minorEastAsia"/>
        </w:rPr>
      </w:pPr>
      <w:r>
        <w:rPr>
          <w:rFonts w:hint="eastAsia" w:eastAsiaTheme="minorEastAsia"/>
        </w:rPr>
        <w:t xml:space="preserve">Figure 2: </w:t>
      </w:r>
      <w:r>
        <w:rPr>
          <w:rFonts w:eastAsiaTheme="minorEastAsia"/>
        </w:rPr>
        <w:t>Adidas' R&amp;D - production line</w:t>
      </w:r>
    </w:p>
    <w:p>
      <w:pPr>
        <w:pStyle w:val="25"/>
        <w:rPr>
          <w:rFonts w:eastAsiaTheme="minorEastAsia"/>
        </w:rPr>
      </w:pPr>
    </w:p>
    <w:p>
      <w:pPr>
        <w:pStyle w:val="25"/>
        <w:rPr>
          <w:rFonts w:eastAsiaTheme="minorEastAsia"/>
        </w:rPr>
      </w:pPr>
      <w:r>
        <w:rPr>
          <w:rFonts w:eastAsiaTheme="minorEastAsia"/>
        </w:rPr>
        <w:t>In terms of cost accounting, the R&amp;D center can also make recommendations, such as poor quality of products, high prices, and long delivery deadlines. Under these circumstances, although Adidas has specified the materials in advance, the company's designers may modify the original design according to the improvement proposed by the R&amp;D center.</w:t>
      </w:r>
    </w:p>
    <w:p>
      <w:pPr>
        <w:pStyle w:val="25"/>
        <w:rPr>
          <w:rFonts w:eastAsiaTheme="minorEastAsia"/>
        </w:rPr>
      </w:pPr>
    </w:p>
    <w:p>
      <w:pPr>
        <w:pStyle w:val="25"/>
        <w:rPr>
          <w:rFonts w:eastAsiaTheme="minorEastAsia"/>
        </w:rPr>
      </w:pPr>
      <w:r>
        <w:t>The R&amp;D interaction has enabled Adidas and Paocheng to have an interface that can be embedded in each other. At the R&amp;D Center in Dongguan, the success rate of one of Adidas' design-production has reached more than 90%, which guarantees the effective operation of the Adidas Sports Commodity Kingdom (Zhao, 2009).</w:t>
      </w:r>
    </w:p>
    <w:p>
      <w:pPr>
        <w:pStyle w:val="25"/>
        <w:rPr>
          <w:rFonts w:eastAsiaTheme="minorEastAsia"/>
        </w:rPr>
      </w:pPr>
    </w:p>
    <w:p>
      <w:pPr>
        <w:pStyle w:val="2"/>
        <w:rPr>
          <w:rFonts w:ascii="Times New Roman" w:hAnsi="Times New Roman" w:cs="Times New Roman"/>
        </w:rPr>
      </w:pPr>
      <w:bookmarkStart w:id="9" w:name="_Toc530258854"/>
      <w:r>
        <w:rPr>
          <w:rFonts w:ascii="Times New Roman" w:hAnsi="Times New Roman" w:cs="Times New Roman"/>
        </w:rPr>
        <w:t>4.0 The Evaluation of the Competitive Strategy that Adidas has Utilized</w:t>
      </w:r>
      <w:bookmarkEnd w:id="9"/>
    </w:p>
    <w:p>
      <w:pPr>
        <w:pStyle w:val="25"/>
      </w:pPr>
      <w:r>
        <w:t>According to the theory of three core areas of strategy, the analysis of the company's strategy can be adopted by environment</w:t>
      </w:r>
      <w:r>
        <w:rPr>
          <w:rFonts w:hint="eastAsia"/>
        </w:rPr>
        <w:t>,</w:t>
      </w:r>
      <w:r>
        <w:t>resources, vision, mission and objectives to analyze.</w:t>
      </w:r>
    </w:p>
    <w:p>
      <w:pPr>
        <w:pStyle w:val="25"/>
      </w:pPr>
      <w:r>
        <w:drawing>
          <wp:inline distT="0" distB="0" distL="0" distR="0">
            <wp:extent cx="5274310" cy="284543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7"/>
                    <a:stretch>
                      <a:fillRect/>
                    </a:stretch>
                  </pic:blipFill>
                  <pic:spPr>
                    <a:xfrm>
                      <a:off x="0" y="0"/>
                      <a:ext cx="5274310" cy="2845435"/>
                    </a:xfrm>
                    <a:prstGeom prst="rect">
                      <a:avLst/>
                    </a:prstGeom>
                  </pic:spPr>
                </pic:pic>
              </a:graphicData>
            </a:graphic>
          </wp:inline>
        </w:drawing>
      </w:r>
    </w:p>
    <w:p>
      <w:pPr>
        <w:pStyle w:val="25"/>
        <w:jc w:val="center"/>
      </w:pPr>
      <w:r>
        <w:t>Figure 3: Three Core Areas of Strategy</w:t>
      </w:r>
    </w:p>
    <w:p>
      <w:pPr>
        <w:rPr>
          <w:rFonts w:ascii="Times New Roman" w:hAnsi="Times New Roman" w:cs="Times New Roman"/>
        </w:rPr>
      </w:pPr>
    </w:p>
    <w:p>
      <w:pPr>
        <w:pStyle w:val="25"/>
      </w:pPr>
      <w:r>
        <w:t>Based on this theory, we analyze the advantages and limitations of the cost leadership strategy chosen by Adidas.</w:t>
      </w:r>
    </w:p>
    <w:p>
      <w:pPr>
        <w:pStyle w:val="25"/>
      </w:pPr>
    </w:p>
    <w:p>
      <w:pPr>
        <w:pStyle w:val="3"/>
        <w:rPr>
          <w:rFonts w:ascii="Times New Roman" w:hAnsi="Times New Roman" w:cs="Times New Roman"/>
        </w:rPr>
      </w:pPr>
      <w:bookmarkStart w:id="10" w:name="_Toc530258855"/>
      <w:r>
        <w:rPr>
          <w:rFonts w:ascii="Times New Roman" w:hAnsi="Times New Roman" w:cs="Times New Roman"/>
        </w:rPr>
        <w:t>4.1 The Advantages of This Strategy</w:t>
      </w:r>
      <w:bookmarkEnd w:id="10"/>
    </w:p>
    <w:p>
      <w:pPr>
        <w:pStyle w:val="4"/>
        <w:rPr>
          <w:rFonts w:ascii="Times New Roman" w:hAnsi="Times New Roman" w:cs="Times New Roman"/>
        </w:rPr>
      </w:pPr>
      <w:bookmarkStart w:id="11" w:name="_Toc530258856"/>
      <w:r>
        <w:rPr>
          <w:rFonts w:ascii="Times New Roman" w:hAnsi="Times New Roman" w:cs="Times New Roman"/>
        </w:rPr>
        <w:t>4.1.1 Logistics Outsourcing Increases Flexibility</w:t>
      </w:r>
      <w:bookmarkEnd w:id="11"/>
    </w:p>
    <w:p>
      <w:pPr>
        <w:pStyle w:val="25"/>
      </w:pPr>
      <w:r>
        <w:t>In cooperation with UPS Logistics, UPS has more than 35 million square feet of distribution and warehousing facilities, and is located in more than 120 countries, with package delivery fleets providing services (UPS, 2018).</w:t>
      </w:r>
      <w:r>
        <w:rPr>
          <w:rFonts w:hint="eastAsia" w:eastAsiaTheme="minorEastAsia"/>
        </w:rPr>
        <w:t xml:space="preserve"> </w:t>
      </w:r>
      <w:r>
        <w:t>Moreover, outsourcing also reduces the company's risk. If the market needs to deliver key orders and uninterrupted product supply chains on time, if Adidas' distributors and retailers can't immediately replenish their inventory, customers are likely to take their demand to other competing companies, which will reduce the company's profits and damage the reputation. And when the above-mentioned emergencies events occur, the outsourced logistics company can solve the problem more easily, thus reducing the risk of interruption in the supply chain.</w:t>
      </w:r>
    </w:p>
    <w:p>
      <w:pPr>
        <w:pStyle w:val="25"/>
      </w:pPr>
    </w:p>
    <w:p>
      <w:pPr>
        <w:pStyle w:val="25"/>
      </w:pPr>
      <w:r>
        <w:t>Therefore, the choice of outsourcing doesn’t mean handing over the control of the company, but means increasing the flexibility of the company, outsource logistics to professional logistics companies, and its own companies can focus on products to improve your core competitiveness (Sarah et al,1999).</w:t>
      </w:r>
    </w:p>
    <w:p>
      <w:pPr>
        <w:rPr>
          <w:rFonts w:ascii="Times New Roman" w:hAnsi="Times New Roman" w:cs="Times New Roman"/>
        </w:rPr>
      </w:pPr>
    </w:p>
    <w:p>
      <w:pPr>
        <w:pStyle w:val="4"/>
      </w:pPr>
      <w:bookmarkStart w:id="12" w:name="_Toc530258857"/>
      <w:r>
        <w:t>4.1.2 Stable and Sustainable Supply</w:t>
      </w:r>
      <w:bookmarkEnd w:id="12"/>
    </w:p>
    <w:p>
      <w:pPr>
        <w:pStyle w:val="25"/>
      </w:pPr>
      <w:r>
        <w:t>Adidas has entered into a long-term and stable cooperation with the foundry company. And Adidas has three different purchasing relationships: direct procurement model, indirect procurement model and local market production (Vasant, 2013). The advantage of directly connecting with the foundry company is when the direct supply chain is unable to provide services, it is necessary to provide some specific services to meet specific requirements.</w:t>
      </w:r>
    </w:p>
    <w:p>
      <w:pPr>
        <w:pStyle w:val="25"/>
      </w:pPr>
    </w:p>
    <w:p>
      <w:pPr>
        <w:pStyle w:val="25"/>
      </w:pPr>
      <w:r>
        <w:t>The supply side of Adidas is very complicated, so when the company and the foundry company have reached a stable cooperation, the company's supply chain network can be more perfect. Adidas can achieve a stable and continuous supply chain network to meet the needs of the market and customers at any time, especially for the seasonal demand has shortened the product cycle.</w:t>
      </w:r>
    </w:p>
    <w:p>
      <w:pPr>
        <w:pStyle w:val="25"/>
      </w:pPr>
      <w:r>
        <w:drawing>
          <wp:inline distT="0" distB="0" distL="0" distR="0">
            <wp:extent cx="5274310" cy="3858260"/>
            <wp:effectExtent l="0" t="0" r="2540" b="889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8"/>
                    <a:stretch>
                      <a:fillRect/>
                    </a:stretch>
                  </pic:blipFill>
                  <pic:spPr>
                    <a:xfrm>
                      <a:off x="0" y="0"/>
                      <a:ext cx="5274310" cy="3858260"/>
                    </a:xfrm>
                    <a:prstGeom prst="rect">
                      <a:avLst/>
                    </a:prstGeom>
                  </pic:spPr>
                </pic:pic>
              </a:graphicData>
            </a:graphic>
          </wp:inline>
        </w:drawing>
      </w:r>
    </w:p>
    <w:p>
      <w:pPr>
        <w:pStyle w:val="25"/>
        <w:jc w:val="center"/>
      </w:pPr>
      <w:r>
        <w:t>Figure 4</w:t>
      </w:r>
      <w:r>
        <w:rPr>
          <w:rFonts w:hint="eastAsia" w:ascii="宋体" w:hAnsi="宋体" w:eastAsia="宋体" w:cs="宋体"/>
        </w:rPr>
        <w:t>：</w:t>
      </w:r>
      <w:r>
        <w:t>Complexity of the Supply Chain of Adidas</w:t>
      </w:r>
    </w:p>
    <w:p>
      <w:pPr>
        <w:pStyle w:val="25"/>
        <w:jc w:val="center"/>
      </w:pPr>
      <w:r>
        <w:t>(Source</w:t>
      </w:r>
      <w:r>
        <w:rPr>
          <w:rFonts w:hint="eastAsia" w:ascii="宋体" w:hAnsi="宋体" w:eastAsia="宋体" w:cs="宋体"/>
        </w:rPr>
        <w:t>：</w:t>
      </w:r>
      <w:r>
        <w:t>The Adidas Group)</w:t>
      </w:r>
    </w:p>
    <w:p>
      <w:pPr>
        <w:pStyle w:val="25"/>
        <w:rPr>
          <w:rFonts w:eastAsiaTheme="minorEastAsia"/>
        </w:rPr>
      </w:pPr>
    </w:p>
    <w:p>
      <w:pPr>
        <w:pStyle w:val="25"/>
        <w:rPr>
          <w:rFonts w:eastAsiaTheme="minorEastAsia"/>
        </w:rPr>
      </w:pPr>
      <w:r>
        <w:rPr>
          <w:rFonts w:eastAsiaTheme="minorEastAsia"/>
        </w:rPr>
        <w:t>Processing costs, without having to bear the risk of equipment depreciation, self-built factories and production management, can also flexibly place orders on demand according to market changes. This can promote the new business advantages of the finished products business. And improve the ability to operate and manage, so as to move toward higher levels of capital operations.</w:t>
      </w:r>
    </w:p>
    <w:p>
      <w:pPr>
        <w:pStyle w:val="3"/>
        <w:rPr>
          <w:rFonts w:ascii="Times New Roman" w:hAnsi="Times New Roman" w:cs="Times New Roman"/>
        </w:rPr>
      </w:pPr>
      <w:bookmarkStart w:id="13" w:name="_Toc530258858"/>
      <w:r>
        <w:rPr>
          <w:rFonts w:ascii="Times New Roman" w:hAnsi="Times New Roman" w:cs="Times New Roman"/>
        </w:rPr>
        <w:t>4.2 The Limitation of This Strategy</w:t>
      </w:r>
      <w:bookmarkEnd w:id="13"/>
    </w:p>
    <w:p>
      <w:pPr>
        <w:pStyle w:val="4"/>
      </w:pPr>
      <w:bookmarkStart w:id="14" w:name="_Toc530258859"/>
      <w:r>
        <w:rPr>
          <w:rFonts w:hint="eastAsia"/>
        </w:rPr>
        <w:t xml:space="preserve">4.2.1 </w:t>
      </w:r>
      <w:r>
        <w:t>The Expansion of the Logistics Network Will Bring About an Increase in Costs</w:t>
      </w:r>
      <w:bookmarkEnd w:id="14"/>
    </w:p>
    <w:p>
      <w:pPr>
        <w:pStyle w:val="25"/>
      </w:pPr>
      <w:r>
        <w:t>In fact, the logistics network is a dynamic structure that requires permanent product flow in its relatively separate supply chain network. A typical logistics network involves various terminals such as components or raw material suppliers (S), manufacturers (M), wholesalers (W), retailers (R) and customers (C). Each stage of the logistics network requires flow the coordination of various complex mechanisms to connect the various stages (Stefan, 2008).</w:t>
      </w:r>
    </w:p>
    <w:p>
      <w:pPr>
        <w:pStyle w:val="25"/>
      </w:pPr>
      <w:r>
        <w:drawing>
          <wp:inline distT="0" distB="0" distL="0" distR="0">
            <wp:extent cx="5274310" cy="292163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9"/>
                    <a:stretch>
                      <a:fillRect/>
                    </a:stretch>
                  </pic:blipFill>
                  <pic:spPr>
                    <a:xfrm>
                      <a:off x="0" y="0"/>
                      <a:ext cx="5274310" cy="2921635"/>
                    </a:xfrm>
                    <a:prstGeom prst="rect">
                      <a:avLst/>
                    </a:prstGeom>
                  </pic:spPr>
                </pic:pic>
              </a:graphicData>
            </a:graphic>
          </wp:inline>
        </w:drawing>
      </w:r>
    </w:p>
    <w:p>
      <w:pPr>
        <w:pStyle w:val="25"/>
        <w:jc w:val="center"/>
        <w:rPr>
          <w:rFonts w:eastAsiaTheme="minorEastAsia"/>
        </w:rPr>
      </w:pPr>
      <w:r>
        <w:rPr>
          <w:rFonts w:hint="eastAsia" w:eastAsiaTheme="minorEastAsia"/>
        </w:rPr>
        <w:t xml:space="preserve">Figure </w:t>
      </w:r>
      <w:r>
        <w:rPr>
          <w:rFonts w:eastAsiaTheme="minorEastAsia"/>
        </w:rPr>
        <w:t>5</w:t>
      </w:r>
      <w:r>
        <w:rPr>
          <w:rFonts w:hint="eastAsia" w:eastAsiaTheme="minorEastAsia"/>
        </w:rPr>
        <w:t xml:space="preserve">: </w:t>
      </w:r>
      <w:r>
        <w:rPr>
          <w:rFonts w:eastAsiaTheme="minorEastAsia"/>
        </w:rPr>
        <w:t>The Structure of Logistic Network</w:t>
      </w:r>
    </w:p>
    <w:p>
      <w:pPr>
        <w:pStyle w:val="25"/>
        <w:jc w:val="center"/>
        <w:rPr>
          <w:rFonts w:eastAsiaTheme="minorEastAsia"/>
        </w:rPr>
      </w:pPr>
      <w:r>
        <w:rPr>
          <w:rFonts w:eastAsiaTheme="minorEastAsia"/>
        </w:rPr>
        <w:t>(Source: Giam Ong,2015)</w:t>
      </w:r>
    </w:p>
    <w:p>
      <w:pPr>
        <w:pStyle w:val="25"/>
      </w:pPr>
    </w:p>
    <w:p>
      <w:pPr>
        <w:pStyle w:val="25"/>
      </w:pPr>
      <w:r>
        <w:t>According to Adidas' information research, we assume that Adidas is considering the use of large logistics networks. It is necessary to alternate the use of various transport carriers and modes of transport to enable the interconnection of resources, supply chain structures, supply organizations and processes to achieve many different relationships (JörgHinrichs et al, 2014). The larger the logistics network of Adidas, the higher the maintenance cost of Adidas. At present, Adidas doesn’t choose the most suitable outsourcing company, and in the very mature logistics network of Nike, Adidas' logistics outsourcing also faces certain cost risks.</w:t>
      </w:r>
    </w:p>
    <w:p>
      <w:pPr>
        <w:pStyle w:val="25"/>
        <w:rPr>
          <w:rFonts w:eastAsiaTheme="minorEastAsia"/>
        </w:rPr>
      </w:pPr>
    </w:p>
    <w:p>
      <w:pPr>
        <w:pStyle w:val="4"/>
        <w:rPr>
          <w:rFonts w:eastAsiaTheme="minorEastAsia"/>
        </w:rPr>
      </w:pPr>
      <w:bookmarkStart w:id="15" w:name="_Toc530258860"/>
      <w:r>
        <w:rPr>
          <w:rFonts w:hint="eastAsia" w:eastAsiaTheme="minorEastAsia"/>
        </w:rPr>
        <w:t xml:space="preserve">4.2.2 </w:t>
      </w:r>
      <w:r>
        <w:rPr>
          <w:rFonts w:eastAsiaTheme="minorEastAsia"/>
        </w:rPr>
        <w:t>Product Quality Monitoring Issues</w:t>
      </w:r>
      <w:bookmarkEnd w:id="15"/>
    </w:p>
    <w:p>
      <w:pPr>
        <w:pStyle w:val="25"/>
        <w:rPr>
          <w:rFonts w:eastAsiaTheme="minorEastAsia"/>
        </w:rPr>
      </w:pPr>
      <w:r>
        <w:rPr>
          <w:rFonts w:eastAsiaTheme="minorEastAsia"/>
        </w:rPr>
        <w:t>The foundry model also has some defects. The quality of the product is likely to cause quality problems due to the lack of monitoring. If Adidas only pays attention to the processing cost, doesn’t pay attention to the quality of the product, let the other company compete to lower the price, and the lower price can obtain the qualification of cooperation, then the cost of materials, production lines and so on may be suppressed very low, so that the manufactured products are also there will be quality defects (</w:t>
      </w:r>
      <w:r>
        <w:t>Awadhesh Kumar et al, 2011).</w:t>
      </w:r>
    </w:p>
    <w:p>
      <w:pPr>
        <w:pStyle w:val="25"/>
        <w:rPr>
          <w:rFonts w:eastAsiaTheme="minorEastAsia"/>
        </w:rPr>
      </w:pPr>
    </w:p>
    <w:p>
      <w:pPr>
        <w:pStyle w:val="25"/>
        <w:rPr>
          <w:rFonts w:eastAsiaTheme="minorEastAsia"/>
        </w:rPr>
      </w:pPr>
      <w:r>
        <w:rPr>
          <w:rFonts w:eastAsiaTheme="minorEastAsia"/>
        </w:rPr>
        <w:t>In fact, many foundry companies today have precedents for quality problems. With the increase in raw material costs and labor costs, the only thing that these factories can control is the cost of the product. Therefore, the company is particularly important for the selection and monitoring of the partners. On the contrary, in such a market environment, if the foundry company completely does according to the materials required by the company, the cost may be increased to a large extent, and the consequence of the cost increase is that the sales price of the commodity should also be corresponding improved.</w:t>
      </w:r>
    </w:p>
    <w:p>
      <w:pPr>
        <w:pStyle w:val="25"/>
        <w:rPr>
          <w:rFonts w:eastAsiaTheme="minorEastAsia"/>
        </w:rPr>
      </w:pPr>
    </w:p>
    <w:p>
      <w:pPr>
        <w:pStyle w:val="2"/>
        <w:rPr>
          <w:rFonts w:ascii="Times New Roman" w:hAnsi="Times New Roman" w:cs="Times New Roman"/>
        </w:rPr>
      </w:pPr>
      <w:bookmarkStart w:id="16" w:name="_Toc530258861"/>
      <w:r>
        <w:rPr>
          <w:rFonts w:ascii="Times New Roman" w:hAnsi="Times New Roman" w:cs="Times New Roman"/>
        </w:rPr>
        <w:t>5.0 Recommendations</w:t>
      </w:r>
      <w:bookmarkEnd w:id="16"/>
    </w:p>
    <w:p>
      <w:pPr>
        <w:pStyle w:val="25"/>
      </w:pPr>
      <w:r>
        <w:rPr>
          <w:rStyle w:val="26"/>
        </w:rPr>
        <w:t>The company's competitive strategy is based on an understanding of the future strategies of each business unit and the enterprise level (Emerson et al 2014).</w:t>
      </w:r>
      <w:r>
        <w:rPr>
          <w:rStyle w:val="26"/>
          <w:rFonts w:hint="eastAsia"/>
        </w:rPr>
        <w:t xml:space="preserve"> </w:t>
      </w:r>
      <w:r>
        <w:rPr>
          <w:rFonts w:eastAsiaTheme="minorEastAsia"/>
        </w:rPr>
        <w:t>It isn’t good enough to be the lowest cost producer, as the company may open its doors to attacks by other low-cost producers. (James et al, 2018)</w:t>
      </w:r>
    </w:p>
    <w:p>
      <w:pPr>
        <w:pStyle w:val="25"/>
        <w:rPr>
          <w:rFonts w:eastAsiaTheme="minorEastAsia"/>
        </w:rPr>
      </w:pPr>
    </w:p>
    <w:p>
      <w:pPr>
        <w:pStyle w:val="25"/>
        <w:rPr>
          <w:rFonts w:eastAsiaTheme="minorEastAsia"/>
        </w:rPr>
      </w:pPr>
      <w:r>
        <w:rPr>
          <w:rFonts w:eastAsiaTheme="minorEastAsia"/>
        </w:rPr>
        <w:t>Therefore, when the company chooses a cost leadership strategy, the following recommendations should also be adopted:</w:t>
      </w:r>
    </w:p>
    <w:p>
      <w:pPr>
        <w:pStyle w:val="25"/>
        <w:rPr>
          <w:rFonts w:eastAsiaTheme="minorEastAsia"/>
        </w:rPr>
      </w:pPr>
      <w:r>
        <w:rPr>
          <w:rFonts w:eastAsiaTheme="minorEastAsia"/>
        </w:rPr>
        <w:t>1. Establish a very efficient logistics network.</w:t>
      </w:r>
    </w:p>
    <w:p>
      <w:pPr>
        <w:pStyle w:val="25"/>
        <w:rPr>
          <w:rFonts w:eastAsiaTheme="minorEastAsia"/>
        </w:rPr>
      </w:pPr>
      <w:r>
        <w:rPr>
          <w:rFonts w:eastAsiaTheme="minorEastAsia"/>
        </w:rPr>
        <w:t>2. Improve product availability, achieve continuous product availability and ensure faster product delivery.</w:t>
      </w:r>
    </w:p>
    <w:p>
      <w:pPr>
        <w:pStyle w:val="25"/>
        <w:rPr>
          <w:rFonts w:eastAsiaTheme="minorEastAsia"/>
        </w:rPr>
      </w:pPr>
      <w:r>
        <w:rPr>
          <w:rFonts w:eastAsiaTheme="minorEastAsia"/>
        </w:rPr>
        <w:t>3. Reduce the risk of over-purchasing to avoid seasonal product shortages and reduce end-of-season cleanups to create additional net sales.</w:t>
      </w:r>
    </w:p>
    <w:p>
      <w:pPr>
        <w:pStyle w:val="25"/>
        <w:rPr>
          <w:rFonts w:eastAsiaTheme="minorEastAsia"/>
        </w:rPr>
      </w:pPr>
      <w:r>
        <w:rPr>
          <w:rFonts w:eastAsiaTheme="minorEastAsia"/>
        </w:rPr>
        <w:t>4. Realize low-cost foundations (materials, facilities, labor) under the premise of ensuring product quality, and cut costs in a sustainable and competitive way.</w:t>
      </w:r>
    </w:p>
    <w:p>
      <w:pPr>
        <w:widowControl/>
        <w:jc w:val="left"/>
        <w:rPr>
          <w:rFonts w:ascii="Times New Roman" w:hAnsi="Times New Roman" w:cs="Times New Roman"/>
        </w:rPr>
      </w:pPr>
      <w:r>
        <w:rPr>
          <w:rFonts w:ascii="Times New Roman" w:hAnsi="Times New Roman" w:cs="Times New Roman"/>
        </w:rPr>
        <w:br w:type="page"/>
      </w:r>
    </w:p>
    <w:p>
      <w:pPr>
        <w:pStyle w:val="2"/>
        <w:rPr>
          <w:rFonts w:ascii="Times New Roman" w:hAnsi="Times New Roman" w:cs="Times New Roman"/>
        </w:rPr>
      </w:pPr>
      <w:bookmarkStart w:id="17" w:name="_Toc530258862"/>
      <w:r>
        <w:rPr>
          <w:rFonts w:ascii="Times New Roman" w:hAnsi="Times New Roman" w:cs="Times New Roman"/>
        </w:rPr>
        <w:t>References</w:t>
      </w:r>
      <w:bookmarkEnd w:id="17"/>
    </w:p>
    <w:p>
      <w:pPr>
        <w:pStyle w:val="25"/>
        <w:rPr>
          <w:rFonts w:eastAsiaTheme="minorEastAsia"/>
        </w:rPr>
      </w:pPr>
      <w:r>
        <w:rPr>
          <w:rFonts w:hint="eastAsia" w:eastAsiaTheme="minorEastAsia"/>
        </w:rPr>
        <w:t>Adidas,</w:t>
      </w:r>
      <w:r>
        <w:t xml:space="preserve"> </w:t>
      </w:r>
      <w:r>
        <w:rPr>
          <w:rFonts w:eastAsiaTheme="minorEastAsia"/>
        </w:rPr>
        <w:t xml:space="preserve">2018. Supply Chain Approach. </w:t>
      </w:r>
      <w:r>
        <w:rPr>
          <w:rFonts w:eastAsiaTheme="minorEastAsia"/>
          <w:i/>
        </w:rPr>
        <w:t>The Adidas Group.</w:t>
      </w:r>
      <w:r>
        <w:rPr>
          <w:rFonts w:eastAsiaTheme="minorEastAsia"/>
        </w:rPr>
        <w:t xml:space="preserve"> Available at:&lt;https://www.adidas-group.com/en/sustainability/compliance/supply-chain-approach//aufbau-der-beschaffungskette/&gt;</w:t>
      </w:r>
    </w:p>
    <w:p>
      <w:pPr>
        <w:pStyle w:val="25"/>
        <w:rPr>
          <w:rFonts w:eastAsiaTheme="minorEastAsia"/>
        </w:rPr>
      </w:pPr>
    </w:p>
    <w:p>
      <w:pPr>
        <w:pStyle w:val="25"/>
        <w:rPr>
          <w:rFonts w:eastAsiaTheme="minorEastAsia"/>
        </w:rPr>
      </w:pPr>
      <w:r>
        <w:t>Awadhesh Kumar, M.P. Poonia, Upender Pandel and A.S.Jethoo, 2011. FMEA: Methodology, Design and Implementation in a Foundry.</w:t>
      </w:r>
      <w:r>
        <w:rPr>
          <w:i/>
        </w:rPr>
        <w:t xml:space="preserve"> International Journal of Engineering Science and Technology.</w:t>
      </w:r>
      <w:r>
        <w:t xml:space="preserve"> Vol. 3 No. 6.</w:t>
      </w:r>
    </w:p>
    <w:p>
      <w:pPr>
        <w:pStyle w:val="25"/>
        <w:rPr>
          <w:rFonts w:eastAsiaTheme="minorEastAsia"/>
        </w:rPr>
      </w:pPr>
    </w:p>
    <w:p>
      <w:pPr>
        <w:pStyle w:val="25"/>
        <w:rPr>
          <w:rFonts w:eastAsiaTheme="minorEastAsia"/>
        </w:rPr>
      </w:pPr>
      <w:r>
        <w:rPr>
          <w:rFonts w:hint="eastAsia" w:eastAsiaTheme="minorEastAsia"/>
        </w:rPr>
        <w:t>Dara</w:t>
      </w:r>
      <w:r>
        <w:rPr>
          <w:rFonts w:eastAsiaTheme="minorEastAsia"/>
        </w:rPr>
        <w:t xml:space="preserve"> O’Rourke, 2003.</w:t>
      </w:r>
      <w:r>
        <w:t xml:space="preserve"> Outsourcing Regulation: Analyzing Nongovernmental Systems of Labor Standards and Monitoring. Policy Studies Journal. 224(25) P19-21</w:t>
      </w:r>
    </w:p>
    <w:p>
      <w:pPr>
        <w:pStyle w:val="25"/>
      </w:pPr>
    </w:p>
    <w:p>
      <w:pPr>
        <w:pStyle w:val="25"/>
        <w:rPr>
          <w:rFonts w:eastAsiaTheme="minorEastAsia"/>
        </w:rPr>
      </w:pPr>
      <w:r>
        <w:t xml:space="preserve">Emerson Wagner Mainardes, João J. Ferreira </w:t>
      </w:r>
      <w:r>
        <w:rPr>
          <w:rFonts w:eastAsiaTheme="minorEastAsia"/>
        </w:rPr>
        <w:t>and</w:t>
      </w:r>
      <w:r>
        <w:t xml:space="preserve"> Mário L. Raposo, 2014. Strategy and Strategic Management Concepts: Are They Recognized by Management Students? </w:t>
      </w:r>
      <w:r>
        <w:rPr>
          <w:i/>
        </w:rPr>
        <w:t>Business Administration and Management</w:t>
      </w:r>
      <w:r>
        <w:t>. 17(1) P9</w:t>
      </w:r>
    </w:p>
    <w:p>
      <w:pPr>
        <w:pStyle w:val="25"/>
        <w:rPr>
          <w:rFonts w:eastAsiaTheme="minorEastAsia"/>
        </w:rPr>
      </w:pPr>
    </w:p>
    <w:p>
      <w:pPr>
        <w:pStyle w:val="25"/>
        <w:rPr>
          <w:rFonts w:eastAsia="宋体"/>
        </w:rPr>
      </w:pPr>
      <w:r>
        <w:rPr>
          <w:rFonts w:hint="eastAsia" w:eastAsiaTheme="minorEastAsia"/>
        </w:rPr>
        <w:t>Ga</w:t>
      </w:r>
      <w:r>
        <w:rPr>
          <w:rFonts w:eastAsiaTheme="minorEastAsia"/>
        </w:rPr>
        <w:t xml:space="preserve">vielatos and Aristogeition K, 2007. </w:t>
      </w:r>
      <w:r>
        <w:rPr>
          <w:rFonts w:eastAsia="宋体"/>
        </w:rPr>
        <w:t xml:space="preserve">The Role of the Logistics Service Providers in the Improvement of the Nordic Logistics Networks. </w:t>
      </w:r>
    </w:p>
    <w:p>
      <w:pPr>
        <w:pStyle w:val="25"/>
        <w:rPr>
          <w:rFonts w:eastAsia="宋体"/>
        </w:rPr>
      </w:pPr>
    </w:p>
    <w:p>
      <w:pPr>
        <w:pStyle w:val="25"/>
        <w:rPr>
          <w:rFonts w:eastAsia="宋体"/>
        </w:rPr>
      </w:pPr>
      <w:r>
        <w:rPr>
          <w:rFonts w:eastAsiaTheme="minorEastAsia"/>
        </w:rPr>
        <w:t>Giam Ong,2015. Logistics Adidas. P7</w:t>
      </w:r>
    </w:p>
    <w:p>
      <w:pPr>
        <w:pStyle w:val="25"/>
        <w:rPr>
          <w:rFonts w:eastAsia="宋体"/>
        </w:rPr>
      </w:pPr>
    </w:p>
    <w:p>
      <w:pPr>
        <w:pStyle w:val="25"/>
        <w:rPr>
          <w:rFonts w:eastAsia="宋体"/>
        </w:rPr>
      </w:pPr>
      <w:r>
        <w:rPr>
          <w:rFonts w:hint="eastAsia" w:eastAsia="宋体"/>
        </w:rPr>
        <w:t>James</w:t>
      </w:r>
      <w:r>
        <w:rPr>
          <w:rFonts w:eastAsia="宋体"/>
        </w:rPr>
        <w:t xml:space="preserve"> Manktelow and Keith Jacson, 2018. Porter’s Generic Strategies. </w:t>
      </w:r>
    </w:p>
    <w:p>
      <w:pPr>
        <w:pStyle w:val="25"/>
        <w:rPr>
          <w:rFonts w:eastAsia="宋体"/>
        </w:rPr>
      </w:pPr>
    </w:p>
    <w:p>
      <w:pPr>
        <w:pStyle w:val="25"/>
        <w:rPr>
          <w:rFonts w:ascii="Helvetica" w:hAnsi="Helvetica" w:eastAsia="宋体" w:cs="宋体"/>
        </w:rPr>
      </w:pPr>
      <w:r>
        <w:rPr>
          <w:rFonts w:eastAsia="宋体"/>
        </w:rPr>
        <w:t>JörgHinrichs B</w:t>
      </w:r>
      <w:r>
        <w:rPr>
          <w:rFonts w:hint="eastAsia" w:eastAsia="宋体"/>
        </w:rPr>
        <w:t>，</w:t>
      </w:r>
      <w:r>
        <w:rPr>
          <w:rFonts w:eastAsia="宋体"/>
        </w:rPr>
        <w:t xml:space="preserve">Hellingrath J </w:t>
      </w:r>
      <w:r>
        <w:rPr>
          <w:rFonts w:hint="eastAsia" w:eastAsia="宋体"/>
        </w:rPr>
        <w:t>and</w:t>
      </w:r>
      <w:r>
        <w:rPr>
          <w:rFonts w:eastAsia="宋体"/>
        </w:rPr>
        <w:t xml:space="preserve"> Rittscher F, 2014. Disturbance management in Large Logistics Networks.</w:t>
      </w:r>
      <w:r>
        <w:rPr>
          <w:rFonts w:eastAsia="宋体"/>
          <w:i/>
        </w:rPr>
        <w:t xml:space="preserve"> I</w:t>
      </w:r>
      <w:r>
        <w:rPr>
          <w:rFonts w:eastAsia="宋体"/>
          <w:i/>
          <w:spacing w:val="-15"/>
        </w:rPr>
        <w:t>ML-</w:t>
      </w:r>
      <w:r>
        <w:rPr>
          <w:rFonts w:eastAsia="宋体"/>
          <w:i/>
        </w:rPr>
        <w:t xml:space="preserve">Institute for Material and Logistics. </w:t>
      </w:r>
      <w:r>
        <w:rPr>
          <w:rFonts w:eastAsia="宋体"/>
        </w:rPr>
        <w:t>59(7) P7-9</w:t>
      </w:r>
    </w:p>
    <w:p>
      <w:pPr>
        <w:pStyle w:val="25"/>
        <w:rPr>
          <w:rFonts w:eastAsia="宋体"/>
        </w:rPr>
      </w:pPr>
    </w:p>
    <w:p>
      <w:pPr>
        <w:pStyle w:val="25"/>
        <w:rPr>
          <w:i/>
        </w:rPr>
      </w:pPr>
      <w:r>
        <w:rPr>
          <w:rFonts w:eastAsiaTheme="minorEastAsia"/>
        </w:rPr>
        <w:t>Keven Stewart,2018.</w:t>
      </w:r>
      <w:r>
        <w:t xml:space="preserve"> SWOT Analysis and Company Tech Intelligence Report. </w:t>
      </w:r>
      <w:r>
        <w:rPr>
          <w:i/>
        </w:rPr>
        <w:t>Adidas AG Company Profile</w:t>
      </w:r>
    </w:p>
    <w:p>
      <w:pPr>
        <w:pStyle w:val="25"/>
      </w:pPr>
      <w:r>
        <w:rPr>
          <w:shd w:val="clear" w:color="auto" w:fill="F1F1F1"/>
        </w:rPr>
        <w:br w:type="textWrapping"/>
      </w:r>
      <w:r>
        <w:rPr>
          <w:rStyle w:val="31"/>
        </w:rPr>
        <w:t>Lambert DM, Stock JR and Ellram, LM, 2006. Fundamentals of Logistics Management, European Edition,</w:t>
      </w:r>
      <w:r>
        <w:rPr>
          <w:rStyle w:val="31"/>
          <w:i/>
        </w:rPr>
        <w:t xml:space="preserve"> McGraw Hill.</w:t>
      </w:r>
    </w:p>
    <w:p>
      <w:pPr>
        <w:pStyle w:val="25"/>
        <w:rPr>
          <w:rFonts w:eastAsiaTheme="minorEastAsia"/>
        </w:rPr>
      </w:pPr>
    </w:p>
    <w:p>
      <w:pPr>
        <w:pStyle w:val="25"/>
        <w:rPr>
          <w:i/>
        </w:rPr>
      </w:pPr>
      <w:r>
        <w:rPr>
          <w:rFonts w:hint="eastAsia" w:eastAsiaTheme="minorEastAsia"/>
        </w:rPr>
        <w:t>L</w:t>
      </w:r>
      <w:r>
        <w:rPr>
          <w:rFonts w:eastAsiaTheme="minorEastAsia"/>
        </w:rPr>
        <w:t xml:space="preserve">ynch Clifford, 2000. </w:t>
      </w:r>
      <w:r>
        <w:t xml:space="preserve">Logistics Outsourcing: A Management Guide. </w:t>
      </w:r>
      <w:r>
        <w:rPr>
          <w:i/>
        </w:rPr>
        <w:t>Transportation Research Board.</w:t>
      </w:r>
    </w:p>
    <w:p>
      <w:pPr>
        <w:pStyle w:val="25"/>
        <w:rPr>
          <w:rFonts w:eastAsiaTheme="minorEastAsia"/>
        </w:rPr>
      </w:pPr>
    </w:p>
    <w:p>
      <w:pPr>
        <w:pStyle w:val="25"/>
        <w:rPr>
          <w:lang w:val="en"/>
        </w:rPr>
      </w:pPr>
      <w:r>
        <w:rPr>
          <w:rFonts w:eastAsia="宋体"/>
        </w:rPr>
        <w:t xml:space="preserve">Orges Ormanidhi, Omer Stringa, 2008. </w:t>
      </w:r>
      <w:r>
        <w:rPr>
          <w:lang w:val="en"/>
        </w:rPr>
        <w:t xml:space="preserve">Porter's Model of Generic Competitive Strategies. </w:t>
      </w:r>
      <w:r>
        <w:rPr>
          <w:i/>
          <w:lang w:val="en"/>
        </w:rPr>
        <w:t>Business Economics</w:t>
      </w:r>
      <w:r>
        <w:rPr>
          <w:lang w:val="en"/>
        </w:rPr>
        <w:t>.43(3) P55-64</w:t>
      </w:r>
    </w:p>
    <w:p>
      <w:pPr>
        <w:pStyle w:val="25"/>
        <w:rPr>
          <w:rFonts w:eastAsia="宋体"/>
          <w:lang w:val="en"/>
        </w:rPr>
      </w:pPr>
    </w:p>
    <w:p>
      <w:pPr>
        <w:pStyle w:val="25"/>
        <w:rPr>
          <w:rFonts w:eastAsia="宋体"/>
          <w:i/>
          <w:lang w:val="en"/>
        </w:rPr>
      </w:pPr>
      <w:r>
        <w:rPr>
          <w:rFonts w:ascii="Arial" w:hAnsi="Arial" w:cs="Arial"/>
          <w:sz w:val="21"/>
          <w:szCs w:val="21"/>
          <w:shd w:val="clear" w:color="auto" w:fill="FFFFFF"/>
        </w:rPr>
        <w:t xml:space="preserve">Raphael Amit, 1986. Cost Leadership Strategy and Experience Curves. </w:t>
      </w:r>
      <w:r>
        <w:rPr>
          <w:rFonts w:ascii="Arial" w:hAnsi="Arial" w:cs="Arial"/>
          <w:i/>
          <w:sz w:val="21"/>
          <w:szCs w:val="21"/>
          <w:shd w:val="clear" w:color="auto" w:fill="FFFFFF"/>
        </w:rPr>
        <w:t>Strategy Management Journal.</w:t>
      </w:r>
    </w:p>
    <w:p>
      <w:pPr>
        <w:pStyle w:val="25"/>
        <w:rPr>
          <w:rFonts w:eastAsia="宋体"/>
          <w:lang w:val="en"/>
        </w:rPr>
      </w:pPr>
    </w:p>
    <w:p>
      <w:pPr>
        <w:pStyle w:val="25"/>
        <w:rPr>
          <w:i/>
        </w:rPr>
      </w:pPr>
      <w:r>
        <w:t xml:space="preserve">Robert D. Buzzell, Bradley T. Gale, and Ralph G.M. Sultan,1975. Market Share-a Key to Profitability. </w:t>
      </w:r>
      <w:r>
        <w:rPr>
          <w:i/>
        </w:rPr>
        <w:t>Harvard business review.</w:t>
      </w:r>
    </w:p>
    <w:p>
      <w:pPr>
        <w:pStyle w:val="25"/>
        <w:rPr>
          <w:rFonts w:eastAsiaTheme="minorEastAsia"/>
        </w:rPr>
      </w:pPr>
    </w:p>
    <w:p>
      <w:pPr>
        <w:pStyle w:val="25"/>
        <w:rPr>
          <w:rFonts w:eastAsiaTheme="minorEastAsia"/>
        </w:rPr>
      </w:pPr>
      <w:r>
        <w:rPr>
          <w:rFonts w:eastAsiaTheme="minorEastAsia"/>
        </w:rPr>
        <w:t xml:space="preserve">Sarah Tagliapietra, </w:t>
      </w:r>
      <w:r>
        <w:t xml:space="preserve">Peter Platan, Ng Seow Li and Ralph Schneider, 1999. Gaining Competitive Advantage Through Outsourcing. </w:t>
      </w:r>
      <w:r>
        <w:rPr>
          <w:i/>
        </w:rPr>
        <w:t>Business Logistics</w:t>
      </w:r>
      <w:r>
        <w:t>. P3-4</w:t>
      </w:r>
    </w:p>
    <w:p>
      <w:pPr>
        <w:pStyle w:val="25"/>
        <w:rPr>
          <w:rFonts w:eastAsiaTheme="minorEastAsia"/>
        </w:rPr>
      </w:pPr>
    </w:p>
    <w:p>
      <w:pPr>
        <w:pStyle w:val="25"/>
      </w:pPr>
      <w:r>
        <w:rPr>
          <w:rFonts w:hint="eastAsia" w:eastAsiaTheme="minorEastAsia"/>
        </w:rPr>
        <w:t>Ste</w:t>
      </w:r>
      <w:r>
        <w:rPr>
          <w:rFonts w:eastAsiaTheme="minorEastAsia"/>
        </w:rPr>
        <w:t xml:space="preserve">fan Nedelea and Laura Adriana Puan, 2008. </w:t>
      </w:r>
      <w:r>
        <w:t xml:space="preserve">Knowledge Sharing in Logistic Networks. </w:t>
      </w:r>
    </w:p>
    <w:p>
      <w:pPr>
        <w:pStyle w:val="25"/>
        <w:rPr>
          <w:rFonts w:eastAsiaTheme="minorEastAsia"/>
        </w:rPr>
      </w:pPr>
    </w:p>
    <w:p>
      <w:pPr>
        <w:pStyle w:val="25"/>
        <w:rPr>
          <w:rFonts w:eastAsiaTheme="minorEastAsia"/>
        </w:rPr>
      </w:pPr>
      <w:r>
        <w:t xml:space="preserve">Surbhi S, 2015. </w:t>
      </w:r>
      <w:r>
        <w:rPr>
          <w:rFonts w:eastAsiaTheme="minorEastAsia"/>
        </w:rPr>
        <w:t>Difference Between Amalgamation and Absorption</w:t>
      </w:r>
    </w:p>
    <w:p>
      <w:pPr>
        <w:pStyle w:val="25"/>
        <w:rPr>
          <w:rFonts w:eastAsiaTheme="minorEastAsia"/>
        </w:rPr>
      </w:pPr>
    </w:p>
    <w:p>
      <w:pPr>
        <w:pStyle w:val="25"/>
        <w:rPr>
          <w:rFonts w:eastAsiaTheme="minorEastAsia"/>
        </w:rPr>
      </w:pPr>
      <w:r>
        <w:rPr>
          <w:rFonts w:eastAsiaTheme="minorEastAsia"/>
        </w:rPr>
        <w:t>The Adidas Group,2018. PROFIRE. Available at:&lt;</w:t>
      </w:r>
      <w:r>
        <w:t xml:space="preserve"> </w:t>
      </w:r>
      <w:r>
        <w:rPr>
          <w:rFonts w:eastAsiaTheme="minorEastAsia"/>
        </w:rPr>
        <w:t>http://www.Adidas-group.com/en/group/profile/&gt;</w:t>
      </w:r>
    </w:p>
    <w:p>
      <w:pPr>
        <w:pStyle w:val="25"/>
        <w:rPr>
          <w:rFonts w:eastAsiaTheme="minorEastAsia"/>
        </w:rPr>
      </w:pPr>
    </w:p>
    <w:p>
      <w:pPr>
        <w:pStyle w:val="25"/>
        <w:rPr>
          <w:rFonts w:eastAsiaTheme="minorEastAsia"/>
        </w:rPr>
      </w:pPr>
      <w:r>
        <w:rPr>
          <w:rFonts w:eastAsiaTheme="minorEastAsia"/>
        </w:rPr>
        <w:t xml:space="preserve">UPS,2018. Agility for Export Growth–Speeding up Supply Chains. </w:t>
      </w:r>
      <w:r>
        <w:rPr>
          <w:rFonts w:eastAsiaTheme="minorEastAsia"/>
          <w:i/>
        </w:rPr>
        <w:t>UPS United Problem Solvers</w:t>
      </w:r>
      <w:r>
        <w:rPr>
          <w:rFonts w:eastAsiaTheme="minorEastAsia"/>
        </w:rPr>
        <w:t>. Available at &lt;</w:t>
      </w:r>
      <w:r>
        <w:rPr>
          <w:rFonts w:hint="eastAsia" w:eastAsiaTheme="minorEastAsia"/>
        </w:rPr>
        <w:t xml:space="preserve"> http://solversgb.ups.com/speeding-up-supply-chains/</w:t>
      </w:r>
      <w:r>
        <w:rPr>
          <w:rFonts w:eastAsiaTheme="minorEastAsia"/>
        </w:rPr>
        <w:t>&gt;</w:t>
      </w:r>
    </w:p>
    <w:p>
      <w:pPr>
        <w:pStyle w:val="25"/>
        <w:rPr>
          <w:rFonts w:eastAsiaTheme="minorEastAsia"/>
        </w:rPr>
      </w:pPr>
    </w:p>
    <w:p>
      <w:pPr>
        <w:pStyle w:val="25"/>
        <w:rPr>
          <w:rFonts w:eastAsiaTheme="minorEastAsia"/>
        </w:rPr>
      </w:pPr>
      <w:r>
        <w:rPr>
          <w:rFonts w:hint="eastAsia" w:eastAsiaTheme="minorEastAsia"/>
        </w:rPr>
        <w:t xml:space="preserve">Vasant </w:t>
      </w:r>
      <w:r>
        <w:rPr>
          <w:rFonts w:eastAsiaTheme="minorEastAsia"/>
        </w:rPr>
        <w:t xml:space="preserve">Kothari, 2013. Sourcing Practices of Adidas. </w:t>
      </w:r>
      <w:r>
        <w:rPr>
          <w:rFonts w:eastAsiaTheme="minorEastAsia"/>
          <w:i/>
        </w:rPr>
        <w:t xml:space="preserve">Apparel views. </w:t>
      </w:r>
      <w:r>
        <w:rPr>
          <w:rFonts w:eastAsiaTheme="minorEastAsia"/>
        </w:rPr>
        <w:t>P34</w:t>
      </w:r>
    </w:p>
    <w:p>
      <w:pPr>
        <w:pStyle w:val="25"/>
        <w:rPr>
          <w:rFonts w:eastAsiaTheme="minorEastAsia"/>
        </w:rPr>
      </w:pPr>
    </w:p>
    <w:p>
      <w:pPr>
        <w:pStyle w:val="25"/>
        <w:rPr>
          <w:rFonts w:eastAsiaTheme="minorEastAsia"/>
        </w:rPr>
      </w:pPr>
      <w:r>
        <w:rPr>
          <w:rFonts w:hint="eastAsia" w:eastAsiaTheme="minorEastAsia"/>
        </w:rPr>
        <w:t xml:space="preserve">Yang Zhao, </w:t>
      </w:r>
      <w:r>
        <w:rPr>
          <w:rFonts w:eastAsiaTheme="minorEastAsia"/>
        </w:rPr>
        <w:t>2009. Supply Chain Strategy in the Kingdom of Adidas.</w:t>
      </w:r>
      <w:r>
        <w:rPr>
          <w:i/>
        </w:rPr>
        <w:t xml:space="preserve"> </w:t>
      </w:r>
      <w:r>
        <w:rPr>
          <w:rFonts w:eastAsiaTheme="minorEastAsia"/>
          <w:i/>
        </w:rPr>
        <w:t>Petrochemical Petroleum Materials Procurement.</w:t>
      </w:r>
      <w:r>
        <w:rPr>
          <w:rFonts w:eastAsiaTheme="minorEastAsia"/>
        </w:rPr>
        <w:t xml:space="preserve"> 2009(5) P74-77</w:t>
      </w: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Helvetica">
    <w:altName w:val="Arial"/>
    <w:panose1 w:val="020B0604020202020204"/>
    <w:charset w:val="00"/>
    <w:family w:val="swiss"/>
    <w:pitch w:val="default"/>
    <w:sig w:usb0="00000000" w:usb1="00000000" w:usb2="00000009" w:usb3="00000000" w:csb0="000001FF" w:csb1="00000000"/>
  </w:font>
  <w:font w:name="Arial">
    <w:panose1 w:val="020B0604020202020204"/>
    <w:charset w:val="00"/>
    <w:family w:val="swiss"/>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14585849"/>
      <w:docPartObj>
        <w:docPartGallery w:val="AutoText"/>
      </w:docPartObj>
    </w:sdtPr>
    <w:sdtContent>
      <w:p>
        <w:pPr>
          <w:pStyle w:val="7"/>
          <w:jc w:val="center"/>
        </w:pPr>
        <w:r>
          <w:fldChar w:fldCharType="begin"/>
        </w:r>
        <w:r>
          <w:instrText xml:space="preserve">PAGE   \* MERGEFORMAT</w:instrText>
        </w:r>
        <w:r>
          <w:fldChar w:fldCharType="separate"/>
        </w:r>
        <w:r>
          <w:rPr>
            <w:lang w:val="zh-CN"/>
          </w:rPr>
          <w:t>4</w:t>
        </w:r>
        <w:r>
          <w:fldChar w:fldCharType="end"/>
        </w:r>
      </w:p>
    </w:sdtContent>
  </w:sdt>
  <w:p>
    <w:pPr>
      <w:pStyle w:val="7"/>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26507F"/>
    <w:multiLevelType w:val="multilevel"/>
    <w:tmpl w:val="6026507F"/>
    <w:lvl w:ilvl="0" w:tentative="0">
      <w:start w:val="1"/>
      <w:numFmt w:val="decimal"/>
      <w:pStyle w:val="17"/>
      <w:lvlText w:val="%1.0"/>
      <w:lvlJc w:val="left"/>
      <w:pPr>
        <w:ind w:left="420" w:hanging="420"/>
      </w:pPr>
      <w:rPr>
        <w:rFonts w:hint="default"/>
      </w:rPr>
    </w:lvl>
    <w:lvl w:ilvl="1" w:tentative="0">
      <w:start w:val="1"/>
      <w:numFmt w:val="decimal"/>
      <w:pStyle w:val="18"/>
      <w:lvlText w:val="%1.%2"/>
      <w:lvlJc w:val="left"/>
      <w:pPr>
        <w:ind w:left="840" w:hanging="420"/>
      </w:pPr>
      <w:rPr>
        <w:rFonts w:hint="default"/>
      </w:rPr>
    </w:lvl>
    <w:lvl w:ilvl="2" w:tentative="0">
      <w:start w:val="1"/>
      <w:numFmt w:val="decimal"/>
      <w:lvlText w:val="%1.%2.%3"/>
      <w:lvlJc w:val="left"/>
      <w:pPr>
        <w:ind w:left="1560" w:hanging="720"/>
      </w:pPr>
      <w:rPr>
        <w:rFonts w:hint="default"/>
      </w:rPr>
    </w:lvl>
    <w:lvl w:ilvl="3" w:tentative="0">
      <w:start w:val="1"/>
      <w:numFmt w:val="decimal"/>
      <w:lvlText w:val="%1.%2.%3.%4"/>
      <w:lvlJc w:val="left"/>
      <w:pPr>
        <w:ind w:left="1980" w:hanging="720"/>
      </w:pPr>
      <w:rPr>
        <w:rFonts w:hint="default"/>
      </w:rPr>
    </w:lvl>
    <w:lvl w:ilvl="4" w:tentative="0">
      <w:start w:val="1"/>
      <w:numFmt w:val="decimal"/>
      <w:lvlText w:val="%1.%2.%3.%4.%5"/>
      <w:lvlJc w:val="left"/>
      <w:pPr>
        <w:ind w:left="2760" w:hanging="1080"/>
      </w:pPr>
      <w:rPr>
        <w:rFonts w:hint="default"/>
      </w:rPr>
    </w:lvl>
    <w:lvl w:ilvl="5" w:tentative="0">
      <w:start w:val="1"/>
      <w:numFmt w:val="decimal"/>
      <w:lvlText w:val="%1.%2.%3.%4.%5.%6"/>
      <w:lvlJc w:val="left"/>
      <w:pPr>
        <w:ind w:left="3180" w:hanging="1080"/>
      </w:pPr>
      <w:rPr>
        <w:rFonts w:hint="default"/>
      </w:rPr>
    </w:lvl>
    <w:lvl w:ilvl="6" w:tentative="0">
      <w:start w:val="1"/>
      <w:numFmt w:val="decimal"/>
      <w:lvlText w:val="%1.%2.%3.%4.%5.%6.%7"/>
      <w:lvlJc w:val="left"/>
      <w:pPr>
        <w:ind w:left="3960" w:hanging="1440"/>
      </w:pPr>
      <w:rPr>
        <w:rFonts w:hint="default"/>
      </w:rPr>
    </w:lvl>
    <w:lvl w:ilvl="7" w:tentative="0">
      <w:start w:val="1"/>
      <w:numFmt w:val="decimal"/>
      <w:lvlText w:val="%1.%2.%3.%4.%5.%6.%7.%8"/>
      <w:lvlJc w:val="left"/>
      <w:pPr>
        <w:ind w:left="4380" w:hanging="1440"/>
      </w:pPr>
      <w:rPr>
        <w:rFonts w:hint="default"/>
      </w:rPr>
    </w:lvl>
    <w:lvl w:ilvl="8" w:tentative="0">
      <w:start w:val="1"/>
      <w:numFmt w:val="decimal"/>
      <w:lvlText w:val="%1.%2.%3.%4.%5.%6.%7.%8.%9"/>
      <w:lvlJc w:val="left"/>
      <w:pPr>
        <w:ind w:left="5160" w:hanging="1800"/>
      </w:pPr>
      <w:rPr>
        <w:rFonts w:hint="default"/>
      </w:rPr>
    </w:lvl>
  </w:abstractNum>
  <w:abstractNum w:abstractNumId="1">
    <w:nsid w:val="6D4D703F"/>
    <w:multiLevelType w:val="multilevel"/>
    <w:tmpl w:val="6D4D703F"/>
    <w:lvl w:ilvl="0" w:tentative="0">
      <w:start w:val="1"/>
      <w:numFmt w:val="decimal"/>
      <w:lvlText w:val="%1.0"/>
      <w:lvlJc w:val="left"/>
      <w:pPr>
        <w:ind w:left="390" w:hanging="390"/>
      </w:pPr>
      <w:rPr>
        <w:rFonts w:hint="default"/>
      </w:rPr>
    </w:lvl>
    <w:lvl w:ilvl="1" w:tentative="0">
      <w:start w:val="1"/>
      <w:numFmt w:val="decimal"/>
      <w:lvlText w:val="%1.%2"/>
      <w:lvlJc w:val="left"/>
      <w:pPr>
        <w:ind w:left="810" w:hanging="390"/>
      </w:pPr>
      <w:rPr>
        <w:rFonts w:hint="default"/>
      </w:rPr>
    </w:lvl>
    <w:lvl w:ilvl="2" w:tentative="0">
      <w:start w:val="1"/>
      <w:numFmt w:val="decimal"/>
      <w:lvlText w:val="%1.%2.%3"/>
      <w:lvlJc w:val="left"/>
      <w:pPr>
        <w:ind w:left="1560" w:hanging="720"/>
      </w:pPr>
      <w:rPr>
        <w:rFonts w:hint="default"/>
      </w:rPr>
    </w:lvl>
    <w:lvl w:ilvl="3" w:tentative="0">
      <w:start w:val="1"/>
      <w:numFmt w:val="decimal"/>
      <w:lvlText w:val="%1.%2.%3.%4"/>
      <w:lvlJc w:val="left"/>
      <w:pPr>
        <w:ind w:left="1980" w:hanging="720"/>
      </w:pPr>
      <w:rPr>
        <w:rFonts w:hint="default"/>
      </w:rPr>
    </w:lvl>
    <w:lvl w:ilvl="4" w:tentative="0">
      <w:start w:val="1"/>
      <w:numFmt w:val="decimal"/>
      <w:lvlText w:val="%1.%2.%3.%4.%5"/>
      <w:lvlJc w:val="left"/>
      <w:pPr>
        <w:ind w:left="2760" w:hanging="1080"/>
      </w:pPr>
      <w:rPr>
        <w:rFonts w:hint="default"/>
      </w:rPr>
    </w:lvl>
    <w:lvl w:ilvl="5" w:tentative="0">
      <w:start w:val="1"/>
      <w:numFmt w:val="decimal"/>
      <w:lvlText w:val="%1.%2.%3.%4.%5.%6"/>
      <w:lvlJc w:val="left"/>
      <w:pPr>
        <w:ind w:left="3180" w:hanging="1080"/>
      </w:pPr>
      <w:rPr>
        <w:rFonts w:hint="default"/>
      </w:rPr>
    </w:lvl>
    <w:lvl w:ilvl="6" w:tentative="0">
      <w:start w:val="1"/>
      <w:numFmt w:val="decimal"/>
      <w:lvlText w:val="%1.%2.%3.%4.%5.%6.%7"/>
      <w:lvlJc w:val="left"/>
      <w:pPr>
        <w:ind w:left="3960" w:hanging="1440"/>
      </w:pPr>
      <w:rPr>
        <w:rFonts w:hint="default"/>
      </w:rPr>
    </w:lvl>
    <w:lvl w:ilvl="7" w:tentative="0">
      <w:start w:val="1"/>
      <w:numFmt w:val="decimal"/>
      <w:lvlText w:val="%1.%2.%3.%4.%5.%6.%7.%8"/>
      <w:lvlJc w:val="left"/>
      <w:pPr>
        <w:ind w:left="4380" w:hanging="1440"/>
      </w:pPr>
      <w:rPr>
        <w:rFonts w:hint="default"/>
      </w:rPr>
    </w:lvl>
    <w:lvl w:ilvl="8" w:tentative="0">
      <w:start w:val="1"/>
      <w:numFmt w:val="decimal"/>
      <w:lvlText w:val="%1.%2.%3.%4.%5.%6.%7.%8.%9"/>
      <w:lvlJc w:val="left"/>
      <w:pPr>
        <w:ind w:left="5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1F72"/>
    <w:rsid w:val="00010477"/>
    <w:rsid w:val="00010DE8"/>
    <w:rsid w:val="00021A49"/>
    <w:rsid w:val="00031F13"/>
    <w:rsid w:val="00040773"/>
    <w:rsid w:val="00040E06"/>
    <w:rsid w:val="00050420"/>
    <w:rsid w:val="00062392"/>
    <w:rsid w:val="00070271"/>
    <w:rsid w:val="00070ED3"/>
    <w:rsid w:val="00071662"/>
    <w:rsid w:val="000876DB"/>
    <w:rsid w:val="00090586"/>
    <w:rsid w:val="000A231B"/>
    <w:rsid w:val="000B6A17"/>
    <w:rsid w:val="000C1EF0"/>
    <w:rsid w:val="000C3F37"/>
    <w:rsid w:val="000D5EEB"/>
    <w:rsid w:val="00105648"/>
    <w:rsid w:val="00120A97"/>
    <w:rsid w:val="001439D2"/>
    <w:rsid w:val="001479CE"/>
    <w:rsid w:val="00150A83"/>
    <w:rsid w:val="00156761"/>
    <w:rsid w:val="001573A0"/>
    <w:rsid w:val="001668F1"/>
    <w:rsid w:val="00196228"/>
    <w:rsid w:val="001B48F1"/>
    <w:rsid w:val="001B7C04"/>
    <w:rsid w:val="001D60DA"/>
    <w:rsid w:val="001E4A64"/>
    <w:rsid w:val="001E6BAB"/>
    <w:rsid w:val="0020255A"/>
    <w:rsid w:val="00204A44"/>
    <w:rsid w:val="002121BF"/>
    <w:rsid w:val="002168BA"/>
    <w:rsid w:val="00221D6A"/>
    <w:rsid w:val="002338D7"/>
    <w:rsid w:val="00233BF0"/>
    <w:rsid w:val="00244EC0"/>
    <w:rsid w:val="00246420"/>
    <w:rsid w:val="00282840"/>
    <w:rsid w:val="00286A67"/>
    <w:rsid w:val="002A015D"/>
    <w:rsid w:val="002A0726"/>
    <w:rsid w:val="002A45DF"/>
    <w:rsid w:val="002B7EDB"/>
    <w:rsid w:val="002D4D0C"/>
    <w:rsid w:val="002E42AA"/>
    <w:rsid w:val="002E46E2"/>
    <w:rsid w:val="002E7418"/>
    <w:rsid w:val="00320F69"/>
    <w:rsid w:val="003231F8"/>
    <w:rsid w:val="00327633"/>
    <w:rsid w:val="003404E5"/>
    <w:rsid w:val="003459EC"/>
    <w:rsid w:val="003555E4"/>
    <w:rsid w:val="0035612B"/>
    <w:rsid w:val="00360E08"/>
    <w:rsid w:val="00363992"/>
    <w:rsid w:val="00363E6E"/>
    <w:rsid w:val="0039310B"/>
    <w:rsid w:val="0039325D"/>
    <w:rsid w:val="003A0AB6"/>
    <w:rsid w:val="003C4C0A"/>
    <w:rsid w:val="003D4F14"/>
    <w:rsid w:val="004033CD"/>
    <w:rsid w:val="004034E8"/>
    <w:rsid w:val="0040415B"/>
    <w:rsid w:val="004055C9"/>
    <w:rsid w:val="00407D06"/>
    <w:rsid w:val="004229A2"/>
    <w:rsid w:val="00431F27"/>
    <w:rsid w:val="00467EC7"/>
    <w:rsid w:val="00482B20"/>
    <w:rsid w:val="00496EA3"/>
    <w:rsid w:val="004A47BE"/>
    <w:rsid w:val="004B509B"/>
    <w:rsid w:val="004B6204"/>
    <w:rsid w:val="004C1B18"/>
    <w:rsid w:val="004D0A5A"/>
    <w:rsid w:val="004F1453"/>
    <w:rsid w:val="004F2134"/>
    <w:rsid w:val="004F2964"/>
    <w:rsid w:val="004F3E9A"/>
    <w:rsid w:val="004F481A"/>
    <w:rsid w:val="004F783C"/>
    <w:rsid w:val="00506699"/>
    <w:rsid w:val="00506A91"/>
    <w:rsid w:val="0051350B"/>
    <w:rsid w:val="005454D2"/>
    <w:rsid w:val="005A1E84"/>
    <w:rsid w:val="005B37B5"/>
    <w:rsid w:val="005B6DF8"/>
    <w:rsid w:val="005C2D4C"/>
    <w:rsid w:val="005C71AE"/>
    <w:rsid w:val="005E7C2A"/>
    <w:rsid w:val="005F69A2"/>
    <w:rsid w:val="005F7A14"/>
    <w:rsid w:val="006020DF"/>
    <w:rsid w:val="006208D0"/>
    <w:rsid w:val="00623504"/>
    <w:rsid w:val="00625AA9"/>
    <w:rsid w:val="00631827"/>
    <w:rsid w:val="00664623"/>
    <w:rsid w:val="00666FDC"/>
    <w:rsid w:val="00676F3D"/>
    <w:rsid w:val="00695F24"/>
    <w:rsid w:val="006A4000"/>
    <w:rsid w:val="006B4DA2"/>
    <w:rsid w:val="006B5644"/>
    <w:rsid w:val="006C09F5"/>
    <w:rsid w:val="006D14CF"/>
    <w:rsid w:val="006D5B20"/>
    <w:rsid w:val="006E0147"/>
    <w:rsid w:val="006F0AD2"/>
    <w:rsid w:val="006F130C"/>
    <w:rsid w:val="00700E14"/>
    <w:rsid w:val="007153B4"/>
    <w:rsid w:val="0074578F"/>
    <w:rsid w:val="007531CA"/>
    <w:rsid w:val="00754C51"/>
    <w:rsid w:val="0076531D"/>
    <w:rsid w:val="007815E4"/>
    <w:rsid w:val="007822E9"/>
    <w:rsid w:val="00784D91"/>
    <w:rsid w:val="00785DC1"/>
    <w:rsid w:val="00793675"/>
    <w:rsid w:val="0079642E"/>
    <w:rsid w:val="007A6C62"/>
    <w:rsid w:val="007B2F38"/>
    <w:rsid w:val="007B4D7A"/>
    <w:rsid w:val="007C3272"/>
    <w:rsid w:val="007D2534"/>
    <w:rsid w:val="007E2882"/>
    <w:rsid w:val="007F669A"/>
    <w:rsid w:val="007F73E7"/>
    <w:rsid w:val="00822013"/>
    <w:rsid w:val="00825173"/>
    <w:rsid w:val="008365AF"/>
    <w:rsid w:val="00840B43"/>
    <w:rsid w:val="00843B65"/>
    <w:rsid w:val="00860555"/>
    <w:rsid w:val="00890674"/>
    <w:rsid w:val="008A1646"/>
    <w:rsid w:val="008A16BE"/>
    <w:rsid w:val="008A7284"/>
    <w:rsid w:val="008B77DB"/>
    <w:rsid w:val="008D06B8"/>
    <w:rsid w:val="008D59A5"/>
    <w:rsid w:val="008D59F3"/>
    <w:rsid w:val="008D6EDD"/>
    <w:rsid w:val="008E6CC9"/>
    <w:rsid w:val="008F5800"/>
    <w:rsid w:val="00911EB7"/>
    <w:rsid w:val="00914390"/>
    <w:rsid w:val="0092779F"/>
    <w:rsid w:val="00930D71"/>
    <w:rsid w:val="00963971"/>
    <w:rsid w:val="009651A5"/>
    <w:rsid w:val="00966352"/>
    <w:rsid w:val="00976E37"/>
    <w:rsid w:val="009864B5"/>
    <w:rsid w:val="00994B64"/>
    <w:rsid w:val="009B1AF8"/>
    <w:rsid w:val="009C4FE1"/>
    <w:rsid w:val="009C5434"/>
    <w:rsid w:val="009E777D"/>
    <w:rsid w:val="00A11880"/>
    <w:rsid w:val="00A21B6C"/>
    <w:rsid w:val="00A26AE5"/>
    <w:rsid w:val="00A36F65"/>
    <w:rsid w:val="00A577B6"/>
    <w:rsid w:val="00A76A2D"/>
    <w:rsid w:val="00A90C50"/>
    <w:rsid w:val="00AB0228"/>
    <w:rsid w:val="00AB46F8"/>
    <w:rsid w:val="00AB4C71"/>
    <w:rsid w:val="00AF6E23"/>
    <w:rsid w:val="00B04056"/>
    <w:rsid w:val="00B073D1"/>
    <w:rsid w:val="00B128FA"/>
    <w:rsid w:val="00B24232"/>
    <w:rsid w:val="00B342B7"/>
    <w:rsid w:val="00B5010A"/>
    <w:rsid w:val="00B662A0"/>
    <w:rsid w:val="00B72A00"/>
    <w:rsid w:val="00B741A0"/>
    <w:rsid w:val="00B84AE1"/>
    <w:rsid w:val="00B93838"/>
    <w:rsid w:val="00BA0E49"/>
    <w:rsid w:val="00BA2994"/>
    <w:rsid w:val="00BC7D1F"/>
    <w:rsid w:val="00C10A44"/>
    <w:rsid w:val="00C52FB7"/>
    <w:rsid w:val="00C538AC"/>
    <w:rsid w:val="00C55684"/>
    <w:rsid w:val="00C73381"/>
    <w:rsid w:val="00C9592C"/>
    <w:rsid w:val="00CA3E0A"/>
    <w:rsid w:val="00CA45D0"/>
    <w:rsid w:val="00CA5674"/>
    <w:rsid w:val="00CB1DBE"/>
    <w:rsid w:val="00CB2174"/>
    <w:rsid w:val="00CB2FDB"/>
    <w:rsid w:val="00CC4575"/>
    <w:rsid w:val="00CC45CC"/>
    <w:rsid w:val="00CC6CE8"/>
    <w:rsid w:val="00D021C7"/>
    <w:rsid w:val="00D10241"/>
    <w:rsid w:val="00D5254D"/>
    <w:rsid w:val="00D64CA2"/>
    <w:rsid w:val="00D93A9B"/>
    <w:rsid w:val="00D979F8"/>
    <w:rsid w:val="00D97D1A"/>
    <w:rsid w:val="00DA241E"/>
    <w:rsid w:val="00DB3773"/>
    <w:rsid w:val="00DB391D"/>
    <w:rsid w:val="00DD1B27"/>
    <w:rsid w:val="00DD4578"/>
    <w:rsid w:val="00DD6C48"/>
    <w:rsid w:val="00DD7E38"/>
    <w:rsid w:val="00DF45D8"/>
    <w:rsid w:val="00E12EF8"/>
    <w:rsid w:val="00E135E7"/>
    <w:rsid w:val="00E16CA5"/>
    <w:rsid w:val="00E3213B"/>
    <w:rsid w:val="00E33C1E"/>
    <w:rsid w:val="00E41F72"/>
    <w:rsid w:val="00E42C0E"/>
    <w:rsid w:val="00E5144D"/>
    <w:rsid w:val="00E51813"/>
    <w:rsid w:val="00E53201"/>
    <w:rsid w:val="00E55421"/>
    <w:rsid w:val="00E60EE8"/>
    <w:rsid w:val="00E657B5"/>
    <w:rsid w:val="00E74E11"/>
    <w:rsid w:val="00E82BD6"/>
    <w:rsid w:val="00E856AB"/>
    <w:rsid w:val="00EA3F65"/>
    <w:rsid w:val="00EB0CC5"/>
    <w:rsid w:val="00EB6A13"/>
    <w:rsid w:val="00EC3466"/>
    <w:rsid w:val="00ED1792"/>
    <w:rsid w:val="00F002E0"/>
    <w:rsid w:val="00F1527C"/>
    <w:rsid w:val="00F20392"/>
    <w:rsid w:val="00F23FD6"/>
    <w:rsid w:val="00F40CC6"/>
    <w:rsid w:val="00F45BE1"/>
    <w:rsid w:val="00F55F3E"/>
    <w:rsid w:val="00F6015B"/>
    <w:rsid w:val="00F7193F"/>
    <w:rsid w:val="00F83902"/>
    <w:rsid w:val="00F90DE7"/>
    <w:rsid w:val="00F964EF"/>
    <w:rsid w:val="00FE4709"/>
    <w:rsid w:val="00FF4F91"/>
    <w:rsid w:val="00FF53D0"/>
    <w:rsid w:val="3ACE11DD"/>
    <w:rsid w:val="58AC5E1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qFormat="1"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21"/>
    <w:qFormat/>
    <w:uiPriority w:val="9"/>
    <w:pPr>
      <w:keepNext/>
      <w:keepLines/>
      <w:spacing w:before="340" w:after="330" w:line="578" w:lineRule="auto"/>
      <w:outlineLvl w:val="0"/>
    </w:pPr>
    <w:rPr>
      <w:rFonts w:eastAsia="Times New Roman"/>
      <w:b/>
      <w:bCs/>
      <w:kern w:val="44"/>
      <w:sz w:val="24"/>
      <w:szCs w:val="44"/>
    </w:rPr>
  </w:style>
  <w:style w:type="paragraph" w:styleId="3">
    <w:name w:val="heading 2"/>
    <w:basedOn w:val="1"/>
    <w:next w:val="1"/>
    <w:link w:val="24"/>
    <w:unhideWhenUsed/>
    <w:qFormat/>
    <w:uiPriority w:val="9"/>
    <w:pPr>
      <w:keepNext/>
      <w:keepLines/>
      <w:spacing w:before="260" w:after="260" w:line="416" w:lineRule="auto"/>
      <w:outlineLvl w:val="1"/>
    </w:pPr>
    <w:rPr>
      <w:rFonts w:eastAsia="Times New Roman" w:asciiTheme="majorHAnsi" w:hAnsiTheme="majorHAnsi" w:cstheme="majorBidi"/>
      <w:bCs/>
      <w:sz w:val="24"/>
      <w:szCs w:val="32"/>
    </w:rPr>
  </w:style>
  <w:style w:type="paragraph" w:styleId="4">
    <w:name w:val="heading 3"/>
    <w:basedOn w:val="1"/>
    <w:next w:val="1"/>
    <w:link w:val="27"/>
    <w:unhideWhenUsed/>
    <w:qFormat/>
    <w:uiPriority w:val="9"/>
    <w:pPr>
      <w:keepNext/>
      <w:keepLines/>
      <w:spacing w:before="260" w:after="260" w:line="416" w:lineRule="auto"/>
      <w:outlineLvl w:val="2"/>
    </w:pPr>
    <w:rPr>
      <w:rFonts w:eastAsia="Times New Roman"/>
      <w:bCs/>
      <w:sz w:val="24"/>
      <w:szCs w:val="32"/>
    </w:rPr>
  </w:style>
  <w:style w:type="character" w:default="1" w:styleId="11">
    <w:name w:val="Default Paragraph Font"/>
    <w:semiHidden/>
    <w:unhideWhenUsed/>
    <w:uiPriority w:val="1"/>
  </w:style>
  <w:style w:type="table" w:default="1" w:styleId="13">
    <w:name w:val="Normal Table"/>
    <w:semiHidden/>
    <w:unhideWhenUsed/>
    <w:uiPriority w:val="99"/>
    <w:tblPr>
      <w:tblLayout w:type="fixed"/>
      <w:tblCellMar>
        <w:top w:w="0" w:type="dxa"/>
        <w:left w:w="108" w:type="dxa"/>
        <w:bottom w:w="0" w:type="dxa"/>
        <w:right w:w="108" w:type="dxa"/>
      </w:tblCellMar>
    </w:tblPr>
  </w:style>
  <w:style w:type="paragraph" w:styleId="5">
    <w:name w:val="toc 3"/>
    <w:basedOn w:val="1"/>
    <w:next w:val="1"/>
    <w:unhideWhenUsed/>
    <w:qFormat/>
    <w:uiPriority w:val="39"/>
    <w:pPr>
      <w:ind w:left="840" w:leftChars="400"/>
    </w:pPr>
  </w:style>
  <w:style w:type="paragraph" w:styleId="6">
    <w:name w:val="Date"/>
    <w:basedOn w:val="1"/>
    <w:next w:val="1"/>
    <w:link w:val="32"/>
    <w:semiHidden/>
    <w:unhideWhenUsed/>
    <w:qFormat/>
    <w:uiPriority w:val="99"/>
    <w:pPr>
      <w:ind w:left="100" w:leftChars="2500"/>
    </w:pPr>
  </w:style>
  <w:style w:type="paragraph" w:styleId="7">
    <w:name w:val="footer"/>
    <w:basedOn w:val="1"/>
    <w:link w:val="15"/>
    <w:unhideWhenUsed/>
    <w:uiPriority w:val="99"/>
    <w:pPr>
      <w:tabs>
        <w:tab w:val="center" w:pos="4153"/>
        <w:tab w:val="right" w:pos="8306"/>
      </w:tabs>
      <w:snapToGrid w:val="0"/>
      <w:jc w:val="left"/>
    </w:pPr>
    <w:rPr>
      <w:sz w:val="18"/>
      <w:szCs w:val="18"/>
    </w:rPr>
  </w:style>
  <w:style w:type="paragraph" w:styleId="8">
    <w:name w:val="header"/>
    <w:basedOn w:val="1"/>
    <w:link w:val="14"/>
    <w:unhideWhenUsed/>
    <w:uiPriority w:val="99"/>
    <w:pPr>
      <w:pBdr>
        <w:bottom w:val="single" w:color="auto" w:sz="6" w:space="1"/>
      </w:pBdr>
      <w:tabs>
        <w:tab w:val="center" w:pos="4153"/>
        <w:tab w:val="right" w:pos="8306"/>
      </w:tabs>
      <w:snapToGrid w:val="0"/>
      <w:jc w:val="center"/>
    </w:pPr>
    <w:rPr>
      <w:sz w:val="18"/>
      <w:szCs w:val="18"/>
    </w:rPr>
  </w:style>
  <w:style w:type="paragraph" w:styleId="9">
    <w:name w:val="toc 1"/>
    <w:basedOn w:val="1"/>
    <w:next w:val="1"/>
    <w:unhideWhenUsed/>
    <w:uiPriority w:val="39"/>
  </w:style>
  <w:style w:type="paragraph" w:styleId="10">
    <w:name w:val="toc 2"/>
    <w:basedOn w:val="1"/>
    <w:next w:val="1"/>
    <w:unhideWhenUsed/>
    <w:uiPriority w:val="39"/>
    <w:pPr>
      <w:ind w:left="420" w:leftChars="200"/>
    </w:pPr>
  </w:style>
  <w:style w:type="character" w:styleId="12">
    <w:name w:val="Hyperlink"/>
    <w:basedOn w:val="11"/>
    <w:unhideWhenUsed/>
    <w:uiPriority w:val="99"/>
    <w:rPr>
      <w:color w:val="0563C1" w:themeColor="hyperlink"/>
      <w:u w:val="single"/>
      <w14:textFill>
        <w14:solidFill>
          <w14:schemeClr w14:val="hlink"/>
        </w14:solidFill>
      </w14:textFill>
    </w:rPr>
  </w:style>
  <w:style w:type="character" w:customStyle="1" w:styleId="14">
    <w:name w:val="页眉 字符"/>
    <w:basedOn w:val="11"/>
    <w:link w:val="8"/>
    <w:uiPriority w:val="99"/>
    <w:rPr>
      <w:sz w:val="18"/>
      <w:szCs w:val="18"/>
    </w:rPr>
  </w:style>
  <w:style w:type="character" w:customStyle="1" w:styleId="15">
    <w:name w:val="页脚 字符"/>
    <w:basedOn w:val="11"/>
    <w:link w:val="7"/>
    <w:uiPriority w:val="99"/>
    <w:rPr>
      <w:sz w:val="18"/>
      <w:szCs w:val="18"/>
    </w:rPr>
  </w:style>
  <w:style w:type="paragraph" w:styleId="16">
    <w:name w:val="List Paragraph"/>
    <w:basedOn w:val="1"/>
    <w:link w:val="19"/>
    <w:qFormat/>
    <w:uiPriority w:val="34"/>
    <w:pPr>
      <w:ind w:firstLine="420" w:firstLineChars="200"/>
    </w:pPr>
  </w:style>
  <w:style w:type="paragraph" w:customStyle="1" w:styleId="17">
    <w:name w:val="一级标题"/>
    <w:basedOn w:val="16"/>
    <w:link w:val="20"/>
    <w:uiPriority w:val="0"/>
    <w:pPr>
      <w:numPr>
        <w:ilvl w:val="0"/>
        <w:numId w:val="1"/>
      </w:numPr>
      <w:ind w:firstLine="0" w:firstLineChars="0"/>
    </w:pPr>
    <w:rPr>
      <w:rFonts w:ascii="Times New Roman" w:hAnsi="Times New Roman" w:cs="Times New Roman"/>
      <w:b/>
      <w:sz w:val="24"/>
      <w:szCs w:val="24"/>
    </w:rPr>
  </w:style>
  <w:style w:type="paragraph" w:customStyle="1" w:styleId="18">
    <w:name w:val="二级标题"/>
    <w:basedOn w:val="16"/>
    <w:link w:val="22"/>
    <w:uiPriority w:val="0"/>
    <w:pPr>
      <w:numPr>
        <w:ilvl w:val="1"/>
        <w:numId w:val="1"/>
      </w:numPr>
      <w:ind w:firstLine="0" w:firstLineChars="0"/>
    </w:pPr>
    <w:rPr>
      <w:sz w:val="24"/>
      <w:szCs w:val="24"/>
    </w:rPr>
  </w:style>
  <w:style w:type="character" w:customStyle="1" w:styleId="19">
    <w:name w:val="列出段落 字符"/>
    <w:basedOn w:val="11"/>
    <w:link w:val="16"/>
    <w:uiPriority w:val="34"/>
  </w:style>
  <w:style w:type="character" w:customStyle="1" w:styleId="20">
    <w:name w:val="一级标题 字符"/>
    <w:basedOn w:val="19"/>
    <w:link w:val="17"/>
    <w:uiPriority w:val="0"/>
    <w:rPr>
      <w:rFonts w:ascii="Times New Roman" w:hAnsi="Times New Roman" w:cs="Times New Roman"/>
      <w:b/>
      <w:sz w:val="24"/>
      <w:szCs w:val="24"/>
    </w:rPr>
  </w:style>
  <w:style w:type="character" w:customStyle="1" w:styleId="21">
    <w:name w:val="标题 1 字符"/>
    <w:basedOn w:val="11"/>
    <w:link w:val="2"/>
    <w:uiPriority w:val="9"/>
    <w:rPr>
      <w:rFonts w:eastAsia="Times New Roman"/>
      <w:b/>
      <w:bCs/>
      <w:kern w:val="44"/>
      <w:sz w:val="24"/>
      <w:szCs w:val="44"/>
    </w:rPr>
  </w:style>
  <w:style w:type="character" w:customStyle="1" w:styleId="22">
    <w:name w:val="二级标题 字符"/>
    <w:basedOn w:val="19"/>
    <w:link w:val="18"/>
    <w:uiPriority w:val="0"/>
    <w:rPr>
      <w:sz w:val="24"/>
      <w:szCs w:val="24"/>
    </w:rPr>
  </w:style>
  <w:style w:type="paragraph" w:customStyle="1" w:styleId="23">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E75B6" w:themeColor="accent1" w:themeShade="BF"/>
      <w:kern w:val="0"/>
      <w:sz w:val="32"/>
      <w:szCs w:val="32"/>
    </w:rPr>
  </w:style>
  <w:style w:type="character" w:customStyle="1" w:styleId="24">
    <w:name w:val="标题 2 字符"/>
    <w:basedOn w:val="11"/>
    <w:link w:val="3"/>
    <w:uiPriority w:val="9"/>
    <w:rPr>
      <w:rFonts w:eastAsia="Times New Roman" w:asciiTheme="majorHAnsi" w:hAnsiTheme="majorHAnsi" w:cstheme="majorBidi"/>
      <w:bCs/>
      <w:sz w:val="24"/>
      <w:szCs w:val="32"/>
    </w:rPr>
  </w:style>
  <w:style w:type="paragraph" w:customStyle="1" w:styleId="25">
    <w:name w:val="论文正文"/>
    <w:basedOn w:val="1"/>
    <w:link w:val="26"/>
    <w:qFormat/>
    <w:uiPriority w:val="0"/>
    <w:pPr>
      <w:spacing w:line="360" w:lineRule="auto"/>
    </w:pPr>
    <w:rPr>
      <w:rFonts w:ascii="Times New Roman" w:hAnsi="Times New Roman" w:eastAsia="Times New Roman" w:cs="Times New Roman"/>
      <w:sz w:val="24"/>
      <w:szCs w:val="24"/>
    </w:rPr>
  </w:style>
  <w:style w:type="character" w:customStyle="1" w:styleId="26">
    <w:name w:val="论文正文 字符"/>
    <w:basedOn w:val="11"/>
    <w:link w:val="25"/>
    <w:uiPriority w:val="0"/>
    <w:rPr>
      <w:rFonts w:ascii="Times New Roman" w:hAnsi="Times New Roman" w:eastAsia="Times New Roman" w:cs="Times New Roman"/>
      <w:sz w:val="24"/>
      <w:szCs w:val="24"/>
    </w:rPr>
  </w:style>
  <w:style w:type="character" w:customStyle="1" w:styleId="27">
    <w:name w:val="标题 3 字符"/>
    <w:basedOn w:val="11"/>
    <w:link w:val="4"/>
    <w:uiPriority w:val="9"/>
    <w:rPr>
      <w:rFonts w:eastAsia="Times New Roman"/>
      <w:bCs/>
      <w:sz w:val="24"/>
      <w:szCs w:val="32"/>
    </w:rPr>
  </w:style>
  <w:style w:type="character" w:customStyle="1" w:styleId="28">
    <w:name w:val="authors__name"/>
    <w:basedOn w:val="11"/>
    <w:qFormat/>
    <w:uiPriority w:val="0"/>
  </w:style>
  <w:style w:type="paragraph" w:customStyle="1" w:styleId="29">
    <w:name w:val="论文正文样式"/>
    <w:basedOn w:val="1"/>
    <w:link w:val="30"/>
    <w:qFormat/>
    <w:uiPriority w:val="0"/>
    <w:pPr>
      <w:spacing w:line="360" w:lineRule="auto"/>
    </w:pPr>
    <w:rPr>
      <w:rFonts w:ascii="Times New Roman" w:hAnsi="Times New Roman" w:cs="Times New Roman"/>
      <w:sz w:val="28"/>
      <w:szCs w:val="28"/>
    </w:rPr>
  </w:style>
  <w:style w:type="character" w:customStyle="1" w:styleId="30">
    <w:name w:val="论文正文样式 字符"/>
    <w:basedOn w:val="11"/>
    <w:link w:val="29"/>
    <w:qFormat/>
    <w:uiPriority w:val="0"/>
    <w:rPr>
      <w:rFonts w:ascii="Times New Roman" w:hAnsi="Times New Roman" w:cs="Times New Roman"/>
      <w:sz w:val="28"/>
      <w:szCs w:val="28"/>
    </w:rPr>
  </w:style>
  <w:style w:type="character" w:customStyle="1" w:styleId="31">
    <w:name w:val="a"/>
    <w:basedOn w:val="11"/>
    <w:uiPriority w:val="0"/>
  </w:style>
  <w:style w:type="character" w:customStyle="1" w:styleId="32">
    <w:name w:val="日期 字符"/>
    <w:basedOn w:val="11"/>
    <w:link w:val="6"/>
    <w:semiHidden/>
    <w:qFormat/>
    <w:uiPriority w:val="99"/>
  </w:style>
  <w:style w:type="paragraph" w:customStyle="1" w:styleId="33">
    <w:name w:val="bodytext"/>
    <w:basedOn w:val="1"/>
    <w:qFormat/>
    <w:uiPriority w:val="0"/>
    <w:pPr>
      <w:widowControl/>
      <w:spacing w:before="100" w:beforeAutospacing="1" w:after="100" w:afterAutospacing="1"/>
      <w:jc w:val="left"/>
    </w:pPr>
    <w:rPr>
      <w:rFonts w:ascii="Times New Roman" w:hAnsi="Times New Roman" w:eastAsia="Times New Roman" w:cs="Times New Roman"/>
      <w:kern w:val="0"/>
      <w:sz w:val="24"/>
      <w:szCs w:val="24"/>
      <w:lang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B0FD10C-3BAC-4F08-94CC-59AF4A59A1E5}">
  <ds:schemaRefs/>
</ds:datastoreItem>
</file>

<file path=docProps/app.xml><?xml version="1.0" encoding="utf-8"?>
<Properties xmlns="http://schemas.openxmlformats.org/officeDocument/2006/extended-properties" xmlns:vt="http://schemas.openxmlformats.org/officeDocument/2006/docPropsVTypes">
  <Template>Normal.dotm</Template>
  <Pages>16</Pages>
  <Words>2795</Words>
  <Characters>15934</Characters>
  <Lines>132</Lines>
  <Paragraphs>37</Paragraphs>
  <TotalTime>874</TotalTime>
  <ScaleCrop>false</ScaleCrop>
  <LinksUpToDate>false</LinksUpToDate>
  <CharactersWithSpaces>18692</CharactersWithSpaces>
  <Application>WPS Office_10.1.0.7346_F1E327BC-269C-435d-A152-05C5408002CA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2018-11-16T08:44:00Z</dcterms:created>
  <dc:creator>admin</dc:creator>
  <cp:lastModifiedBy>12925</cp:lastModifiedBy>
  <dcterms:modified xsi:type="dcterms:W3CDTF">2018-11-26T21:02:58Z</dcterms:modified>
  <cp:revision>50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2052-10.1.0.7346</vt:lpwstr>
  </property>
</Properties>
</file>