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275C6B" w14:textId="2C36C552" w:rsidR="00092FA2" w:rsidRPr="00D420A3" w:rsidRDefault="00092FA2" w:rsidP="00092FA2">
      <w:pPr>
        <w:jc w:val="center"/>
        <w:rPr>
          <w:rFonts w:ascii="Avenir Book" w:hAnsi="Avenir Book"/>
          <w:b/>
          <w:bCs/>
          <w:sz w:val="28"/>
          <w:szCs w:val="28"/>
        </w:rPr>
      </w:pPr>
      <w:r w:rsidRPr="00D420A3">
        <w:rPr>
          <w:rFonts w:ascii="Avenir Book" w:hAnsi="Avenir Book"/>
          <w:b/>
          <w:bCs/>
          <w:sz w:val="28"/>
          <w:szCs w:val="28"/>
        </w:rPr>
        <w:t>Critically evaluate the implementation of ESDGC through the lens of policy, curriculum, and practice.</w:t>
      </w:r>
    </w:p>
    <w:p w14:paraId="2F422218" w14:textId="77777777" w:rsidR="00092FA2" w:rsidRPr="00D420A3" w:rsidRDefault="00092FA2" w:rsidP="00A2122B">
      <w:pPr>
        <w:spacing w:line="360" w:lineRule="auto"/>
        <w:jc w:val="both"/>
        <w:rPr>
          <w:rFonts w:ascii="Avenir Book" w:hAnsi="Avenir Book"/>
        </w:rPr>
      </w:pPr>
    </w:p>
    <w:p w14:paraId="2B851383" w14:textId="70581778" w:rsidR="00125F8B" w:rsidRPr="00D420A3" w:rsidRDefault="00092FA2" w:rsidP="00A2122B">
      <w:pPr>
        <w:spacing w:before="240" w:after="240" w:line="360" w:lineRule="auto"/>
        <w:jc w:val="both"/>
        <w:rPr>
          <w:rFonts w:ascii="Avenir Book" w:hAnsi="Avenir Book"/>
        </w:rPr>
      </w:pPr>
      <w:r w:rsidRPr="00D420A3">
        <w:rPr>
          <w:rFonts w:ascii="Avenir Book" w:hAnsi="Avenir Book"/>
        </w:rPr>
        <w:t>This essay aims to provide a critical evaluation of education for sustainable development and global citizenship</w:t>
      </w:r>
      <w:r w:rsidR="0052554F" w:rsidRPr="00D420A3">
        <w:rPr>
          <w:rFonts w:ascii="Avenir Book" w:hAnsi="Avenir Book"/>
        </w:rPr>
        <w:t xml:space="preserve"> </w:t>
      </w:r>
      <w:r w:rsidR="00087013" w:rsidRPr="00D420A3">
        <w:rPr>
          <w:rFonts w:ascii="Avenir Book" w:hAnsi="Avenir Book"/>
        </w:rPr>
        <w:t>(</w:t>
      </w:r>
      <w:r w:rsidR="0052554F" w:rsidRPr="00D420A3">
        <w:rPr>
          <w:rFonts w:ascii="Avenir Book" w:hAnsi="Avenir Book"/>
        </w:rPr>
        <w:t>ESDGC</w:t>
      </w:r>
      <w:r w:rsidR="00087013" w:rsidRPr="00D420A3">
        <w:rPr>
          <w:rFonts w:ascii="Avenir Book" w:hAnsi="Avenir Book"/>
        </w:rPr>
        <w:t>)</w:t>
      </w:r>
      <w:r w:rsidRPr="00D420A3">
        <w:rPr>
          <w:rFonts w:ascii="Avenir Book" w:hAnsi="Avenir Book"/>
        </w:rPr>
        <w:t xml:space="preserve"> by looking into policy, curriculum, and practice</w:t>
      </w:r>
      <w:r w:rsidR="0052554F" w:rsidRPr="00D420A3">
        <w:rPr>
          <w:rFonts w:ascii="Avenir Book" w:hAnsi="Avenir Book"/>
        </w:rPr>
        <w:t xml:space="preserve"> and through splitting ESDGC up into two sections, Global Citizenship Education (GCE) and Education for Sustainable Development (ESD)</w:t>
      </w:r>
      <w:r w:rsidRPr="00D420A3">
        <w:rPr>
          <w:rFonts w:ascii="Avenir Book" w:hAnsi="Avenir Book"/>
        </w:rPr>
        <w:t xml:space="preserve">. </w:t>
      </w:r>
      <w:r w:rsidR="00690E34" w:rsidRPr="00D420A3">
        <w:rPr>
          <w:rFonts w:ascii="Avenir Book" w:hAnsi="Avenir Book"/>
        </w:rPr>
        <w:t xml:space="preserve"> </w:t>
      </w:r>
    </w:p>
    <w:p w14:paraId="1B4B38E3" w14:textId="4AED0793" w:rsidR="00F0294B" w:rsidRPr="00D420A3" w:rsidRDefault="00F0294B" w:rsidP="00A2122B">
      <w:pPr>
        <w:spacing w:before="240" w:after="240" w:line="360" w:lineRule="auto"/>
        <w:jc w:val="both"/>
        <w:rPr>
          <w:rFonts w:ascii="Avenir Book" w:hAnsi="Avenir Book"/>
        </w:rPr>
      </w:pPr>
      <w:r w:rsidRPr="00D420A3">
        <w:rPr>
          <w:rFonts w:ascii="Avenir Book" w:hAnsi="Avenir Book"/>
        </w:rPr>
        <w:t>This essay explores the definition of global citizenship</w:t>
      </w:r>
      <w:r w:rsidR="00A2122B">
        <w:rPr>
          <w:rFonts w:ascii="Avenir Book" w:hAnsi="Avenir Book"/>
        </w:rPr>
        <w:t xml:space="preserve"> and discusses </w:t>
      </w:r>
      <w:r w:rsidR="00A2122B" w:rsidRPr="00D420A3">
        <w:rPr>
          <w:rFonts w:ascii="Avenir Book" w:hAnsi="Avenir Book"/>
        </w:rPr>
        <w:t xml:space="preserve">he United Nations Educational, Scientific and Cultural Organisations (UNESCO) sustainable development goals (SDG) </w:t>
      </w:r>
      <w:r w:rsidRPr="00D420A3">
        <w:rPr>
          <w:rFonts w:ascii="Avenir Book" w:hAnsi="Avenir Book"/>
        </w:rPr>
        <w:t>before continuing to achieve the aim of critically evaluating ESDGC. This will be done by delving into what GCE and ESD is with a brief history of both concepts and continues to look at the history of ESDGC and what this is. The Essay predominantly focuses on the impact and implementation of ESDGC practice on Wales’ education system</w:t>
      </w:r>
      <w:r w:rsidR="009A558D" w:rsidRPr="00D420A3">
        <w:rPr>
          <w:rFonts w:ascii="Avenir Book" w:hAnsi="Avenir Book"/>
        </w:rPr>
        <w:t xml:space="preserve"> but also touches upon the implementation in Austria, </w:t>
      </w:r>
      <w:r w:rsidR="00087013" w:rsidRPr="00D420A3">
        <w:rPr>
          <w:rFonts w:ascii="Avenir Book" w:hAnsi="Avenir Book"/>
        </w:rPr>
        <w:t>Kazakhstan,</w:t>
      </w:r>
      <w:r w:rsidR="009A558D" w:rsidRPr="00D420A3">
        <w:rPr>
          <w:rFonts w:ascii="Avenir Book" w:hAnsi="Avenir Book"/>
        </w:rPr>
        <w:t xml:space="preserve"> and Canada. Finally, the essay considers policies impact on education practices, paying particular attention to ESDGC policy in Wales. </w:t>
      </w:r>
    </w:p>
    <w:p w14:paraId="334D3EEE" w14:textId="3E13ABFA" w:rsidR="0052554F" w:rsidRPr="00D420A3" w:rsidRDefault="00A2122B" w:rsidP="00A2122B">
      <w:pPr>
        <w:spacing w:before="240" w:after="240" w:line="360" w:lineRule="auto"/>
        <w:jc w:val="both"/>
        <w:rPr>
          <w:rFonts w:ascii="Avenir Book" w:hAnsi="Avenir Book"/>
        </w:rPr>
      </w:pPr>
      <w:r>
        <w:rPr>
          <w:rFonts w:ascii="Avenir Book" w:hAnsi="Avenir Book"/>
        </w:rPr>
        <w:t xml:space="preserve">The </w:t>
      </w:r>
      <w:r w:rsidR="009A558D" w:rsidRPr="00D420A3">
        <w:rPr>
          <w:rFonts w:ascii="Avenir Book" w:hAnsi="Avenir Book"/>
        </w:rPr>
        <w:t>SDG</w:t>
      </w:r>
      <w:r>
        <w:rPr>
          <w:rFonts w:ascii="Avenir Book" w:hAnsi="Avenir Book"/>
        </w:rPr>
        <w:t>’s</w:t>
      </w:r>
      <w:r w:rsidR="00576318" w:rsidRPr="00D420A3">
        <w:rPr>
          <w:rFonts w:ascii="Avenir Book" w:hAnsi="Avenir Book"/>
        </w:rPr>
        <w:t xml:space="preserve"> produced by </w:t>
      </w:r>
      <w:r w:rsidR="009A558D" w:rsidRPr="00D420A3">
        <w:rPr>
          <w:rFonts w:ascii="Avenir Book" w:hAnsi="Avenir Book"/>
        </w:rPr>
        <w:t>UNESCO</w:t>
      </w:r>
      <w:r>
        <w:rPr>
          <w:rFonts w:ascii="Avenir Book" w:hAnsi="Avenir Book"/>
        </w:rPr>
        <w:t>’s</w:t>
      </w:r>
      <w:r w:rsidR="00576318" w:rsidRPr="00D420A3">
        <w:rPr>
          <w:rFonts w:ascii="Avenir Book" w:hAnsi="Avenir Book"/>
        </w:rPr>
        <w:t xml:space="preserve"> 2030 Agenda for sustainable development underpin all aspects of </w:t>
      </w:r>
      <w:r w:rsidR="009A558D" w:rsidRPr="00D420A3">
        <w:rPr>
          <w:rFonts w:ascii="Avenir Book" w:hAnsi="Avenir Book"/>
        </w:rPr>
        <w:t>ESDGC</w:t>
      </w:r>
      <w:r w:rsidR="00576318" w:rsidRPr="00D420A3">
        <w:rPr>
          <w:rFonts w:ascii="Avenir Book" w:hAnsi="Avenir Book"/>
        </w:rPr>
        <w:t>, (</w:t>
      </w:r>
      <w:r w:rsidR="00125F8B" w:rsidRPr="00D420A3">
        <w:rPr>
          <w:rFonts w:ascii="Avenir Book" w:hAnsi="Avenir Book"/>
        </w:rPr>
        <w:t xml:space="preserve">UNESCO, 2015). There are 17 </w:t>
      </w:r>
      <w:proofErr w:type="gramStart"/>
      <w:r w:rsidR="00087013" w:rsidRPr="00D420A3">
        <w:rPr>
          <w:rFonts w:ascii="Avenir Book" w:hAnsi="Avenir Book"/>
        </w:rPr>
        <w:t>SDG’s</w:t>
      </w:r>
      <w:proofErr w:type="gramEnd"/>
      <w:r w:rsidR="00125F8B" w:rsidRPr="00D420A3">
        <w:rPr>
          <w:rFonts w:ascii="Avenir Book" w:hAnsi="Avenir Book"/>
        </w:rPr>
        <w:t xml:space="preserve"> with a total of 169 various targets surrounding people, the planet, prosperity, </w:t>
      </w:r>
      <w:r w:rsidR="00092FA2" w:rsidRPr="00D420A3">
        <w:rPr>
          <w:rFonts w:ascii="Avenir Book" w:hAnsi="Avenir Book"/>
        </w:rPr>
        <w:t>peace,</w:t>
      </w:r>
      <w:r w:rsidR="00125F8B" w:rsidRPr="00D420A3">
        <w:rPr>
          <w:rFonts w:ascii="Avenir Book" w:hAnsi="Avenir Book"/>
        </w:rPr>
        <w:t xml:space="preserve"> and partnership, (UNESCO, 2015).</w:t>
      </w:r>
      <w:r w:rsidR="002C4BBE" w:rsidRPr="00D420A3">
        <w:rPr>
          <w:rFonts w:ascii="Avenir Book" w:hAnsi="Avenir Book"/>
        </w:rPr>
        <w:t xml:space="preserve"> Goal 4 of the </w:t>
      </w:r>
      <w:r w:rsidR="00087013" w:rsidRPr="00D420A3">
        <w:rPr>
          <w:rFonts w:ascii="Avenir Book" w:hAnsi="Avenir Book"/>
        </w:rPr>
        <w:t>SDG’s</w:t>
      </w:r>
      <w:r w:rsidR="002C4BBE" w:rsidRPr="00D420A3">
        <w:rPr>
          <w:rFonts w:ascii="Avenir Book" w:hAnsi="Avenir Book"/>
        </w:rPr>
        <w:t xml:space="preserve"> is the most applicable to what will be discussed throughout this essay, ‘to ensure inclusive and equitable quality education and promote lifelong learning opportunities for all,’ (UNESCO</w:t>
      </w:r>
      <w:r w:rsidR="0067560D" w:rsidRPr="00D420A3">
        <w:rPr>
          <w:rFonts w:ascii="Avenir Book" w:hAnsi="Avenir Book"/>
        </w:rPr>
        <w:t xml:space="preserve">, 2022). Part of this goal is about </w:t>
      </w:r>
      <w:r w:rsidR="009A558D" w:rsidRPr="00D420A3">
        <w:rPr>
          <w:rFonts w:ascii="Avenir Book" w:hAnsi="Avenir Book"/>
        </w:rPr>
        <w:t>GCE</w:t>
      </w:r>
      <w:r w:rsidR="0067560D" w:rsidRPr="00D420A3">
        <w:rPr>
          <w:rFonts w:ascii="Avenir Book" w:hAnsi="Avenir Book"/>
        </w:rPr>
        <w:t>, (UNESCO</w:t>
      </w:r>
      <w:r w:rsidR="00933D33" w:rsidRPr="00D420A3">
        <w:rPr>
          <w:rFonts w:ascii="Avenir Book" w:hAnsi="Avenir Book"/>
        </w:rPr>
        <w:t>, 2022)</w:t>
      </w:r>
      <w:r w:rsidR="0067560D" w:rsidRPr="00D420A3">
        <w:rPr>
          <w:rFonts w:ascii="Avenir Book" w:hAnsi="Avenir Book"/>
        </w:rPr>
        <w:t xml:space="preserve">. </w:t>
      </w:r>
    </w:p>
    <w:p w14:paraId="7F2DFA11" w14:textId="4E019CB6" w:rsidR="0052554F" w:rsidRPr="00D420A3" w:rsidRDefault="007C2CFD" w:rsidP="00A2122B">
      <w:pPr>
        <w:spacing w:before="240" w:after="240" w:line="360" w:lineRule="auto"/>
        <w:jc w:val="both"/>
        <w:rPr>
          <w:rFonts w:ascii="Avenir Book" w:hAnsi="Avenir Book"/>
        </w:rPr>
      </w:pPr>
      <w:r w:rsidRPr="00D420A3">
        <w:rPr>
          <w:rFonts w:ascii="Avenir Book" w:hAnsi="Avenir Book"/>
        </w:rPr>
        <w:t>Citizenship</w:t>
      </w:r>
      <w:r w:rsidR="0065346C" w:rsidRPr="00D420A3">
        <w:rPr>
          <w:rFonts w:ascii="Avenir Book" w:hAnsi="Avenir Book"/>
        </w:rPr>
        <w:t xml:space="preserve"> and GCE are</w:t>
      </w:r>
      <w:r w:rsidRPr="00D420A3">
        <w:rPr>
          <w:rFonts w:ascii="Avenir Book" w:hAnsi="Avenir Book"/>
        </w:rPr>
        <w:t xml:space="preserve"> contested concept</w:t>
      </w:r>
      <w:r w:rsidR="0065346C" w:rsidRPr="00D420A3">
        <w:rPr>
          <w:rFonts w:ascii="Avenir Book" w:hAnsi="Avenir Book"/>
        </w:rPr>
        <w:t>s</w:t>
      </w:r>
      <w:r w:rsidRPr="00D420A3">
        <w:rPr>
          <w:rFonts w:ascii="Avenir Book" w:hAnsi="Avenir Book"/>
        </w:rPr>
        <w:t xml:space="preserve"> due to theorists having different conceptions of it, (Dower, 2003)</w:t>
      </w:r>
      <w:r w:rsidR="0065346C" w:rsidRPr="00D420A3">
        <w:rPr>
          <w:rFonts w:ascii="Avenir Book" w:hAnsi="Avenir Book"/>
        </w:rPr>
        <w:t xml:space="preserve"> and (Akkari and Maleq, 2020</w:t>
      </w:r>
      <w:r w:rsidR="0001636F" w:rsidRPr="00D420A3">
        <w:rPr>
          <w:rFonts w:ascii="Avenir Book" w:hAnsi="Avenir Book"/>
        </w:rPr>
        <w:t>, pp.</w:t>
      </w:r>
      <w:r w:rsidR="00BC7632" w:rsidRPr="00D420A3">
        <w:rPr>
          <w:rFonts w:ascii="Avenir Book" w:hAnsi="Avenir Book"/>
        </w:rPr>
        <w:t>3</w:t>
      </w:r>
      <w:r w:rsidR="0065346C" w:rsidRPr="00D420A3">
        <w:rPr>
          <w:rFonts w:ascii="Avenir Book" w:hAnsi="Avenir Book"/>
        </w:rPr>
        <w:t>)</w:t>
      </w:r>
      <w:r w:rsidR="00690E34" w:rsidRPr="00D420A3">
        <w:rPr>
          <w:rFonts w:ascii="Avenir Book" w:hAnsi="Avenir Book"/>
        </w:rPr>
        <w:t>.</w:t>
      </w:r>
      <w:r w:rsidRPr="00D420A3">
        <w:rPr>
          <w:rFonts w:ascii="Avenir Book" w:hAnsi="Avenir Book"/>
        </w:rPr>
        <w:t xml:space="preserve"> Arthur and Wright, (2001) states that it is almost impossible to provide a precise definition of citizenship</w:t>
      </w:r>
      <w:r w:rsidR="0065346C" w:rsidRPr="00D420A3">
        <w:rPr>
          <w:rFonts w:ascii="Avenir Book" w:hAnsi="Avenir Book"/>
        </w:rPr>
        <w:t xml:space="preserve"> or GCE</w:t>
      </w:r>
      <w:r w:rsidRPr="00D420A3">
        <w:rPr>
          <w:rFonts w:ascii="Avenir Book" w:hAnsi="Avenir Book"/>
        </w:rPr>
        <w:t xml:space="preserve"> and so for the purpose of this study a </w:t>
      </w:r>
      <w:r w:rsidR="0001636F" w:rsidRPr="00D420A3">
        <w:rPr>
          <w:rFonts w:ascii="Avenir Book" w:hAnsi="Avenir Book"/>
        </w:rPr>
        <w:t xml:space="preserve">definition that shows the </w:t>
      </w:r>
      <w:r w:rsidR="0001636F" w:rsidRPr="00D420A3">
        <w:rPr>
          <w:rFonts w:ascii="Avenir Book" w:hAnsi="Avenir Book"/>
        </w:rPr>
        <w:lastRenderedPageBreak/>
        <w:t xml:space="preserve">specific and complex nature of GCE </w:t>
      </w:r>
      <w:r w:rsidRPr="00D420A3">
        <w:rPr>
          <w:rFonts w:ascii="Avenir Book" w:hAnsi="Avenir Book"/>
        </w:rPr>
        <w:t>will be used,</w:t>
      </w:r>
      <w:r w:rsidR="0065346C" w:rsidRPr="00D420A3">
        <w:rPr>
          <w:rFonts w:ascii="Avenir Book" w:hAnsi="Avenir Book"/>
        </w:rPr>
        <w:t xml:space="preserve"> ‘GCE generally extends the idea of rights and responsibilities beyond the limits of the nation-state. It can be understood in a variety of ways and </w:t>
      </w:r>
      <w:r w:rsidR="0001636F" w:rsidRPr="00D420A3">
        <w:rPr>
          <w:rFonts w:ascii="Avenir Book" w:hAnsi="Avenir Book"/>
        </w:rPr>
        <w:t>reflects different ideologies and ideas of what is and ought to be desired of citizens’, (</w:t>
      </w:r>
      <w:r w:rsidR="00BC7632" w:rsidRPr="00D420A3">
        <w:rPr>
          <w:rFonts w:ascii="Avenir Book" w:hAnsi="Avenir Book"/>
        </w:rPr>
        <w:t>Pashby, 2016</w:t>
      </w:r>
      <w:r w:rsidR="0001636F" w:rsidRPr="00D420A3">
        <w:rPr>
          <w:rFonts w:ascii="Avenir Book" w:hAnsi="Avenir Book"/>
        </w:rPr>
        <w:t>)</w:t>
      </w:r>
      <w:r w:rsidR="00BC7632" w:rsidRPr="00D420A3">
        <w:rPr>
          <w:rFonts w:ascii="Avenir Book" w:hAnsi="Avenir Book"/>
        </w:rPr>
        <w:t xml:space="preserve"> and (Akkari and Maleq, 2020, pp.8).</w:t>
      </w:r>
    </w:p>
    <w:p w14:paraId="1D3DC359" w14:textId="73E53819" w:rsidR="00D82C98" w:rsidRPr="00D420A3" w:rsidRDefault="00F54EB0" w:rsidP="00A2122B">
      <w:pPr>
        <w:spacing w:before="240" w:after="240" w:line="360" w:lineRule="auto"/>
        <w:jc w:val="both"/>
        <w:rPr>
          <w:rFonts w:ascii="Avenir Book" w:hAnsi="Avenir Book"/>
        </w:rPr>
      </w:pPr>
      <w:r w:rsidRPr="00D420A3">
        <w:rPr>
          <w:rFonts w:ascii="Avenir Book" w:hAnsi="Avenir Book"/>
        </w:rPr>
        <w:t>ESDGC</w:t>
      </w:r>
      <w:r w:rsidR="00D82C98" w:rsidRPr="00D420A3">
        <w:rPr>
          <w:rFonts w:ascii="Avenir Book" w:hAnsi="Avenir Book"/>
        </w:rPr>
        <w:t xml:space="preserve"> is almost impossible to define due to the different perceptions of it around the world. To make it simpler to understand, it is helpful to break it up into two sections, GCE and ESD, before looking at the </w:t>
      </w:r>
      <w:proofErr w:type="gramStart"/>
      <w:r w:rsidR="00D82C98" w:rsidRPr="00D420A3">
        <w:rPr>
          <w:rFonts w:ascii="Avenir Book" w:hAnsi="Avenir Book"/>
        </w:rPr>
        <w:t>concept as a whole</w:t>
      </w:r>
      <w:proofErr w:type="gramEnd"/>
      <w:r w:rsidR="00D82C98" w:rsidRPr="00D420A3">
        <w:rPr>
          <w:rFonts w:ascii="Avenir Book" w:hAnsi="Avenir Book"/>
        </w:rPr>
        <w:t xml:space="preserve">. </w:t>
      </w:r>
    </w:p>
    <w:p w14:paraId="25B17DE8" w14:textId="617AAB94" w:rsidR="00624977" w:rsidRPr="00D420A3" w:rsidRDefault="00DB1B36" w:rsidP="00A2122B">
      <w:pPr>
        <w:spacing w:before="240" w:after="240" w:line="360" w:lineRule="auto"/>
        <w:jc w:val="both"/>
        <w:rPr>
          <w:rFonts w:ascii="Avenir Book" w:hAnsi="Avenir Book"/>
        </w:rPr>
      </w:pPr>
      <w:r w:rsidRPr="00D420A3">
        <w:rPr>
          <w:rFonts w:ascii="Avenir Book" w:hAnsi="Avenir Book"/>
        </w:rPr>
        <w:t xml:space="preserve">GCE is a highly contested </w:t>
      </w:r>
      <w:r w:rsidR="00CE4021" w:rsidRPr="00D420A3">
        <w:rPr>
          <w:rFonts w:ascii="Avenir Book" w:hAnsi="Avenir Book"/>
        </w:rPr>
        <w:t xml:space="preserve">topic with no dominant notion of what it is due to the ideas of global, citizenship and education consistently being debated upon and left open to future argument and revision, (Peters, Blee and Britton, 2008, p.11). However, a broad notion of what GCE can be found within literature, it is the education of human rights, multiculturalism, values, gender, racism, development, peace and the world with an aim to develop a form of order </w:t>
      </w:r>
      <w:r w:rsidR="0027273E" w:rsidRPr="00D420A3">
        <w:rPr>
          <w:rFonts w:ascii="Avenir Book" w:hAnsi="Avenir Book"/>
        </w:rPr>
        <w:t xml:space="preserve">where the rights of all are observed by every government regardless of race, gender, ethnicity or creed, (Peters, Blee and Britton, 2008, p.11), (Young, 2008, p.3) and (Collins, 2008, p.1-5). </w:t>
      </w:r>
    </w:p>
    <w:p w14:paraId="3326CA5B" w14:textId="2B45173B" w:rsidR="0027273E" w:rsidRPr="00D420A3" w:rsidRDefault="00B970E9" w:rsidP="00A2122B">
      <w:pPr>
        <w:spacing w:before="240" w:after="240" w:line="360" w:lineRule="auto"/>
        <w:jc w:val="both"/>
        <w:rPr>
          <w:rFonts w:ascii="Avenir Book" w:hAnsi="Avenir Book"/>
        </w:rPr>
      </w:pPr>
      <w:r w:rsidRPr="00D420A3">
        <w:rPr>
          <w:rFonts w:ascii="Avenir Book" w:hAnsi="Avenir Book"/>
        </w:rPr>
        <w:t>G</w:t>
      </w:r>
      <w:r w:rsidR="00005225" w:rsidRPr="00D420A3">
        <w:rPr>
          <w:rFonts w:ascii="Avenir Book" w:hAnsi="Avenir Book"/>
        </w:rPr>
        <w:t>lobal citizenship has a rich history with different terminology being used since the 1600s, (Peters, Blee and Britton, 2008, p.10).</w:t>
      </w:r>
      <w:r w:rsidR="00540FC3" w:rsidRPr="00D420A3">
        <w:rPr>
          <w:rFonts w:ascii="Avenir Book" w:hAnsi="Avenir Book"/>
        </w:rPr>
        <w:t xml:space="preserve"> GCE however, was officially formulated by UNESCO in response to the worlds increasing interconnectedness, human rights violations, inequality, and poverty rates, </w:t>
      </w:r>
      <w:r w:rsidR="006663E6" w:rsidRPr="00D420A3">
        <w:rPr>
          <w:rFonts w:ascii="Avenir Book" w:hAnsi="Avenir Book"/>
        </w:rPr>
        <w:t>(UNESCO, N.D.).</w:t>
      </w:r>
    </w:p>
    <w:p w14:paraId="7F71B59D" w14:textId="2FDF2977" w:rsidR="005D6F6A" w:rsidRPr="00D420A3" w:rsidRDefault="00BB5E19" w:rsidP="00A2122B">
      <w:pPr>
        <w:spacing w:before="240" w:after="240" w:line="360" w:lineRule="auto"/>
        <w:jc w:val="both"/>
        <w:rPr>
          <w:rFonts w:ascii="Avenir Book" w:hAnsi="Avenir Book"/>
        </w:rPr>
      </w:pPr>
      <w:r w:rsidRPr="00D420A3">
        <w:rPr>
          <w:rFonts w:ascii="Avenir Book" w:hAnsi="Avenir Book"/>
        </w:rPr>
        <w:t xml:space="preserve">The concept of sustainable development has been seen within academic writings for centuries and present in various cultures for thousands of years although the term itself is relatively new, (Agbedahin, 2018). </w:t>
      </w:r>
      <w:r w:rsidR="00333737" w:rsidRPr="00D420A3">
        <w:rPr>
          <w:rFonts w:ascii="Avenir Book" w:hAnsi="Avenir Book"/>
        </w:rPr>
        <w:t xml:space="preserve">According to UNESCO, (N.D.) ESD </w:t>
      </w:r>
      <w:r w:rsidR="00ED0900" w:rsidRPr="00D420A3">
        <w:rPr>
          <w:rFonts w:ascii="Avenir Book" w:hAnsi="Avenir Book"/>
        </w:rPr>
        <w:t>is a response to ‘urgent and dramatic challenges the planet faces.’</w:t>
      </w:r>
      <w:r w:rsidR="00714AAA" w:rsidRPr="00D420A3">
        <w:rPr>
          <w:rFonts w:ascii="Avenir Book" w:hAnsi="Avenir Book"/>
        </w:rPr>
        <w:t xml:space="preserve"> ESD is often associated with an aim of raising social and en</w:t>
      </w:r>
      <w:r w:rsidR="00367B98" w:rsidRPr="00D420A3">
        <w:rPr>
          <w:rFonts w:ascii="Avenir Book" w:hAnsi="Avenir Book"/>
        </w:rPr>
        <w:t>vironmental awareness amongst children, (</w:t>
      </w:r>
      <w:r w:rsidR="00094561" w:rsidRPr="00D420A3">
        <w:rPr>
          <w:rFonts w:ascii="Avenir Book" w:hAnsi="Avenir Book"/>
        </w:rPr>
        <w:t>Kopina, 2012</w:t>
      </w:r>
      <w:r w:rsidR="00367B98" w:rsidRPr="00D420A3">
        <w:rPr>
          <w:rFonts w:ascii="Avenir Book" w:hAnsi="Avenir Book"/>
        </w:rPr>
        <w:t>)</w:t>
      </w:r>
      <w:r w:rsidR="00094561" w:rsidRPr="00D420A3">
        <w:rPr>
          <w:rFonts w:ascii="Avenir Book" w:hAnsi="Avenir Book"/>
        </w:rPr>
        <w:t>.</w:t>
      </w:r>
      <w:r w:rsidR="00ED0900" w:rsidRPr="00D420A3">
        <w:rPr>
          <w:rFonts w:ascii="Avenir Book" w:hAnsi="Avenir Book"/>
        </w:rPr>
        <w:t xml:space="preserve">  </w:t>
      </w:r>
      <w:r w:rsidR="009517C5" w:rsidRPr="00D420A3">
        <w:rPr>
          <w:rFonts w:ascii="Avenir Book" w:hAnsi="Avenir Book"/>
        </w:rPr>
        <w:t xml:space="preserve">Agbedahin, (2018) believes that ESD is used as a local and global solution to environmental, </w:t>
      </w:r>
      <w:r w:rsidR="00092FA2" w:rsidRPr="00D420A3">
        <w:rPr>
          <w:rFonts w:ascii="Avenir Book" w:hAnsi="Avenir Book"/>
        </w:rPr>
        <w:t>social,</w:t>
      </w:r>
      <w:r w:rsidR="009517C5" w:rsidRPr="00D420A3">
        <w:rPr>
          <w:rFonts w:ascii="Avenir Book" w:hAnsi="Avenir Book"/>
        </w:rPr>
        <w:t xml:space="preserve"> and economic challenges. </w:t>
      </w:r>
      <w:r w:rsidR="0054553F" w:rsidRPr="00D420A3">
        <w:rPr>
          <w:rFonts w:ascii="Avenir Book" w:hAnsi="Avenir Book"/>
        </w:rPr>
        <w:t xml:space="preserve">Although there is </w:t>
      </w:r>
      <w:r w:rsidR="0054553F" w:rsidRPr="00D420A3">
        <w:rPr>
          <w:rFonts w:ascii="Avenir Book" w:hAnsi="Avenir Book"/>
        </w:rPr>
        <w:lastRenderedPageBreak/>
        <w:t xml:space="preserve">a lack of agreed definition or interpretation of ESD amongst nations, there </w:t>
      </w:r>
      <w:r w:rsidR="00155B5C" w:rsidRPr="00D420A3">
        <w:rPr>
          <w:rFonts w:ascii="Avenir Book" w:hAnsi="Avenir Book"/>
        </w:rPr>
        <w:t xml:space="preserve">is a broad understanding that is more widely accepted, ESD is education to ‘meet the needs of the present without compromising the ability of future generations to meet their own needs’, and ‘extending to all the opportunity to fulfil their </w:t>
      </w:r>
      <w:r w:rsidR="00B23BD1" w:rsidRPr="00D420A3">
        <w:rPr>
          <w:rFonts w:ascii="Avenir Book" w:hAnsi="Avenir Book"/>
        </w:rPr>
        <w:t>aspirations</w:t>
      </w:r>
      <w:r w:rsidR="00155B5C" w:rsidRPr="00D420A3">
        <w:rPr>
          <w:rFonts w:ascii="Avenir Book" w:hAnsi="Avenir Book"/>
        </w:rPr>
        <w:t xml:space="preserve"> for a better life,’ </w:t>
      </w:r>
      <w:r w:rsidR="00A52C21" w:rsidRPr="00D420A3">
        <w:rPr>
          <w:rFonts w:ascii="Avenir Book" w:hAnsi="Avenir Book"/>
        </w:rPr>
        <w:t xml:space="preserve">(McKeown, 2002), (UNESCO, 2014, pp.20) </w:t>
      </w:r>
      <w:r w:rsidR="00D87A98" w:rsidRPr="00D420A3">
        <w:rPr>
          <w:rFonts w:ascii="Avenir Book" w:hAnsi="Avenir Book"/>
        </w:rPr>
        <w:t xml:space="preserve">and (United Nations, 1987, pp.25). </w:t>
      </w:r>
    </w:p>
    <w:p w14:paraId="0331CE0A" w14:textId="0C82F619" w:rsidR="00FE0980" w:rsidRPr="00D420A3" w:rsidRDefault="005D6F6A" w:rsidP="00A2122B">
      <w:pPr>
        <w:spacing w:before="240" w:after="240" w:line="360" w:lineRule="auto"/>
        <w:jc w:val="both"/>
        <w:rPr>
          <w:rFonts w:ascii="Avenir Book" w:hAnsi="Avenir Book"/>
        </w:rPr>
      </w:pPr>
      <w:r w:rsidRPr="00D420A3">
        <w:rPr>
          <w:rFonts w:ascii="Avenir Book" w:hAnsi="Avenir Book"/>
        </w:rPr>
        <w:t xml:space="preserve">ESDGC </w:t>
      </w:r>
      <w:r w:rsidR="00F54EB0" w:rsidRPr="00D420A3">
        <w:rPr>
          <w:rFonts w:ascii="Avenir Book" w:hAnsi="Avenir Book"/>
        </w:rPr>
        <w:t>began in 1974 when UNESCO</w:t>
      </w:r>
      <w:r w:rsidR="004172EA" w:rsidRPr="00D420A3">
        <w:rPr>
          <w:rFonts w:ascii="Avenir Book" w:hAnsi="Avenir Book"/>
        </w:rPr>
        <w:t>, (1974)</w:t>
      </w:r>
      <w:r w:rsidR="002A21CA" w:rsidRPr="00D420A3">
        <w:rPr>
          <w:rFonts w:ascii="Avenir Book" w:hAnsi="Avenir Book"/>
        </w:rPr>
        <w:t xml:space="preserve"> committed to international education, world peace, strengthening the learning processes surrounding equality and interdependence, promote the study of different cultures and the study of major problems of mankind. This is </w:t>
      </w:r>
      <w:proofErr w:type="gramStart"/>
      <w:r w:rsidR="002A21CA" w:rsidRPr="00D420A3">
        <w:rPr>
          <w:rFonts w:ascii="Avenir Book" w:hAnsi="Avenir Book"/>
        </w:rPr>
        <w:t>similar to</w:t>
      </w:r>
      <w:proofErr w:type="gramEnd"/>
      <w:r w:rsidR="002A21CA" w:rsidRPr="00D420A3">
        <w:rPr>
          <w:rFonts w:ascii="Avenir Book" w:hAnsi="Avenir Book"/>
        </w:rPr>
        <w:t xml:space="preserve"> the concepts surrounding </w:t>
      </w:r>
      <w:r w:rsidR="00642FF3" w:rsidRPr="00D420A3">
        <w:rPr>
          <w:rFonts w:ascii="Avenir Book" w:hAnsi="Avenir Book"/>
        </w:rPr>
        <w:t xml:space="preserve">target 4.7 of UNESCO’s </w:t>
      </w:r>
      <w:r w:rsidR="00087013" w:rsidRPr="00D420A3">
        <w:rPr>
          <w:rFonts w:ascii="Avenir Book" w:hAnsi="Avenir Book"/>
        </w:rPr>
        <w:t>SDG</w:t>
      </w:r>
      <w:r w:rsidR="00642FF3" w:rsidRPr="00D420A3">
        <w:rPr>
          <w:rFonts w:ascii="Avenir Book" w:hAnsi="Avenir Book"/>
        </w:rPr>
        <w:t>s, ‘By 2030, ensure that all learners acquire the knowledge and skills needed to promote sustainable development, including, among others, through education for sustainable development and sustainable lifestyles, human rights, gender equality, promotion</w:t>
      </w:r>
      <w:r w:rsidR="00DA7055" w:rsidRPr="00D420A3">
        <w:rPr>
          <w:rFonts w:ascii="Avenir Book" w:hAnsi="Avenir Book"/>
        </w:rPr>
        <w:t xml:space="preserve"> of a culture of peace and non-violence, global citizenship and appreciation of cultural diversity and of culture’s contribution to sustainable development,’ (UNESCO,</w:t>
      </w:r>
      <w:r w:rsidR="00FE0980" w:rsidRPr="00D420A3">
        <w:rPr>
          <w:rFonts w:ascii="Avenir Book" w:hAnsi="Avenir Book"/>
        </w:rPr>
        <w:t xml:space="preserve"> 2015).</w:t>
      </w:r>
    </w:p>
    <w:p w14:paraId="18076100" w14:textId="0D944A2E" w:rsidR="00527100" w:rsidRPr="00D420A3" w:rsidRDefault="005B1359" w:rsidP="00A2122B">
      <w:pPr>
        <w:spacing w:before="240" w:after="240" w:line="360" w:lineRule="auto"/>
        <w:jc w:val="both"/>
        <w:rPr>
          <w:rFonts w:ascii="Avenir Book" w:hAnsi="Avenir Book"/>
        </w:rPr>
      </w:pPr>
      <w:r w:rsidRPr="00D420A3">
        <w:rPr>
          <w:rFonts w:ascii="Avenir Book" w:hAnsi="Avenir Book"/>
        </w:rPr>
        <w:t xml:space="preserve">ESDGC was introduced to </w:t>
      </w:r>
      <w:r w:rsidR="00633F55" w:rsidRPr="00D420A3">
        <w:rPr>
          <w:rFonts w:ascii="Avenir Book" w:hAnsi="Avenir Book"/>
        </w:rPr>
        <w:t xml:space="preserve">Welsh </w:t>
      </w:r>
      <w:r w:rsidRPr="00D420A3">
        <w:rPr>
          <w:rFonts w:ascii="Avenir Book" w:hAnsi="Avenir Book"/>
        </w:rPr>
        <w:t>schools in 2002, (Bennell, 2015) and was considered as ‘</w:t>
      </w:r>
      <w:r w:rsidR="00527100" w:rsidRPr="00D420A3">
        <w:rPr>
          <w:rFonts w:ascii="Avenir Book" w:hAnsi="Avenir Book"/>
        </w:rPr>
        <w:t>education that will prepare young people for life in the 21</w:t>
      </w:r>
      <w:r w:rsidR="00527100" w:rsidRPr="00D420A3">
        <w:rPr>
          <w:rFonts w:ascii="Avenir Book" w:hAnsi="Avenir Book"/>
          <w:vertAlign w:val="superscript"/>
        </w:rPr>
        <w:t>st</w:t>
      </w:r>
      <w:r w:rsidR="00527100" w:rsidRPr="00D420A3">
        <w:rPr>
          <w:rFonts w:ascii="Avenir Book" w:hAnsi="Avenir Book"/>
        </w:rPr>
        <w:t xml:space="preserve"> century,’ (Welsh Assembly Government, 2008). </w:t>
      </w:r>
      <w:r w:rsidR="000C4126" w:rsidRPr="00D420A3">
        <w:rPr>
          <w:rFonts w:ascii="Avenir Book" w:hAnsi="Avenir Book"/>
        </w:rPr>
        <w:t>Welsh Assembly Government, (2008) states that ESDGC is not simply another subject to be taught in schools but instead is an ethos that should be embedded throughout school life as it is about attitudes, values, skills and understanding that links the environment and people together, recognising that the world is not equal or just but can be shaped and/or changed by those who populate it. ESDGC aims to engage young people in their learning and develop critical thinking skills, (Welsh Assembly Government, 20</w:t>
      </w:r>
      <w:r w:rsidR="009E6729" w:rsidRPr="00D420A3">
        <w:rPr>
          <w:rFonts w:ascii="Avenir Book" w:hAnsi="Avenir Book"/>
        </w:rPr>
        <w:t xml:space="preserve">08). </w:t>
      </w:r>
      <w:r w:rsidR="004758ED" w:rsidRPr="00D420A3">
        <w:rPr>
          <w:rFonts w:ascii="Avenir Book" w:hAnsi="Avenir Book"/>
        </w:rPr>
        <w:t>According to Bennell, (2015) ESDGC in schools promotes nine key concepts: ‘interdependence, citizenship and stewardship, needs and rights, diversity, sustainable change, quality of life, uncertainty and precaution, values and perceptions, and conflict resolution.’</w:t>
      </w:r>
    </w:p>
    <w:p w14:paraId="29F0B19D" w14:textId="5B086ED8" w:rsidR="00EB4609" w:rsidRPr="00D420A3" w:rsidRDefault="005B1359" w:rsidP="00A2122B">
      <w:pPr>
        <w:spacing w:before="240" w:after="240" w:line="360" w:lineRule="auto"/>
        <w:jc w:val="both"/>
        <w:rPr>
          <w:rFonts w:ascii="Avenir Book" w:hAnsi="Avenir Book"/>
        </w:rPr>
      </w:pPr>
      <w:r w:rsidRPr="00D420A3">
        <w:rPr>
          <w:rFonts w:ascii="Avenir Book" w:hAnsi="Avenir Book"/>
        </w:rPr>
        <w:lastRenderedPageBreak/>
        <w:t xml:space="preserve">ESDGC in Wales has received little attention and research in relation to its effectiveness, however, research has been completed about its </w:t>
      </w:r>
      <w:r w:rsidR="00EB4609" w:rsidRPr="00D420A3">
        <w:rPr>
          <w:rFonts w:ascii="Avenir Book" w:hAnsi="Avenir Book"/>
        </w:rPr>
        <w:t xml:space="preserve">creation, </w:t>
      </w:r>
      <w:r w:rsidRPr="00D420A3">
        <w:rPr>
          <w:rFonts w:ascii="Avenir Book" w:hAnsi="Avenir Book"/>
        </w:rPr>
        <w:t>implementation</w:t>
      </w:r>
      <w:r w:rsidR="004758ED" w:rsidRPr="00D420A3">
        <w:rPr>
          <w:rFonts w:ascii="Avenir Book" w:hAnsi="Avenir Book"/>
        </w:rPr>
        <w:t xml:space="preserve"> and the involvement of leadership, </w:t>
      </w:r>
      <w:r w:rsidR="00092FA2" w:rsidRPr="00D420A3">
        <w:rPr>
          <w:rFonts w:ascii="Avenir Book" w:hAnsi="Avenir Book"/>
        </w:rPr>
        <w:t>collaboration,</w:t>
      </w:r>
      <w:r w:rsidR="004758ED" w:rsidRPr="00D420A3">
        <w:rPr>
          <w:rFonts w:ascii="Avenir Book" w:hAnsi="Avenir Book"/>
        </w:rPr>
        <w:t xml:space="preserve"> and networking in primary schools. This research has highlighted some valid concerns in relation to the </w:t>
      </w:r>
      <w:r w:rsidR="001E78EA" w:rsidRPr="00D420A3">
        <w:rPr>
          <w:rFonts w:ascii="Avenir Book" w:hAnsi="Avenir Book"/>
        </w:rPr>
        <w:t>concept’s</w:t>
      </w:r>
      <w:r w:rsidR="004758ED" w:rsidRPr="00D420A3">
        <w:rPr>
          <w:rFonts w:ascii="Avenir Book" w:hAnsi="Avenir Book"/>
        </w:rPr>
        <w:t xml:space="preserve"> implementation. </w:t>
      </w:r>
      <w:r w:rsidR="001E78EA" w:rsidRPr="00D420A3">
        <w:rPr>
          <w:rFonts w:ascii="Avenir Book" w:hAnsi="Avenir Book"/>
        </w:rPr>
        <w:t>One of which i</w:t>
      </w:r>
      <w:r w:rsidR="0039467D">
        <w:rPr>
          <w:rFonts w:ascii="Avenir Book" w:hAnsi="Avenir Book"/>
        </w:rPr>
        <w:t>s</w:t>
      </w:r>
      <w:r w:rsidR="001E78EA" w:rsidRPr="00D420A3">
        <w:rPr>
          <w:rFonts w:ascii="Avenir Book" w:hAnsi="Avenir Book"/>
        </w:rPr>
        <w:t xml:space="preserve"> the limited funds that are available for teacher professional development, (Bennell, 2015) and (Norcliffe and Bennell, 2010). It could be argued that this is a big concern in relation to the successful implementation </w:t>
      </w:r>
      <w:r w:rsidR="00EB4609" w:rsidRPr="00D420A3">
        <w:rPr>
          <w:rFonts w:ascii="Avenir Book" w:hAnsi="Avenir Book"/>
        </w:rPr>
        <w:t>of ESDGC particularly due to the overly complex nature to the concept, (Norcliffe and Bennell, 2010)</w:t>
      </w:r>
      <w:r w:rsidR="001A5A42" w:rsidRPr="00D420A3">
        <w:rPr>
          <w:rFonts w:ascii="Avenir Book" w:hAnsi="Avenir Book"/>
        </w:rPr>
        <w:t xml:space="preserve"> although, Norcliffe and Bennell, (2010) continue to suggest that some participants believed that the concepts are well understood because schools and local education authorities are already using them successfully</w:t>
      </w:r>
      <w:r w:rsidR="00EB4609" w:rsidRPr="00D420A3">
        <w:rPr>
          <w:rFonts w:ascii="Avenir Book" w:hAnsi="Avenir Book"/>
        </w:rPr>
        <w:t>. However, Norcli</w:t>
      </w:r>
      <w:r w:rsidR="001A5A42" w:rsidRPr="00D420A3">
        <w:rPr>
          <w:rFonts w:ascii="Avenir Book" w:hAnsi="Avenir Book"/>
        </w:rPr>
        <w:t>ff</w:t>
      </w:r>
      <w:r w:rsidR="00EB4609" w:rsidRPr="00D420A3">
        <w:rPr>
          <w:rFonts w:ascii="Avenir Book" w:hAnsi="Avenir Book"/>
        </w:rPr>
        <w:t xml:space="preserve">e and Bennell, (2010) state that although there were </w:t>
      </w:r>
      <w:proofErr w:type="gramStart"/>
      <w:r w:rsidR="00EB4609" w:rsidRPr="00D420A3">
        <w:rPr>
          <w:rFonts w:ascii="Avenir Book" w:hAnsi="Avenir Book"/>
        </w:rPr>
        <w:t>a number of</w:t>
      </w:r>
      <w:proofErr w:type="gramEnd"/>
      <w:r w:rsidR="00EB4609" w:rsidRPr="00D420A3">
        <w:rPr>
          <w:rFonts w:ascii="Avenir Book" w:hAnsi="Avenir Book"/>
        </w:rPr>
        <w:t xml:space="preserve"> issues arising during the creation of ESDGC in Wales, such as the lack of minority ethnic or practising </w:t>
      </w:r>
      <w:r w:rsidR="007C71B8" w:rsidRPr="00D420A3">
        <w:rPr>
          <w:rFonts w:ascii="Avenir Book" w:hAnsi="Avenir Book"/>
        </w:rPr>
        <w:t>teachers’</w:t>
      </w:r>
      <w:r w:rsidR="001A5A42" w:rsidRPr="00D420A3">
        <w:rPr>
          <w:rFonts w:ascii="Avenir Book" w:hAnsi="Avenir Book"/>
        </w:rPr>
        <w:t xml:space="preserve"> </w:t>
      </w:r>
      <w:r w:rsidR="00EB4609" w:rsidRPr="00D420A3">
        <w:rPr>
          <w:rFonts w:ascii="Avenir Book" w:hAnsi="Avenir Book"/>
        </w:rPr>
        <w:t xml:space="preserve">representation </w:t>
      </w:r>
      <w:r w:rsidR="001A5A42" w:rsidRPr="00D420A3">
        <w:rPr>
          <w:rFonts w:ascii="Avenir Book" w:hAnsi="Avenir Book"/>
        </w:rPr>
        <w:t xml:space="preserve">and the significant difference of delivery throughout Wales, it is clear that ESDGC has significant benefits to education systems such as improving </w:t>
      </w:r>
      <w:r w:rsidR="00991981" w:rsidRPr="00D420A3">
        <w:rPr>
          <w:rFonts w:ascii="Avenir Book" w:hAnsi="Avenir Book"/>
        </w:rPr>
        <w:t xml:space="preserve">attitudes and critical understanding of the world, (Norcliffe and Bennell, 2010). Norcliffe and Bennell, (2010) states that ESDGC policy in Wales, is making positives steps in the right direction despite there being issues with the design and implementation, although they also highlight that the policy is not perfect and still has a long way to go. </w:t>
      </w:r>
    </w:p>
    <w:p w14:paraId="51FDA9E6" w14:textId="06D1F6D7" w:rsidR="009E6729" w:rsidRPr="00D420A3" w:rsidRDefault="009E6729" w:rsidP="00A2122B">
      <w:pPr>
        <w:spacing w:before="240" w:after="240" w:line="360" w:lineRule="auto"/>
        <w:jc w:val="both"/>
        <w:rPr>
          <w:rFonts w:ascii="Avenir Book" w:hAnsi="Avenir Book"/>
        </w:rPr>
      </w:pPr>
      <w:r w:rsidRPr="00D420A3">
        <w:rPr>
          <w:rFonts w:ascii="Avenir Book" w:hAnsi="Avenir Book"/>
        </w:rPr>
        <w:t>With that in mind it is important to consider that Wales is just one small country in the world and other countries have very different interpretations of the concept and how it s</w:t>
      </w:r>
      <w:r w:rsidR="001E78EA" w:rsidRPr="00D420A3">
        <w:rPr>
          <w:rFonts w:ascii="Avenir Book" w:hAnsi="Avenir Book"/>
        </w:rPr>
        <w:t>hould</w:t>
      </w:r>
      <w:r w:rsidRPr="00D420A3">
        <w:rPr>
          <w:rFonts w:ascii="Avenir Book" w:hAnsi="Avenir Book"/>
        </w:rPr>
        <w:t xml:space="preserve"> be delivered. </w:t>
      </w:r>
      <w:r w:rsidR="00324EEB" w:rsidRPr="00D420A3">
        <w:rPr>
          <w:rFonts w:ascii="Avenir Book" w:hAnsi="Avenir Book"/>
        </w:rPr>
        <w:t xml:space="preserve">One difference between Wales and many other countries is that Wales incorporated and combined ESD and GCE, (Norcliffe and Bennell, 2010). </w:t>
      </w:r>
      <w:r w:rsidR="00442C14" w:rsidRPr="00D420A3">
        <w:rPr>
          <w:rFonts w:ascii="Avenir Book" w:hAnsi="Avenir Book"/>
        </w:rPr>
        <w:t xml:space="preserve">Due to this the remainder of this section will focus predominantly on GCE. </w:t>
      </w:r>
    </w:p>
    <w:p w14:paraId="4060950C" w14:textId="11A3304F" w:rsidR="000E65E3" w:rsidRPr="00D420A3" w:rsidRDefault="000E65E3" w:rsidP="00A2122B">
      <w:pPr>
        <w:spacing w:before="240" w:after="240" w:line="360" w:lineRule="auto"/>
        <w:jc w:val="both"/>
        <w:rPr>
          <w:rFonts w:ascii="Avenir Book" w:hAnsi="Avenir Book"/>
        </w:rPr>
      </w:pPr>
      <w:r w:rsidRPr="00D420A3">
        <w:rPr>
          <w:rFonts w:ascii="Avenir Book" w:hAnsi="Avenir Book"/>
        </w:rPr>
        <w:t xml:space="preserve">As previously </w:t>
      </w:r>
      <w:r w:rsidR="007C71B8" w:rsidRPr="00D420A3">
        <w:rPr>
          <w:rFonts w:ascii="Avenir Book" w:hAnsi="Avenir Book"/>
        </w:rPr>
        <w:t>mentioned</w:t>
      </w:r>
      <w:r w:rsidRPr="00D420A3">
        <w:rPr>
          <w:rFonts w:ascii="Avenir Book" w:hAnsi="Avenir Book"/>
        </w:rPr>
        <w:t xml:space="preserve"> GCE is a highly contested concept partly due to the close relation it has to national contexts, (Akkari and Maleq, 2020, pp.3).</w:t>
      </w:r>
      <w:r w:rsidR="00B11867" w:rsidRPr="00D420A3">
        <w:rPr>
          <w:rFonts w:ascii="Avenir Book" w:hAnsi="Avenir Book"/>
        </w:rPr>
        <w:t xml:space="preserve"> It is argued that </w:t>
      </w:r>
      <w:r w:rsidR="00B11867" w:rsidRPr="00D420A3">
        <w:rPr>
          <w:rFonts w:ascii="Avenir Book" w:hAnsi="Avenir Book"/>
        </w:rPr>
        <w:lastRenderedPageBreak/>
        <w:t xml:space="preserve">GCE needs to be adapted to consider the different dimensions of citizenship however UNESCO recently made attempts to make the concept universal and </w:t>
      </w:r>
      <w:r w:rsidR="007C71B8" w:rsidRPr="00D420A3">
        <w:rPr>
          <w:rFonts w:ascii="Avenir Book" w:hAnsi="Avenir Book"/>
        </w:rPr>
        <w:t>local,</w:t>
      </w:r>
      <w:r w:rsidR="00B11867" w:rsidRPr="00D420A3">
        <w:rPr>
          <w:rFonts w:ascii="Avenir Book" w:hAnsi="Avenir Book"/>
        </w:rPr>
        <w:t xml:space="preserve"> yet they failed to include</w:t>
      </w:r>
      <w:r w:rsidR="00F329C4" w:rsidRPr="00D420A3">
        <w:rPr>
          <w:rFonts w:ascii="Avenir Book" w:hAnsi="Avenir Book"/>
        </w:rPr>
        <w:t xml:space="preserve"> all </w:t>
      </w:r>
      <w:r w:rsidR="007C71B8" w:rsidRPr="00D420A3">
        <w:rPr>
          <w:rFonts w:ascii="Avenir Book" w:hAnsi="Avenir Book"/>
        </w:rPr>
        <w:t>stakeholders’</w:t>
      </w:r>
      <w:r w:rsidR="00F329C4" w:rsidRPr="00D420A3">
        <w:rPr>
          <w:rFonts w:ascii="Avenir Book" w:hAnsi="Avenir Book"/>
        </w:rPr>
        <w:t xml:space="preserve"> voices into equal account, (UNESCO, 2018) and (Akkari and Maleq, 2020, pp. 5). </w:t>
      </w:r>
      <w:r w:rsidR="00D51D3D" w:rsidRPr="00D420A3">
        <w:rPr>
          <w:rFonts w:ascii="Avenir Book" w:hAnsi="Avenir Book"/>
        </w:rPr>
        <w:t xml:space="preserve">Target 4.7 of UNESCO’s </w:t>
      </w:r>
      <w:proofErr w:type="gramStart"/>
      <w:r w:rsidR="00087013" w:rsidRPr="00D420A3">
        <w:rPr>
          <w:rFonts w:ascii="Avenir Book" w:hAnsi="Avenir Book"/>
        </w:rPr>
        <w:t>SDG’s</w:t>
      </w:r>
      <w:proofErr w:type="gramEnd"/>
      <w:r w:rsidR="00D51D3D" w:rsidRPr="00D420A3">
        <w:rPr>
          <w:rFonts w:ascii="Avenir Book" w:hAnsi="Avenir Book"/>
        </w:rPr>
        <w:t xml:space="preserve"> provides an ambitious list of objectives aiming to </w:t>
      </w:r>
      <w:r w:rsidR="0021331F" w:rsidRPr="00D420A3">
        <w:rPr>
          <w:rFonts w:ascii="Avenir Book" w:hAnsi="Avenir Book"/>
        </w:rPr>
        <w:t xml:space="preserve">promote ESDGC however due to the complex nature of the concepts and the lack of both </w:t>
      </w:r>
      <w:r w:rsidR="007C71B8" w:rsidRPr="00D420A3">
        <w:rPr>
          <w:rFonts w:ascii="Avenir Book" w:hAnsi="Avenir Book"/>
        </w:rPr>
        <w:t>prioritization</w:t>
      </w:r>
      <w:r w:rsidR="0021331F" w:rsidRPr="00D420A3">
        <w:rPr>
          <w:rFonts w:ascii="Avenir Book" w:hAnsi="Avenir Book"/>
        </w:rPr>
        <w:t xml:space="preserve"> and structure of the numerous objectives, educat</w:t>
      </w:r>
      <w:r w:rsidR="006644A2" w:rsidRPr="00D420A3">
        <w:rPr>
          <w:rFonts w:ascii="Avenir Book" w:hAnsi="Avenir Book"/>
        </w:rPr>
        <w:t>o</w:t>
      </w:r>
      <w:r w:rsidR="0021331F" w:rsidRPr="00D420A3">
        <w:rPr>
          <w:rFonts w:ascii="Avenir Book" w:hAnsi="Avenir Book"/>
        </w:rPr>
        <w:t xml:space="preserve">rs </w:t>
      </w:r>
      <w:r w:rsidR="006644A2" w:rsidRPr="00D420A3">
        <w:rPr>
          <w:rFonts w:ascii="Avenir Book" w:hAnsi="Avenir Book"/>
        </w:rPr>
        <w:t xml:space="preserve">have limited ability to understand and pursue the target, (Akkari and Maleq, 2020, pp. 5). Another issue with this target is the complicated nature of assessing the target. The target is vague and has ambitious objectives which lack precision making it incredibly difficult to assess or monitor the progress of achievement, (Akkari and Maleq, 2020, pp.5). </w:t>
      </w:r>
      <w:r w:rsidR="00F63B5C" w:rsidRPr="00D420A3">
        <w:rPr>
          <w:rFonts w:ascii="Avenir Book" w:hAnsi="Avenir Book"/>
        </w:rPr>
        <w:t xml:space="preserve">These issues have resulted in a wide range of conceptions and objectives coexisting, requiring us to think about the different models of citizenship that exist, (Akkari and Maleq, 2020, pp. 8). This is not necessarily a negative issue, </w:t>
      </w:r>
      <w:r w:rsidR="005A05AA" w:rsidRPr="00D420A3">
        <w:rPr>
          <w:rFonts w:ascii="Avenir Book" w:hAnsi="Avenir Book"/>
        </w:rPr>
        <w:t>UNESCO, (</w:t>
      </w:r>
      <w:r w:rsidR="00D420A3" w:rsidRPr="00D420A3">
        <w:rPr>
          <w:rFonts w:ascii="Avenir Book" w:hAnsi="Avenir Book"/>
        </w:rPr>
        <w:t>2017</w:t>
      </w:r>
      <w:r w:rsidR="005A05AA" w:rsidRPr="00D420A3">
        <w:rPr>
          <w:rFonts w:ascii="Avenir Book" w:hAnsi="Avenir Book"/>
        </w:rPr>
        <w:t xml:space="preserve">) have provided a broad list of learning objectives which have been left open to interpretation, allowing countries to consider what is important for their region and not being constricted to specific learning objectives that may not be relevant to their country or citizens. </w:t>
      </w:r>
    </w:p>
    <w:p w14:paraId="50EBB390" w14:textId="5233D95D" w:rsidR="005A05AA" w:rsidRPr="00D420A3" w:rsidRDefault="005A05AA" w:rsidP="00A2122B">
      <w:pPr>
        <w:spacing w:before="240" w:after="240" w:line="360" w:lineRule="auto"/>
        <w:jc w:val="both"/>
        <w:rPr>
          <w:rFonts w:ascii="Avenir Book" w:hAnsi="Avenir Book"/>
        </w:rPr>
      </w:pPr>
      <w:r w:rsidRPr="00D420A3">
        <w:rPr>
          <w:rFonts w:ascii="Avenir Book" w:hAnsi="Avenir Book"/>
        </w:rPr>
        <w:t xml:space="preserve">One such interpretation is that of </w:t>
      </w:r>
      <w:r w:rsidR="00C064CD" w:rsidRPr="00D420A3">
        <w:rPr>
          <w:rFonts w:ascii="Avenir Book" w:hAnsi="Avenir Book"/>
        </w:rPr>
        <w:t xml:space="preserve">Kazakhstan, who have </w:t>
      </w:r>
      <w:proofErr w:type="gramStart"/>
      <w:r w:rsidR="00C064CD" w:rsidRPr="00D420A3">
        <w:rPr>
          <w:rFonts w:ascii="Avenir Book" w:hAnsi="Avenir Book"/>
        </w:rPr>
        <w:t>fairly recently</w:t>
      </w:r>
      <w:proofErr w:type="gramEnd"/>
      <w:r w:rsidR="00C064CD" w:rsidRPr="00D420A3">
        <w:rPr>
          <w:rFonts w:ascii="Avenir Book" w:hAnsi="Avenir Book"/>
        </w:rPr>
        <w:t xml:space="preserve"> gone through big changes to their country after gaining independence from the Soviet Union in 1991, (U.S. Department of State, 2017). </w:t>
      </w:r>
      <w:r w:rsidR="007C71B8" w:rsidRPr="00D420A3">
        <w:rPr>
          <w:rFonts w:ascii="Avenir Book" w:hAnsi="Avenir Book"/>
        </w:rPr>
        <w:t>Kazakhstan’s</w:t>
      </w:r>
      <w:r w:rsidR="00C064CD" w:rsidRPr="00D420A3">
        <w:rPr>
          <w:rFonts w:ascii="Avenir Book" w:hAnsi="Avenir Book"/>
        </w:rPr>
        <w:t xml:space="preserve"> approach to GCE is centred around the linguistics of the country. </w:t>
      </w:r>
      <w:proofErr w:type="gramStart"/>
      <w:r w:rsidR="00C064CD" w:rsidRPr="00D420A3">
        <w:rPr>
          <w:rFonts w:ascii="Avenir Book" w:hAnsi="Avenir Book"/>
        </w:rPr>
        <w:t>Similar to</w:t>
      </w:r>
      <w:proofErr w:type="gramEnd"/>
      <w:r w:rsidR="00C064CD" w:rsidRPr="00D420A3">
        <w:rPr>
          <w:rFonts w:ascii="Avenir Book" w:hAnsi="Avenir Book"/>
        </w:rPr>
        <w:t xml:space="preserve"> Wales in that Welsh education has a large focus on </w:t>
      </w:r>
      <w:r w:rsidR="00F66BF2" w:rsidRPr="00D420A3">
        <w:rPr>
          <w:rFonts w:ascii="Avenir Book" w:hAnsi="Avenir Book"/>
        </w:rPr>
        <w:t>the promotion of the Welsh language, Kazakhstan is using the opportunity to promote Kazakh as the official state language instead of Russian whilst also incorporating the development of the English language for the successful integration of the global economy, (</w:t>
      </w:r>
      <w:r w:rsidR="001320B9" w:rsidRPr="00D420A3">
        <w:rPr>
          <w:rFonts w:ascii="Avenir Book" w:hAnsi="Avenir Book"/>
        </w:rPr>
        <w:t xml:space="preserve">Seidikenova, Akkari and Bakitov, 2020, </w:t>
      </w:r>
      <w:r w:rsidR="00675F16" w:rsidRPr="00D420A3">
        <w:rPr>
          <w:rFonts w:ascii="Avenir Book" w:hAnsi="Avenir Book"/>
        </w:rPr>
        <w:t>pp. 64-65</w:t>
      </w:r>
      <w:r w:rsidR="00F66BF2" w:rsidRPr="00D420A3">
        <w:rPr>
          <w:rFonts w:ascii="Avenir Book" w:hAnsi="Avenir Book"/>
        </w:rPr>
        <w:t>) and (</w:t>
      </w:r>
      <w:r w:rsidR="00CF57F4" w:rsidRPr="00D420A3">
        <w:rPr>
          <w:rFonts w:ascii="Avenir Book" w:hAnsi="Avenir Book"/>
        </w:rPr>
        <w:t>Welsh Government</w:t>
      </w:r>
      <w:r w:rsidR="008415FE" w:rsidRPr="00D420A3">
        <w:rPr>
          <w:rFonts w:ascii="Avenir Book" w:hAnsi="Avenir Book"/>
        </w:rPr>
        <w:t>, 2017</w:t>
      </w:r>
      <w:r w:rsidR="00CF57F4" w:rsidRPr="00D420A3">
        <w:rPr>
          <w:rFonts w:ascii="Avenir Book" w:hAnsi="Avenir Book"/>
        </w:rPr>
        <w:t>, pp.14</w:t>
      </w:r>
      <w:r w:rsidR="00F66BF2" w:rsidRPr="00D420A3">
        <w:rPr>
          <w:rFonts w:ascii="Avenir Book" w:hAnsi="Avenir Book"/>
        </w:rPr>
        <w:t xml:space="preserve">). Kazakh however differs to Wales as their approach </w:t>
      </w:r>
      <w:r w:rsidR="00675F16" w:rsidRPr="00D420A3">
        <w:rPr>
          <w:rFonts w:ascii="Avenir Book" w:hAnsi="Avenir Book"/>
        </w:rPr>
        <w:t>aims to integrate</w:t>
      </w:r>
      <w:r w:rsidR="00F66BF2" w:rsidRPr="00D420A3">
        <w:rPr>
          <w:rFonts w:ascii="Avenir Book" w:hAnsi="Avenir Book"/>
        </w:rPr>
        <w:t xml:space="preserve"> GCE</w:t>
      </w:r>
      <w:r w:rsidR="00675F16" w:rsidRPr="00D420A3">
        <w:rPr>
          <w:rFonts w:ascii="Avenir Book" w:hAnsi="Avenir Book"/>
        </w:rPr>
        <w:t xml:space="preserve"> </w:t>
      </w:r>
      <w:r w:rsidR="00092FA2" w:rsidRPr="00D420A3">
        <w:rPr>
          <w:rFonts w:ascii="Avenir Book" w:hAnsi="Avenir Book"/>
        </w:rPr>
        <w:t>using</w:t>
      </w:r>
      <w:r w:rsidR="00F66BF2" w:rsidRPr="00D420A3">
        <w:rPr>
          <w:rFonts w:ascii="Avenir Book" w:hAnsi="Avenir Book"/>
        </w:rPr>
        <w:t xml:space="preserve"> multicultural integration and </w:t>
      </w:r>
      <w:r w:rsidR="00675F16" w:rsidRPr="00D420A3">
        <w:rPr>
          <w:rFonts w:ascii="Avenir Book" w:hAnsi="Avenir Book"/>
        </w:rPr>
        <w:t xml:space="preserve">inter-ethnic relations and they use the </w:t>
      </w:r>
      <w:r w:rsidR="007C71B8" w:rsidRPr="00D420A3">
        <w:rPr>
          <w:rFonts w:ascii="Avenir Book" w:hAnsi="Avenir Book"/>
        </w:rPr>
        <w:t>Governments</w:t>
      </w:r>
      <w:r w:rsidR="00675F16" w:rsidRPr="00D420A3">
        <w:rPr>
          <w:rFonts w:ascii="Avenir Book" w:hAnsi="Avenir Book"/>
        </w:rPr>
        <w:t xml:space="preserve"> Cultural Project’ Trinity of </w:t>
      </w:r>
      <w:r w:rsidR="007C71B8" w:rsidRPr="00D420A3">
        <w:rPr>
          <w:rFonts w:ascii="Avenir Book" w:hAnsi="Avenir Book"/>
        </w:rPr>
        <w:t>Languages</w:t>
      </w:r>
      <w:r w:rsidR="00675F16" w:rsidRPr="00D420A3">
        <w:rPr>
          <w:rFonts w:ascii="Avenir Book" w:hAnsi="Avenir Book"/>
        </w:rPr>
        <w:t xml:space="preserve"> to </w:t>
      </w:r>
      <w:r w:rsidR="00675F16" w:rsidRPr="00D420A3">
        <w:rPr>
          <w:rFonts w:ascii="Avenir Book" w:hAnsi="Avenir Book"/>
        </w:rPr>
        <w:lastRenderedPageBreak/>
        <w:t>achieve this, (</w:t>
      </w:r>
      <w:r w:rsidR="001320B9" w:rsidRPr="00D420A3">
        <w:rPr>
          <w:rFonts w:ascii="Avenir Book" w:hAnsi="Avenir Book"/>
        </w:rPr>
        <w:t>Seidikenova, Akkari and Bakitov, 2020</w:t>
      </w:r>
      <w:r w:rsidR="00675F16" w:rsidRPr="00D420A3">
        <w:rPr>
          <w:rFonts w:ascii="Avenir Book" w:hAnsi="Avenir Book"/>
        </w:rPr>
        <w:t xml:space="preserve">, pp. 64-65). GCE in </w:t>
      </w:r>
      <w:r w:rsidR="007C71B8" w:rsidRPr="00D420A3">
        <w:rPr>
          <w:rFonts w:ascii="Avenir Book" w:hAnsi="Avenir Book"/>
        </w:rPr>
        <w:t>Kazakhstan</w:t>
      </w:r>
      <w:r w:rsidR="00675F16" w:rsidRPr="00D420A3">
        <w:rPr>
          <w:rFonts w:ascii="Avenir Book" w:hAnsi="Avenir Book"/>
        </w:rPr>
        <w:t xml:space="preserve"> is however an unfinished concept due to the recent changes, </w:t>
      </w:r>
      <w:r w:rsidR="001320B9" w:rsidRPr="00D420A3">
        <w:rPr>
          <w:rFonts w:ascii="Avenir Book" w:hAnsi="Avenir Book"/>
        </w:rPr>
        <w:t xml:space="preserve">Seidikenova, Akkari and Bakitov, (2020, </w:t>
      </w:r>
      <w:r w:rsidR="00675F16" w:rsidRPr="00D420A3">
        <w:rPr>
          <w:rFonts w:ascii="Avenir Book" w:hAnsi="Avenir Book"/>
        </w:rPr>
        <w:t xml:space="preserve">pp.67) suggests that Al-Farabi educational theory </w:t>
      </w:r>
      <w:r w:rsidR="00CF57F4" w:rsidRPr="00D420A3">
        <w:rPr>
          <w:rFonts w:ascii="Avenir Book" w:hAnsi="Avenir Book"/>
        </w:rPr>
        <w:t xml:space="preserve">could be used as inspiration to improve and cement GCE into </w:t>
      </w:r>
      <w:r w:rsidR="007C71B8" w:rsidRPr="00D420A3">
        <w:rPr>
          <w:rFonts w:ascii="Avenir Book" w:hAnsi="Avenir Book"/>
        </w:rPr>
        <w:t>Kazakhstan’s</w:t>
      </w:r>
      <w:r w:rsidR="00CF57F4" w:rsidRPr="00D420A3">
        <w:rPr>
          <w:rFonts w:ascii="Avenir Book" w:hAnsi="Avenir Book"/>
        </w:rPr>
        <w:t xml:space="preserve"> education system. </w:t>
      </w:r>
    </w:p>
    <w:p w14:paraId="70485774" w14:textId="6A566669" w:rsidR="00ED0900" w:rsidRPr="00D420A3" w:rsidRDefault="00C721FA" w:rsidP="00A2122B">
      <w:pPr>
        <w:spacing w:before="240" w:after="240" w:line="360" w:lineRule="auto"/>
        <w:jc w:val="both"/>
        <w:rPr>
          <w:rFonts w:ascii="Avenir Book" w:hAnsi="Avenir Book"/>
        </w:rPr>
      </w:pPr>
      <w:r w:rsidRPr="00D420A3">
        <w:rPr>
          <w:rFonts w:ascii="Avenir Book" w:hAnsi="Avenir Book"/>
        </w:rPr>
        <w:t xml:space="preserve">Wales is currently in the process of changing </w:t>
      </w:r>
      <w:r w:rsidR="009206CA" w:rsidRPr="00D420A3">
        <w:rPr>
          <w:rFonts w:ascii="Avenir Book" w:hAnsi="Avenir Book"/>
        </w:rPr>
        <w:t xml:space="preserve">to a new Curriculum following an independent curriculum review by Professor Graham Donaldson in 2015, (Donaldson, 2015). </w:t>
      </w:r>
      <w:r w:rsidR="009A7BA0" w:rsidRPr="00D420A3">
        <w:rPr>
          <w:rFonts w:ascii="Avenir Book" w:hAnsi="Avenir Book"/>
        </w:rPr>
        <w:t xml:space="preserve">The New Curriculum for Wales 2022 has set four purposes to the curriculum, to support children to become </w:t>
      </w:r>
      <w:r w:rsidR="00DD43A9" w:rsidRPr="00D420A3">
        <w:rPr>
          <w:rFonts w:ascii="Avenir Book" w:hAnsi="Avenir Book"/>
        </w:rPr>
        <w:t xml:space="preserve">ambitious, capable learners, enterprising creative </w:t>
      </w:r>
      <w:r w:rsidR="007C71B8" w:rsidRPr="00D420A3">
        <w:rPr>
          <w:rFonts w:ascii="Avenir Book" w:hAnsi="Avenir Book"/>
        </w:rPr>
        <w:t>contributors</w:t>
      </w:r>
      <w:r w:rsidR="00DD43A9" w:rsidRPr="00D420A3">
        <w:rPr>
          <w:rFonts w:ascii="Avenir Book" w:hAnsi="Avenir Book"/>
        </w:rPr>
        <w:t xml:space="preserve">, healthy, confident </w:t>
      </w:r>
      <w:r w:rsidR="00092FA2" w:rsidRPr="00D420A3">
        <w:rPr>
          <w:rFonts w:ascii="Avenir Book" w:hAnsi="Avenir Book"/>
        </w:rPr>
        <w:t>individuals,</w:t>
      </w:r>
      <w:r w:rsidR="00DD43A9" w:rsidRPr="00D420A3">
        <w:rPr>
          <w:rFonts w:ascii="Avenir Book" w:hAnsi="Avenir Book"/>
        </w:rPr>
        <w:t xml:space="preserve"> and ethical, informed citizens, (</w:t>
      </w:r>
      <w:r w:rsidR="00CF0622" w:rsidRPr="00D420A3">
        <w:rPr>
          <w:rFonts w:ascii="Avenir Book" w:hAnsi="Avenir Book"/>
        </w:rPr>
        <w:t>Department of Education, 2021</w:t>
      </w:r>
      <w:r w:rsidR="00DD43A9" w:rsidRPr="00D420A3">
        <w:rPr>
          <w:rFonts w:ascii="Avenir Book" w:hAnsi="Avenir Book"/>
        </w:rPr>
        <w:t xml:space="preserve">). These purposes encompass both UNESCO’s </w:t>
      </w:r>
      <w:r w:rsidR="00087013" w:rsidRPr="00D420A3">
        <w:rPr>
          <w:rFonts w:ascii="Avenir Book" w:hAnsi="Avenir Book"/>
        </w:rPr>
        <w:t>SDG’s</w:t>
      </w:r>
      <w:r w:rsidR="00DD43A9" w:rsidRPr="00D420A3">
        <w:rPr>
          <w:rFonts w:ascii="Avenir Book" w:hAnsi="Avenir Book"/>
        </w:rPr>
        <w:t xml:space="preserve"> and </w:t>
      </w:r>
      <w:r w:rsidR="00F0673D" w:rsidRPr="00D420A3">
        <w:rPr>
          <w:rFonts w:ascii="Avenir Book" w:hAnsi="Avenir Book"/>
        </w:rPr>
        <w:t>the Welsh Assembly Governments guidance on ESDGC, (</w:t>
      </w:r>
      <w:r w:rsidR="00605887" w:rsidRPr="00D420A3">
        <w:rPr>
          <w:rFonts w:ascii="Avenir Book" w:hAnsi="Avenir Book"/>
        </w:rPr>
        <w:t xml:space="preserve">Welsh Assembly </w:t>
      </w:r>
      <w:r w:rsidR="007C71B8" w:rsidRPr="00D420A3">
        <w:rPr>
          <w:rFonts w:ascii="Avenir Book" w:hAnsi="Avenir Book"/>
        </w:rPr>
        <w:t>Government</w:t>
      </w:r>
      <w:r w:rsidR="00605887" w:rsidRPr="00D420A3">
        <w:rPr>
          <w:rFonts w:ascii="Avenir Book" w:hAnsi="Avenir Book"/>
        </w:rPr>
        <w:t>, 2008) and (UNESCO, 2015)</w:t>
      </w:r>
      <w:r w:rsidR="00F0673D" w:rsidRPr="00D420A3">
        <w:rPr>
          <w:rFonts w:ascii="Avenir Book" w:hAnsi="Avenir Book"/>
        </w:rPr>
        <w:t>. Another aspect of the curriculum which has been informed by ESDGC practices and the</w:t>
      </w:r>
      <w:r w:rsidR="00087013" w:rsidRPr="00D420A3">
        <w:rPr>
          <w:rFonts w:ascii="Avenir Book" w:hAnsi="Avenir Book"/>
        </w:rPr>
        <w:t xml:space="preserve"> </w:t>
      </w:r>
      <w:proofErr w:type="gramStart"/>
      <w:r w:rsidR="00087013" w:rsidRPr="00D420A3">
        <w:rPr>
          <w:rFonts w:ascii="Avenir Book" w:hAnsi="Avenir Book"/>
        </w:rPr>
        <w:t>SDG’s</w:t>
      </w:r>
      <w:proofErr w:type="gramEnd"/>
      <w:r w:rsidR="00F0673D" w:rsidRPr="00D420A3">
        <w:rPr>
          <w:rFonts w:ascii="Avenir Book" w:hAnsi="Avenir Book"/>
        </w:rPr>
        <w:t xml:space="preserve"> are the six new areas of learning experience (AoLE), particularly, health and wellbeing and humanities, </w:t>
      </w:r>
      <w:r w:rsidR="00CF0622" w:rsidRPr="00D420A3">
        <w:rPr>
          <w:rFonts w:ascii="Avenir Book" w:hAnsi="Avenir Book"/>
        </w:rPr>
        <w:t>(Department of Education, 2021)</w:t>
      </w:r>
      <w:r w:rsidR="00F0673D" w:rsidRPr="00D420A3">
        <w:rPr>
          <w:rFonts w:ascii="Avenir Book" w:hAnsi="Avenir Book"/>
        </w:rPr>
        <w:t>. The humanities AoLE aims to</w:t>
      </w:r>
      <w:r w:rsidR="00FA7D58" w:rsidRPr="00D420A3">
        <w:rPr>
          <w:rFonts w:ascii="Avenir Book" w:hAnsi="Avenir Book"/>
        </w:rPr>
        <w:t xml:space="preserve"> provide children with knowledge and understanding of their localities and of the wider world</w:t>
      </w:r>
      <w:r w:rsidR="00F0673D" w:rsidRPr="00D420A3">
        <w:rPr>
          <w:rFonts w:ascii="Avenir Book" w:hAnsi="Avenir Book"/>
        </w:rPr>
        <w:t xml:space="preserve"> and the health and wellbeing AoLE aims to</w:t>
      </w:r>
      <w:r w:rsidR="00FA7D58" w:rsidRPr="00D420A3">
        <w:rPr>
          <w:rFonts w:ascii="Avenir Book" w:hAnsi="Avenir Book"/>
        </w:rPr>
        <w:t xml:space="preserve"> provide a holistic approach to understanding health and wellbeing including physical, </w:t>
      </w:r>
      <w:r w:rsidR="00092FA2" w:rsidRPr="00D420A3">
        <w:rPr>
          <w:rFonts w:ascii="Avenir Book" w:hAnsi="Avenir Book"/>
        </w:rPr>
        <w:t>emotional,</w:t>
      </w:r>
      <w:r w:rsidR="00FA7D58" w:rsidRPr="00D420A3">
        <w:rPr>
          <w:rFonts w:ascii="Avenir Book" w:hAnsi="Avenir Book"/>
        </w:rPr>
        <w:t xml:space="preserve"> and social health, </w:t>
      </w:r>
      <w:r w:rsidR="00CF0622" w:rsidRPr="00D420A3">
        <w:rPr>
          <w:rFonts w:ascii="Avenir Book" w:hAnsi="Avenir Book"/>
        </w:rPr>
        <w:t>(Department of Education, 2021).</w:t>
      </w:r>
    </w:p>
    <w:p w14:paraId="1A280535" w14:textId="055FBC22" w:rsidR="00F0673D" w:rsidRPr="00D420A3" w:rsidRDefault="00F0673D" w:rsidP="00A2122B">
      <w:pPr>
        <w:spacing w:before="240" w:after="240" w:line="360" w:lineRule="auto"/>
        <w:jc w:val="both"/>
        <w:rPr>
          <w:rFonts w:ascii="Avenir Book" w:hAnsi="Avenir Book"/>
        </w:rPr>
      </w:pPr>
      <w:r w:rsidRPr="00D420A3">
        <w:rPr>
          <w:rFonts w:ascii="Avenir Book" w:hAnsi="Avenir Book"/>
        </w:rPr>
        <w:t xml:space="preserve">According to </w:t>
      </w:r>
      <w:r w:rsidR="00844347" w:rsidRPr="00D420A3">
        <w:rPr>
          <w:rFonts w:ascii="Avenir Book" w:hAnsi="Avenir Book"/>
        </w:rPr>
        <w:t>Evans, (2021)</w:t>
      </w:r>
      <w:r w:rsidRPr="00D420A3">
        <w:rPr>
          <w:rFonts w:ascii="Avenir Book" w:hAnsi="Avenir Book"/>
        </w:rPr>
        <w:t xml:space="preserve"> </w:t>
      </w:r>
      <w:r w:rsidR="00FA7D58" w:rsidRPr="00D420A3">
        <w:rPr>
          <w:rFonts w:ascii="Avenir Book" w:hAnsi="Avenir Book"/>
        </w:rPr>
        <w:t>t</w:t>
      </w:r>
      <w:r w:rsidRPr="00D420A3">
        <w:rPr>
          <w:rFonts w:ascii="Avenir Book" w:hAnsi="Avenir Book"/>
        </w:rPr>
        <w:t xml:space="preserve">he new curriculum for </w:t>
      </w:r>
      <w:r w:rsidR="00FA7D58" w:rsidRPr="00D420A3">
        <w:rPr>
          <w:rFonts w:ascii="Avenir Book" w:hAnsi="Avenir Book"/>
        </w:rPr>
        <w:t>W</w:t>
      </w:r>
      <w:r w:rsidRPr="00D420A3">
        <w:rPr>
          <w:rFonts w:ascii="Avenir Book" w:hAnsi="Avenir Book"/>
        </w:rPr>
        <w:t>ales i</w:t>
      </w:r>
      <w:r w:rsidR="00844347" w:rsidRPr="00D420A3">
        <w:rPr>
          <w:rFonts w:ascii="Avenir Book" w:hAnsi="Avenir Book"/>
        </w:rPr>
        <w:t xml:space="preserve">s allowing for too much interpretation and concerns are being raised </w:t>
      </w:r>
      <w:proofErr w:type="gramStart"/>
      <w:r w:rsidR="007C71B8" w:rsidRPr="00D420A3">
        <w:rPr>
          <w:rFonts w:ascii="Avenir Book" w:hAnsi="Avenir Book"/>
        </w:rPr>
        <w:t>in regard to</w:t>
      </w:r>
      <w:proofErr w:type="gramEnd"/>
      <w:r w:rsidR="00844347" w:rsidRPr="00D420A3">
        <w:rPr>
          <w:rFonts w:ascii="Avenir Book" w:hAnsi="Avenir Book"/>
        </w:rPr>
        <w:t xml:space="preserve"> the continuity of quality education due to the potential of inconsistent approaches to be used </w:t>
      </w:r>
      <w:r w:rsidRPr="00D420A3">
        <w:rPr>
          <w:rFonts w:ascii="Avenir Book" w:hAnsi="Avenir Book"/>
        </w:rPr>
        <w:t xml:space="preserve">however </w:t>
      </w:r>
      <w:r w:rsidR="00BC2E1B" w:rsidRPr="00D420A3">
        <w:rPr>
          <w:rFonts w:ascii="Avenir Book" w:hAnsi="Avenir Book"/>
        </w:rPr>
        <w:t xml:space="preserve">Aldous, </w:t>
      </w:r>
      <w:r w:rsidR="00092FA2" w:rsidRPr="00D420A3">
        <w:rPr>
          <w:rFonts w:ascii="Avenir Book" w:hAnsi="Avenir Book"/>
        </w:rPr>
        <w:t>Evans,</w:t>
      </w:r>
      <w:r w:rsidR="00BC2E1B" w:rsidRPr="00D420A3">
        <w:rPr>
          <w:rFonts w:ascii="Avenir Book" w:hAnsi="Avenir Book"/>
        </w:rPr>
        <w:t xml:space="preserve"> and Penney, (2022)</w:t>
      </w:r>
      <w:r w:rsidRPr="00D420A3">
        <w:rPr>
          <w:rFonts w:ascii="Avenir Book" w:hAnsi="Avenir Book"/>
        </w:rPr>
        <w:t xml:space="preserve"> </w:t>
      </w:r>
      <w:r w:rsidR="007C71B8" w:rsidRPr="00D420A3">
        <w:rPr>
          <w:rFonts w:ascii="Avenir Book" w:hAnsi="Avenir Book"/>
        </w:rPr>
        <w:t>believes</w:t>
      </w:r>
      <w:r w:rsidRPr="00D420A3">
        <w:rPr>
          <w:rFonts w:ascii="Avenir Book" w:hAnsi="Avenir Book"/>
        </w:rPr>
        <w:t xml:space="preserve"> that the new curriculum </w:t>
      </w:r>
      <w:r w:rsidR="002B64ED" w:rsidRPr="00D420A3">
        <w:rPr>
          <w:rFonts w:ascii="Avenir Book" w:hAnsi="Avenir Book"/>
        </w:rPr>
        <w:t>although</w:t>
      </w:r>
      <w:r w:rsidR="00BC2E1B" w:rsidRPr="00D420A3">
        <w:rPr>
          <w:rFonts w:ascii="Avenir Book" w:hAnsi="Avenir Book"/>
        </w:rPr>
        <w:t xml:space="preserve"> subjecting teachers to having to juggle new and different roles the implementation of the curriculum has been slow, allowing time to adjust.</w:t>
      </w:r>
      <w:r w:rsidRPr="00D420A3">
        <w:rPr>
          <w:rFonts w:ascii="Avenir Book" w:hAnsi="Avenir Book"/>
        </w:rPr>
        <w:t xml:space="preserve"> It could be argued that </w:t>
      </w:r>
      <w:r w:rsidR="00BC2E1B" w:rsidRPr="00D420A3">
        <w:rPr>
          <w:rFonts w:ascii="Avenir Book" w:hAnsi="Avenir Book"/>
        </w:rPr>
        <w:t xml:space="preserve">for the new curriculum to be implemented efficiently without placing </w:t>
      </w:r>
      <w:r w:rsidR="007C71B8" w:rsidRPr="00D420A3">
        <w:rPr>
          <w:rFonts w:ascii="Avenir Book" w:hAnsi="Avenir Book"/>
        </w:rPr>
        <w:t>unnecessary</w:t>
      </w:r>
      <w:r w:rsidR="00BC2E1B" w:rsidRPr="00D420A3">
        <w:rPr>
          <w:rFonts w:ascii="Avenir Book" w:hAnsi="Avenir Book"/>
        </w:rPr>
        <w:t xml:space="preserve"> stress on teachers</w:t>
      </w:r>
      <w:r w:rsidR="001C2C8B">
        <w:rPr>
          <w:rFonts w:ascii="Avenir Book" w:hAnsi="Avenir Book"/>
        </w:rPr>
        <w:t>,</w:t>
      </w:r>
      <w:r w:rsidR="00BC2E1B" w:rsidRPr="00D420A3">
        <w:rPr>
          <w:rFonts w:ascii="Avenir Book" w:hAnsi="Avenir Book"/>
        </w:rPr>
        <w:t xml:space="preserve"> then additional professional learning should be provided to each teacher, (</w:t>
      </w:r>
      <w:r w:rsidR="00CF0622" w:rsidRPr="00D420A3">
        <w:rPr>
          <w:rFonts w:ascii="Avenir Book" w:hAnsi="Avenir Book"/>
        </w:rPr>
        <w:t xml:space="preserve">Aldous, </w:t>
      </w:r>
      <w:r w:rsidR="00092FA2" w:rsidRPr="00D420A3">
        <w:rPr>
          <w:rFonts w:ascii="Avenir Book" w:hAnsi="Avenir Book"/>
        </w:rPr>
        <w:t>Evans,</w:t>
      </w:r>
      <w:r w:rsidR="00CF0622" w:rsidRPr="00D420A3">
        <w:rPr>
          <w:rFonts w:ascii="Avenir Book" w:hAnsi="Avenir Book"/>
        </w:rPr>
        <w:t xml:space="preserve"> and Penney,2022</w:t>
      </w:r>
      <w:r w:rsidR="00BC2E1B" w:rsidRPr="00D420A3">
        <w:rPr>
          <w:rFonts w:ascii="Avenir Book" w:hAnsi="Avenir Book"/>
        </w:rPr>
        <w:t xml:space="preserve">). </w:t>
      </w:r>
    </w:p>
    <w:p w14:paraId="714F4952" w14:textId="2A8E4489" w:rsidR="00F0673D" w:rsidRPr="00D420A3" w:rsidRDefault="00F0673D" w:rsidP="00A2122B">
      <w:pPr>
        <w:spacing w:before="240" w:after="240" w:line="360" w:lineRule="auto"/>
        <w:jc w:val="both"/>
        <w:rPr>
          <w:rFonts w:ascii="Avenir Book" w:hAnsi="Avenir Book"/>
        </w:rPr>
      </w:pPr>
      <w:r w:rsidRPr="00D420A3">
        <w:rPr>
          <w:rFonts w:ascii="Avenir Book" w:hAnsi="Avenir Book"/>
        </w:rPr>
        <w:lastRenderedPageBreak/>
        <w:t xml:space="preserve">ESDGC practices have transformed </w:t>
      </w:r>
      <w:r w:rsidR="00092FA2" w:rsidRPr="00D420A3">
        <w:rPr>
          <w:rFonts w:ascii="Avenir Book" w:hAnsi="Avenir Book"/>
        </w:rPr>
        <w:t>several</w:t>
      </w:r>
      <w:r w:rsidRPr="00D420A3">
        <w:rPr>
          <w:rFonts w:ascii="Avenir Book" w:hAnsi="Avenir Book"/>
        </w:rPr>
        <w:t xml:space="preserve"> curriculums throughout Europe, one </w:t>
      </w:r>
      <w:proofErr w:type="gramStart"/>
      <w:r w:rsidRPr="00D420A3">
        <w:rPr>
          <w:rFonts w:ascii="Avenir Book" w:hAnsi="Avenir Book"/>
        </w:rPr>
        <w:t>particular curriculum</w:t>
      </w:r>
      <w:proofErr w:type="gramEnd"/>
      <w:r w:rsidRPr="00D420A3">
        <w:rPr>
          <w:rFonts w:ascii="Avenir Book" w:hAnsi="Avenir Book"/>
        </w:rPr>
        <w:t xml:space="preserve"> is</w:t>
      </w:r>
      <w:r w:rsidR="002E1F98" w:rsidRPr="00D420A3">
        <w:rPr>
          <w:rFonts w:ascii="Avenir Book" w:hAnsi="Avenir Book"/>
        </w:rPr>
        <w:t xml:space="preserve"> the initial teacher </w:t>
      </w:r>
      <w:r w:rsidR="00F016DD" w:rsidRPr="00D420A3">
        <w:rPr>
          <w:rFonts w:ascii="Avenir Book" w:hAnsi="Avenir Book"/>
        </w:rPr>
        <w:t>training programme in Austria, (Tarozzi and Inguaggiato, 2018).</w:t>
      </w:r>
      <w:r w:rsidRPr="00D420A3">
        <w:rPr>
          <w:rFonts w:ascii="Avenir Book" w:hAnsi="Avenir Book"/>
        </w:rPr>
        <w:t xml:space="preserve"> According to </w:t>
      </w:r>
      <w:r w:rsidR="00F016DD" w:rsidRPr="00D420A3">
        <w:rPr>
          <w:rFonts w:ascii="Avenir Book" w:hAnsi="Avenir Book"/>
        </w:rPr>
        <w:t>Tarozzi and In</w:t>
      </w:r>
      <w:r w:rsidR="00851D24" w:rsidRPr="00D420A3">
        <w:rPr>
          <w:rFonts w:ascii="Avenir Book" w:hAnsi="Avenir Book"/>
        </w:rPr>
        <w:t>guaggiato, (2018) Austria is offering opportunities to promote and implement GCE</w:t>
      </w:r>
      <w:r w:rsidR="008E1491" w:rsidRPr="00D420A3">
        <w:rPr>
          <w:rFonts w:ascii="Avenir Book" w:hAnsi="Avenir Book"/>
        </w:rPr>
        <w:t xml:space="preserve"> via pedagogical colleges</w:t>
      </w:r>
      <w:r w:rsidR="00851D24" w:rsidRPr="00D420A3">
        <w:rPr>
          <w:rFonts w:ascii="Avenir Book" w:hAnsi="Avenir Book"/>
        </w:rPr>
        <w:t xml:space="preserve"> </w:t>
      </w:r>
      <w:r w:rsidR="009529A6" w:rsidRPr="00D420A3">
        <w:rPr>
          <w:rFonts w:ascii="Avenir Book" w:hAnsi="Avenir Book"/>
        </w:rPr>
        <w:t xml:space="preserve">and </w:t>
      </w:r>
      <w:r w:rsidR="008E1491" w:rsidRPr="00D420A3">
        <w:rPr>
          <w:rFonts w:ascii="Avenir Book" w:hAnsi="Avenir Book"/>
        </w:rPr>
        <w:t xml:space="preserve">the </w:t>
      </w:r>
      <w:r w:rsidR="009529A6" w:rsidRPr="00D420A3">
        <w:rPr>
          <w:rFonts w:ascii="Avenir Book" w:hAnsi="Avenir Book"/>
        </w:rPr>
        <w:t>set</w:t>
      </w:r>
      <w:r w:rsidR="008E1491" w:rsidRPr="00D420A3">
        <w:rPr>
          <w:rFonts w:ascii="Avenir Book" w:hAnsi="Avenir Book"/>
        </w:rPr>
        <w:t>ting</w:t>
      </w:r>
      <w:r w:rsidR="009529A6" w:rsidRPr="00D420A3">
        <w:rPr>
          <w:rFonts w:ascii="Avenir Book" w:hAnsi="Avenir Book"/>
        </w:rPr>
        <w:t xml:space="preserve"> up</w:t>
      </w:r>
      <w:r w:rsidR="008E1491" w:rsidRPr="00D420A3">
        <w:rPr>
          <w:rFonts w:ascii="Avenir Book" w:hAnsi="Avenir Book"/>
        </w:rPr>
        <w:t xml:space="preserve"> of</w:t>
      </w:r>
      <w:r w:rsidR="009529A6" w:rsidRPr="00D420A3">
        <w:rPr>
          <w:rFonts w:ascii="Avenir Book" w:hAnsi="Avenir Book"/>
        </w:rPr>
        <w:t xml:space="preserve"> a Global learning strategic group which includes the ministry of education, the ministry of foreign affairs and some pedagogical colleges</w:t>
      </w:r>
      <w:r w:rsidR="008E1491" w:rsidRPr="00D420A3">
        <w:rPr>
          <w:rFonts w:ascii="Avenir Book" w:hAnsi="Avenir Book"/>
        </w:rPr>
        <w:t>. Austria also ensures a close relationship between the ministry of foreign affairs and the ministry of education is maintained. However, Tarozzi and Inguaggiato, (2018)</w:t>
      </w:r>
      <w:r w:rsidR="008275F7" w:rsidRPr="00D420A3">
        <w:rPr>
          <w:rFonts w:ascii="Avenir Book" w:hAnsi="Avenir Book"/>
        </w:rPr>
        <w:t xml:space="preserve"> continue to explain that issues with finances and competencies are consistently slowing pedagogical reform and there is political instability of the federal government which is not instilling a </w:t>
      </w:r>
      <w:r w:rsidR="00354FEE" w:rsidRPr="00D420A3">
        <w:rPr>
          <w:rFonts w:ascii="Avenir Book" w:hAnsi="Avenir Book"/>
        </w:rPr>
        <w:t>sense</w:t>
      </w:r>
      <w:r w:rsidR="008275F7" w:rsidRPr="00D420A3">
        <w:rPr>
          <w:rFonts w:ascii="Avenir Book" w:hAnsi="Avenir Book"/>
        </w:rPr>
        <w:t xml:space="preserve"> of optimism. </w:t>
      </w:r>
      <w:r w:rsidR="008E1491" w:rsidRPr="00D420A3">
        <w:rPr>
          <w:rFonts w:ascii="Avenir Book" w:hAnsi="Avenir Book"/>
        </w:rPr>
        <w:t xml:space="preserve"> </w:t>
      </w:r>
      <w:r w:rsidRPr="00D420A3">
        <w:rPr>
          <w:rFonts w:ascii="Avenir Book" w:hAnsi="Avenir Book"/>
        </w:rPr>
        <w:t>There is an argument to be had th</w:t>
      </w:r>
      <w:r w:rsidR="00354FEE" w:rsidRPr="00D420A3">
        <w:rPr>
          <w:rFonts w:ascii="Avenir Book" w:hAnsi="Avenir Book"/>
        </w:rPr>
        <w:t>at Austria can improve their concept and development of ESDCG</w:t>
      </w:r>
      <w:r w:rsidR="00097DA5" w:rsidRPr="00D420A3">
        <w:rPr>
          <w:rFonts w:ascii="Avenir Book" w:hAnsi="Avenir Book"/>
        </w:rPr>
        <w:t xml:space="preserve"> by</w:t>
      </w:r>
      <w:r w:rsidR="00354FEE" w:rsidRPr="00D420A3">
        <w:rPr>
          <w:rFonts w:ascii="Avenir Book" w:hAnsi="Avenir Book"/>
        </w:rPr>
        <w:t xml:space="preserve"> providing additional funding to the concept, (Tarozzi and Inguaggiato, 2018). </w:t>
      </w:r>
    </w:p>
    <w:p w14:paraId="0FF5C012" w14:textId="14ECAC50" w:rsidR="00097DA5" w:rsidRPr="00D420A3" w:rsidRDefault="00097DA5" w:rsidP="00A2122B">
      <w:pPr>
        <w:spacing w:before="240" w:after="240" w:line="360" w:lineRule="auto"/>
        <w:jc w:val="both"/>
        <w:rPr>
          <w:rFonts w:ascii="Avenir Book" w:hAnsi="Avenir Book"/>
        </w:rPr>
      </w:pPr>
      <w:r w:rsidRPr="00D420A3">
        <w:rPr>
          <w:rFonts w:ascii="Avenir Book" w:hAnsi="Avenir Book"/>
        </w:rPr>
        <w:t>Finally</w:t>
      </w:r>
      <w:r w:rsidR="002E1F98" w:rsidRPr="00D420A3">
        <w:rPr>
          <w:rFonts w:ascii="Avenir Book" w:hAnsi="Avenir Book"/>
        </w:rPr>
        <w:t>,</w:t>
      </w:r>
      <w:r w:rsidRPr="00D420A3">
        <w:rPr>
          <w:rFonts w:ascii="Avenir Book" w:hAnsi="Avenir Book"/>
        </w:rPr>
        <w:t xml:space="preserve"> it is important to also consider the impact ESDGC has had on curriculum on a global level. It would be impossible to discuss each change it has made on each individual curriculum in the world and so for the purpose of this essay we will concentrate on the curriculum in</w:t>
      </w:r>
      <w:r w:rsidR="00857B7E" w:rsidRPr="00D420A3">
        <w:rPr>
          <w:rFonts w:ascii="Avenir Book" w:hAnsi="Avenir Book"/>
        </w:rPr>
        <w:t xml:space="preserve"> </w:t>
      </w:r>
      <w:r w:rsidR="00F512F0" w:rsidRPr="00D420A3">
        <w:rPr>
          <w:rFonts w:ascii="Avenir Book" w:hAnsi="Avenir Book"/>
        </w:rPr>
        <w:t>Canada</w:t>
      </w:r>
      <w:r w:rsidR="00857B7E" w:rsidRPr="00D420A3">
        <w:rPr>
          <w:rFonts w:ascii="Avenir Book" w:hAnsi="Avenir Book"/>
        </w:rPr>
        <w:t>.</w:t>
      </w:r>
      <w:r w:rsidRPr="00D420A3">
        <w:rPr>
          <w:rFonts w:ascii="Avenir Book" w:hAnsi="Avenir Book"/>
        </w:rPr>
        <w:t xml:space="preserve"> According to</w:t>
      </w:r>
      <w:r w:rsidR="000138CA" w:rsidRPr="00D420A3">
        <w:rPr>
          <w:rFonts w:ascii="Avenir Book" w:hAnsi="Avenir Book"/>
        </w:rPr>
        <w:t xml:space="preserve"> Ranco, Gilmer and Loomis, (2020)</w:t>
      </w:r>
      <w:r w:rsidRPr="00D420A3">
        <w:rPr>
          <w:rFonts w:ascii="Avenir Book" w:hAnsi="Avenir Book"/>
        </w:rPr>
        <w:t xml:space="preserve"> ESDGC </w:t>
      </w:r>
      <w:r w:rsidR="00AE3B7D" w:rsidRPr="00D420A3">
        <w:rPr>
          <w:rFonts w:ascii="Avenir Book" w:hAnsi="Avenir Book"/>
        </w:rPr>
        <w:t>practices has</w:t>
      </w:r>
      <w:r w:rsidR="00F512F0" w:rsidRPr="00D420A3">
        <w:rPr>
          <w:rFonts w:ascii="Avenir Book" w:hAnsi="Avenir Book"/>
        </w:rPr>
        <w:t xml:space="preserve"> had little impact on</w:t>
      </w:r>
      <w:r w:rsidR="00AE3B7D" w:rsidRPr="00D420A3">
        <w:rPr>
          <w:rFonts w:ascii="Avenir Book" w:hAnsi="Avenir Book"/>
        </w:rPr>
        <w:t xml:space="preserve"> curriculum </w:t>
      </w:r>
      <w:r w:rsidR="00F91EB0" w:rsidRPr="00D420A3">
        <w:rPr>
          <w:rFonts w:ascii="Avenir Book" w:hAnsi="Avenir Book"/>
        </w:rPr>
        <w:t>as currently GCE tends to only be taught within social studies courses although in the early 2000’s GCE began to receive support from governmental officials working on elementary curri</w:t>
      </w:r>
      <w:r w:rsidR="000138CA" w:rsidRPr="00D420A3">
        <w:rPr>
          <w:rFonts w:ascii="Avenir Book" w:hAnsi="Avenir Book"/>
        </w:rPr>
        <w:t>c</w:t>
      </w:r>
      <w:r w:rsidR="00F91EB0" w:rsidRPr="00D420A3">
        <w:rPr>
          <w:rFonts w:ascii="Avenir Book" w:hAnsi="Avenir Book"/>
        </w:rPr>
        <w:t xml:space="preserve">ular, (Mundy and Manion, 2008). A plethora of reports and </w:t>
      </w:r>
      <w:r w:rsidR="0039777E" w:rsidRPr="00D420A3">
        <w:rPr>
          <w:rFonts w:ascii="Avenir Book" w:hAnsi="Avenir Book"/>
        </w:rPr>
        <w:t xml:space="preserve">policies have been written to do with </w:t>
      </w:r>
      <w:r w:rsidR="00017F2A" w:rsidRPr="00D420A3">
        <w:rPr>
          <w:rFonts w:ascii="Avenir Book" w:hAnsi="Avenir Book"/>
        </w:rPr>
        <w:t>GCE in Canada such as Education for Peace, Human Rights Democracy, International Understanding and Tolerance however, these did little to represent GCE in the class</w:t>
      </w:r>
      <w:r w:rsidR="000138CA" w:rsidRPr="00D420A3">
        <w:rPr>
          <w:rFonts w:ascii="Avenir Book" w:hAnsi="Avenir Book"/>
        </w:rPr>
        <w:t>r</w:t>
      </w:r>
      <w:r w:rsidR="00017F2A" w:rsidRPr="00D420A3">
        <w:rPr>
          <w:rFonts w:ascii="Avenir Book" w:hAnsi="Avenir Book"/>
        </w:rPr>
        <w:t>oom, (</w:t>
      </w:r>
      <w:r w:rsidR="000138CA" w:rsidRPr="00D420A3">
        <w:rPr>
          <w:rFonts w:ascii="Avenir Book" w:hAnsi="Avenir Book"/>
        </w:rPr>
        <w:t>Ranco, Gilmer and Loomis, 2020</w:t>
      </w:r>
      <w:r w:rsidR="00017F2A" w:rsidRPr="00D420A3">
        <w:rPr>
          <w:rFonts w:ascii="Avenir Book" w:hAnsi="Avenir Book"/>
        </w:rPr>
        <w:t xml:space="preserve">). </w:t>
      </w:r>
      <w:r w:rsidR="000138CA" w:rsidRPr="00D420A3">
        <w:rPr>
          <w:rFonts w:ascii="Avenir Book" w:hAnsi="Avenir Book"/>
        </w:rPr>
        <w:t xml:space="preserve">Ranco, Gilmer and Loomis, </w:t>
      </w:r>
      <w:r w:rsidR="00017F2A" w:rsidRPr="00D420A3">
        <w:rPr>
          <w:rFonts w:ascii="Avenir Book" w:hAnsi="Avenir Book"/>
        </w:rPr>
        <w:t>(</w:t>
      </w:r>
      <w:r w:rsidR="000138CA" w:rsidRPr="00D420A3">
        <w:rPr>
          <w:rFonts w:ascii="Avenir Book" w:hAnsi="Avenir Book"/>
        </w:rPr>
        <w:t>2020</w:t>
      </w:r>
      <w:r w:rsidR="00017F2A" w:rsidRPr="00D420A3">
        <w:rPr>
          <w:rFonts w:ascii="Avenir Book" w:hAnsi="Avenir Book"/>
        </w:rPr>
        <w:t xml:space="preserve">) goes on to state that although GCE is undervalued in Canada it can still be found scattered across the curriculum and GCE is merging with pedagogies to influence school systems. </w:t>
      </w:r>
      <w:proofErr w:type="gramStart"/>
      <w:r w:rsidR="00017F2A" w:rsidRPr="00D420A3">
        <w:rPr>
          <w:rFonts w:ascii="Avenir Book" w:hAnsi="Avenir Book"/>
        </w:rPr>
        <w:t>It is clear that there</w:t>
      </w:r>
      <w:proofErr w:type="gramEnd"/>
      <w:r w:rsidR="00017F2A" w:rsidRPr="00D420A3">
        <w:rPr>
          <w:rFonts w:ascii="Avenir Book" w:hAnsi="Avenir Book"/>
        </w:rPr>
        <w:t xml:space="preserve"> is a need for improvement in Canadian GCE, it could be considered that further development in curriculum may prove to be </w:t>
      </w:r>
      <w:r w:rsidR="00017F2A" w:rsidRPr="00D420A3">
        <w:rPr>
          <w:rFonts w:ascii="Avenir Book" w:hAnsi="Avenir Book"/>
        </w:rPr>
        <w:lastRenderedPageBreak/>
        <w:t xml:space="preserve">beneficial </w:t>
      </w:r>
      <w:r w:rsidR="000138CA" w:rsidRPr="00D420A3">
        <w:rPr>
          <w:rFonts w:ascii="Avenir Book" w:hAnsi="Avenir Book"/>
        </w:rPr>
        <w:t>in the implementation of ESDGC in Canada, (Ranco, Gilmer and Loomis, 2020).</w:t>
      </w:r>
    </w:p>
    <w:p w14:paraId="729CE05E" w14:textId="59560F6E" w:rsidR="00ED0900" w:rsidRPr="00D420A3" w:rsidRDefault="00BE7B61" w:rsidP="00A2122B">
      <w:pPr>
        <w:spacing w:before="240" w:after="240" w:line="360" w:lineRule="auto"/>
        <w:jc w:val="both"/>
        <w:rPr>
          <w:rFonts w:ascii="Avenir Book" w:hAnsi="Avenir Book"/>
        </w:rPr>
      </w:pPr>
      <w:r w:rsidRPr="00D420A3">
        <w:rPr>
          <w:rFonts w:ascii="Avenir Book" w:hAnsi="Avenir Book"/>
        </w:rPr>
        <w:t xml:space="preserve">According to </w:t>
      </w:r>
      <w:r w:rsidR="009F4233" w:rsidRPr="00D420A3">
        <w:rPr>
          <w:rFonts w:ascii="Avenir Book" w:hAnsi="Avenir Book"/>
        </w:rPr>
        <w:t>Knapp, (2002</w:t>
      </w:r>
      <w:r w:rsidRPr="00D420A3">
        <w:rPr>
          <w:rFonts w:ascii="Avenir Book" w:hAnsi="Avenir Book"/>
        </w:rPr>
        <w:t xml:space="preserve">) policy makers want to </w:t>
      </w:r>
      <w:r w:rsidR="009F4233" w:rsidRPr="00D420A3">
        <w:rPr>
          <w:rFonts w:ascii="Avenir Book" w:hAnsi="Avenir Book"/>
        </w:rPr>
        <w:t xml:space="preserve">believe that policies change what happens in classrooms however, the growing body of policy implementation research suggests that this is not always the case and policies are not always implemented in the way that </w:t>
      </w:r>
      <w:r w:rsidR="005A46C1" w:rsidRPr="00D420A3">
        <w:rPr>
          <w:rFonts w:ascii="Avenir Book" w:hAnsi="Avenir Book"/>
        </w:rPr>
        <w:t>they</w:t>
      </w:r>
      <w:r w:rsidR="009F4233" w:rsidRPr="00D420A3">
        <w:rPr>
          <w:rFonts w:ascii="Avenir Book" w:hAnsi="Avenir Book"/>
        </w:rPr>
        <w:t xml:space="preserve"> </w:t>
      </w:r>
      <w:r w:rsidR="005A46C1" w:rsidRPr="00D420A3">
        <w:rPr>
          <w:rFonts w:ascii="Avenir Book" w:hAnsi="Avenir Book"/>
        </w:rPr>
        <w:t>are</w:t>
      </w:r>
      <w:r w:rsidR="009F4233" w:rsidRPr="00D420A3">
        <w:rPr>
          <w:rFonts w:ascii="Avenir Book" w:hAnsi="Avenir Book"/>
        </w:rPr>
        <w:t xml:space="preserve"> intended to be.</w:t>
      </w:r>
      <w:r w:rsidR="006F121C" w:rsidRPr="00D420A3">
        <w:rPr>
          <w:rFonts w:ascii="Avenir Book" w:hAnsi="Avenir Book"/>
        </w:rPr>
        <w:t xml:space="preserve"> Viennet and Pont, (2017)</w:t>
      </w:r>
      <w:r w:rsidR="009A1634" w:rsidRPr="00D420A3">
        <w:rPr>
          <w:rFonts w:ascii="Avenir Book" w:hAnsi="Avenir Book"/>
        </w:rPr>
        <w:t xml:space="preserve"> states that there is little evidence to su</w:t>
      </w:r>
      <w:r w:rsidR="0032655B" w:rsidRPr="00D420A3">
        <w:rPr>
          <w:rFonts w:ascii="Avenir Book" w:hAnsi="Avenir Book"/>
        </w:rPr>
        <w:t>ggest whether education policies and reforms have an effect due to them rarely being assessed or evaluated and when they are stakeholders are left with a feeling of dissatisfaction and policy makers tend to be left accountable.</w:t>
      </w:r>
      <w:r w:rsidR="009F4233" w:rsidRPr="00D420A3">
        <w:rPr>
          <w:rFonts w:ascii="Avenir Book" w:hAnsi="Avenir Book"/>
        </w:rPr>
        <w:t xml:space="preserve"> </w:t>
      </w:r>
      <w:r w:rsidR="00026F26" w:rsidRPr="00D420A3">
        <w:rPr>
          <w:rFonts w:ascii="Avenir Book" w:hAnsi="Avenir Book"/>
        </w:rPr>
        <w:t>However</w:t>
      </w:r>
      <w:r w:rsidR="009A1634" w:rsidRPr="00D420A3">
        <w:rPr>
          <w:rFonts w:ascii="Avenir Book" w:hAnsi="Avenir Book"/>
        </w:rPr>
        <w:t>,</w:t>
      </w:r>
      <w:r w:rsidR="00026F26" w:rsidRPr="00D420A3">
        <w:rPr>
          <w:rFonts w:ascii="Avenir Book" w:hAnsi="Avenir Book"/>
        </w:rPr>
        <w:t xml:space="preserve"> </w:t>
      </w:r>
      <w:r w:rsidR="00700A6D" w:rsidRPr="00A35A91">
        <w:rPr>
          <w:rFonts w:ascii="Avenir Book" w:hAnsi="Avenir Book"/>
        </w:rPr>
        <w:t>OECD, (2022)</w:t>
      </w:r>
      <w:r w:rsidR="00BC1742" w:rsidRPr="00D420A3">
        <w:rPr>
          <w:rFonts w:ascii="Avenir Book" w:hAnsi="Avenir Book"/>
        </w:rPr>
        <w:t xml:space="preserve"> believe that their programme, </w:t>
      </w:r>
      <w:r w:rsidR="00700A6D" w:rsidRPr="00D420A3">
        <w:rPr>
          <w:rFonts w:ascii="Avenir Book" w:hAnsi="Avenir Book"/>
        </w:rPr>
        <w:t xml:space="preserve">Implementing Policies: Supporting Effective Change in Education, can provide tailored support for countries to support in the successful achievement and implementation of education policies and reforms. </w:t>
      </w:r>
      <w:r w:rsidR="00026F26" w:rsidRPr="00D420A3">
        <w:rPr>
          <w:rFonts w:ascii="Avenir Book" w:hAnsi="Avenir Book"/>
        </w:rPr>
        <w:t xml:space="preserve"> </w:t>
      </w:r>
      <w:r w:rsidR="006E32FE" w:rsidRPr="00D420A3">
        <w:rPr>
          <w:rFonts w:ascii="Avenir Book" w:hAnsi="Avenir Book"/>
        </w:rPr>
        <w:t xml:space="preserve">Viennet and Pont, (2017) </w:t>
      </w:r>
      <w:r w:rsidR="0032655B" w:rsidRPr="00D420A3">
        <w:rPr>
          <w:rFonts w:ascii="Avenir Book" w:hAnsi="Avenir Book"/>
        </w:rPr>
        <w:t xml:space="preserve">adds to this by stating </w:t>
      </w:r>
      <w:r w:rsidR="003E12E3" w:rsidRPr="00D420A3">
        <w:rPr>
          <w:rFonts w:ascii="Avenir Book" w:hAnsi="Avenir Book"/>
        </w:rPr>
        <w:t>that there are many factors which contribute to the likelihood of a policy being implemented effectively such as the attitude of stakeholders and those involved with the implementation of a policy, the design of the policy a</w:t>
      </w:r>
      <w:r w:rsidR="00284279" w:rsidRPr="00D420A3">
        <w:rPr>
          <w:rFonts w:ascii="Avenir Book" w:hAnsi="Avenir Book"/>
        </w:rPr>
        <w:t>nd the context behind the policy. By ensuring that a policy has considered these aspects through a thorough and well researched framework such as that proposed by</w:t>
      </w:r>
      <w:r w:rsidR="006E32FE" w:rsidRPr="00D420A3">
        <w:rPr>
          <w:rFonts w:ascii="Avenir Book" w:hAnsi="Avenir Book"/>
        </w:rPr>
        <w:t xml:space="preserve"> </w:t>
      </w:r>
      <w:r w:rsidR="00284279" w:rsidRPr="00D420A3">
        <w:rPr>
          <w:rFonts w:ascii="Avenir Book" w:hAnsi="Avenir Book"/>
        </w:rPr>
        <w:t>Viennet and Pont, (</w:t>
      </w:r>
      <w:r w:rsidR="006E32FE" w:rsidRPr="00D420A3">
        <w:rPr>
          <w:rFonts w:ascii="Avenir Book" w:hAnsi="Avenir Book"/>
        </w:rPr>
        <w:t>2017)</w:t>
      </w:r>
      <w:r w:rsidR="00284279" w:rsidRPr="00D420A3">
        <w:rPr>
          <w:rFonts w:ascii="Avenir Book" w:hAnsi="Avenir Book"/>
        </w:rPr>
        <w:t xml:space="preserve"> an educational policy should be successful in its implementation. </w:t>
      </w:r>
    </w:p>
    <w:p w14:paraId="55546486" w14:textId="17A0918F" w:rsidR="009F4233" w:rsidRPr="00D420A3" w:rsidRDefault="00026F26" w:rsidP="00A2122B">
      <w:pPr>
        <w:spacing w:before="240" w:after="240" w:line="360" w:lineRule="auto"/>
        <w:jc w:val="both"/>
        <w:rPr>
          <w:rFonts w:ascii="Avenir Book" w:hAnsi="Avenir Book"/>
        </w:rPr>
      </w:pPr>
      <w:r w:rsidRPr="00D420A3">
        <w:rPr>
          <w:rFonts w:ascii="Avenir Book" w:hAnsi="Avenir Book"/>
        </w:rPr>
        <w:t>Many policies have been produced through</w:t>
      </w:r>
      <w:r w:rsidR="007C71B8" w:rsidRPr="00D420A3">
        <w:rPr>
          <w:rFonts w:ascii="Avenir Book" w:hAnsi="Avenir Book"/>
        </w:rPr>
        <w:t>ou</w:t>
      </w:r>
      <w:r w:rsidRPr="00D420A3">
        <w:rPr>
          <w:rFonts w:ascii="Avenir Book" w:hAnsi="Avenir Book"/>
        </w:rPr>
        <w:t>t the history of education in Wales</w:t>
      </w:r>
      <w:r w:rsidR="00232315" w:rsidRPr="00D420A3">
        <w:rPr>
          <w:rFonts w:ascii="Avenir Book" w:hAnsi="Avenir Book"/>
        </w:rPr>
        <w:t>, most recently a plethora of policies have been introduced in relation to the most recent education reform</w:t>
      </w:r>
      <w:r w:rsidRPr="00D420A3">
        <w:rPr>
          <w:rFonts w:ascii="Avenir Book" w:hAnsi="Avenir Book"/>
        </w:rPr>
        <w:t xml:space="preserve">. According to </w:t>
      </w:r>
      <w:r w:rsidR="007C71B8" w:rsidRPr="00D420A3">
        <w:rPr>
          <w:rFonts w:ascii="Avenir Book" w:hAnsi="Avenir Book"/>
        </w:rPr>
        <w:t>Senedd</w:t>
      </w:r>
      <w:r w:rsidR="002A74E8" w:rsidRPr="00D420A3">
        <w:rPr>
          <w:rFonts w:ascii="Avenir Book" w:hAnsi="Avenir Book"/>
        </w:rPr>
        <w:t xml:space="preserve"> Research, (2021)</w:t>
      </w:r>
      <w:r w:rsidRPr="00D420A3">
        <w:rPr>
          <w:rFonts w:ascii="Avenir Book" w:hAnsi="Avenir Book"/>
        </w:rPr>
        <w:t xml:space="preserve"> </w:t>
      </w:r>
      <w:r w:rsidR="001E6ABA" w:rsidRPr="00D420A3">
        <w:rPr>
          <w:rFonts w:ascii="Avenir Book" w:hAnsi="Avenir Book"/>
        </w:rPr>
        <w:t xml:space="preserve">one of the newest policies in </w:t>
      </w:r>
      <w:r w:rsidR="00472B09" w:rsidRPr="00D420A3">
        <w:rPr>
          <w:rFonts w:ascii="Avenir Book" w:hAnsi="Avenir Book"/>
        </w:rPr>
        <w:t>W</w:t>
      </w:r>
      <w:r w:rsidR="001E6ABA" w:rsidRPr="00D420A3">
        <w:rPr>
          <w:rFonts w:ascii="Avenir Book" w:hAnsi="Avenir Book"/>
        </w:rPr>
        <w:t xml:space="preserve">ales is the Curriculum for Wales (2021). This policy is creating a total overhaul to education in Wales. Part of the overhaul associated with this </w:t>
      </w:r>
      <w:r w:rsidR="009B2A01" w:rsidRPr="00D420A3">
        <w:rPr>
          <w:rFonts w:ascii="Avenir Book" w:hAnsi="Avenir Book"/>
        </w:rPr>
        <w:t xml:space="preserve">is different initial teacher training. According to </w:t>
      </w:r>
      <w:r w:rsidR="00A624A5" w:rsidRPr="00D420A3">
        <w:rPr>
          <w:rFonts w:ascii="Avenir Book" w:hAnsi="Avenir Book"/>
        </w:rPr>
        <w:t>Furlong, et al., (2021)</w:t>
      </w:r>
      <w:r w:rsidR="009B2A01" w:rsidRPr="00D420A3">
        <w:rPr>
          <w:rFonts w:ascii="Avenir Book" w:hAnsi="Avenir Book"/>
        </w:rPr>
        <w:t xml:space="preserve"> the new training policies for teachers aim to improve teacher professionality </w:t>
      </w:r>
      <w:r w:rsidR="0089040F" w:rsidRPr="00D420A3">
        <w:rPr>
          <w:rFonts w:ascii="Avenir Book" w:hAnsi="Avenir Book"/>
        </w:rPr>
        <w:t xml:space="preserve">and new teachers will have the skills, knowledge and understanding to be able to effectively implement the new </w:t>
      </w:r>
      <w:r w:rsidR="0089040F" w:rsidRPr="00D420A3">
        <w:rPr>
          <w:rFonts w:ascii="Avenir Book" w:hAnsi="Avenir Book"/>
        </w:rPr>
        <w:lastRenderedPageBreak/>
        <w:t xml:space="preserve">curriculum. However, </w:t>
      </w:r>
      <w:r w:rsidR="00DB470A" w:rsidRPr="00D420A3">
        <w:rPr>
          <w:rFonts w:ascii="Avenir Book" w:hAnsi="Avenir Book"/>
        </w:rPr>
        <w:t>Barnes and Waters, (2022)</w:t>
      </w:r>
      <w:r w:rsidR="0089040F" w:rsidRPr="00D420A3">
        <w:rPr>
          <w:rFonts w:ascii="Avenir Book" w:hAnsi="Avenir Book"/>
        </w:rPr>
        <w:t xml:space="preserve"> believes that the new initial teacher policies are</w:t>
      </w:r>
      <w:r w:rsidR="00472B09" w:rsidRPr="00D420A3">
        <w:rPr>
          <w:rFonts w:ascii="Avenir Book" w:hAnsi="Avenir Book"/>
        </w:rPr>
        <w:t xml:space="preserve"> lacking collaboration and universities and placement schools need to have a closer connection and relationship to ensure the successful implementation of the policy and the new curriculum.</w:t>
      </w:r>
      <w:r w:rsidR="0089040F" w:rsidRPr="00D420A3">
        <w:rPr>
          <w:rFonts w:ascii="Avenir Book" w:hAnsi="Avenir Book"/>
        </w:rPr>
        <w:t xml:space="preserve"> Unfortunately</w:t>
      </w:r>
      <w:r w:rsidR="00394D1E" w:rsidRPr="00D420A3">
        <w:rPr>
          <w:rFonts w:ascii="Avenir Book" w:hAnsi="Avenir Book"/>
        </w:rPr>
        <w:t>,</w:t>
      </w:r>
      <w:r w:rsidR="0089040F" w:rsidRPr="00D420A3">
        <w:rPr>
          <w:rFonts w:ascii="Avenir Book" w:hAnsi="Avenir Book"/>
        </w:rPr>
        <w:t xml:space="preserve"> it is too soon to </w:t>
      </w:r>
      <w:r w:rsidR="00394D1E" w:rsidRPr="00D420A3">
        <w:rPr>
          <w:rFonts w:ascii="Avenir Book" w:hAnsi="Avenir Book"/>
        </w:rPr>
        <w:t>assess or evaluate</w:t>
      </w:r>
      <w:r w:rsidR="0089040F" w:rsidRPr="00D420A3">
        <w:rPr>
          <w:rFonts w:ascii="Avenir Book" w:hAnsi="Avenir Book"/>
        </w:rPr>
        <w:t xml:space="preserve"> the new curriculum or the new initial teacher education policies </w:t>
      </w:r>
      <w:r w:rsidR="00394D1E" w:rsidRPr="00D420A3">
        <w:rPr>
          <w:rFonts w:ascii="Avenir Book" w:hAnsi="Avenir Book"/>
        </w:rPr>
        <w:t xml:space="preserve">due to it being a recent change and the disruption to education caused by Covid-19, </w:t>
      </w:r>
      <w:r w:rsidR="00DB470A" w:rsidRPr="00D420A3">
        <w:rPr>
          <w:rFonts w:ascii="Avenir Book" w:hAnsi="Avenir Book"/>
        </w:rPr>
        <w:t>(Furlong, et al., 2021)</w:t>
      </w:r>
      <w:r w:rsidR="00245E63">
        <w:rPr>
          <w:rFonts w:ascii="Avenir Book" w:hAnsi="Avenir Book"/>
        </w:rPr>
        <w:t>.</w:t>
      </w:r>
      <w:r w:rsidR="00394D1E" w:rsidRPr="00D420A3">
        <w:rPr>
          <w:rFonts w:ascii="Avenir Book" w:hAnsi="Avenir Book"/>
        </w:rPr>
        <w:t xml:space="preserve"> </w:t>
      </w:r>
      <w:r w:rsidR="00245E63">
        <w:rPr>
          <w:rFonts w:ascii="Avenir Book" w:hAnsi="Avenir Book"/>
        </w:rPr>
        <w:t>W</w:t>
      </w:r>
      <w:r w:rsidR="00394D1E" w:rsidRPr="00D420A3">
        <w:rPr>
          <w:rFonts w:ascii="Avenir Book" w:hAnsi="Avenir Book"/>
        </w:rPr>
        <w:t xml:space="preserve">e can see that the reform was necessary with </w:t>
      </w:r>
      <w:r w:rsidR="00C05192" w:rsidRPr="00D420A3">
        <w:rPr>
          <w:rFonts w:ascii="Avenir Book" w:hAnsi="Avenir Book"/>
        </w:rPr>
        <w:t>Tabberer, (2013)</w:t>
      </w:r>
      <w:r w:rsidR="00394D1E" w:rsidRPr="00D420A3">
        <w:rPr>
          <w:rFonts w:ascii="Avenir Book" w:hAnsi="Avenir Book"/>
        </w:rPr>
        <w:t xml:space="preserve"> stating that initial teacher education in Wales was barely adequate after conducting a review on the sector in 2013. </w:t>
      </w:r>
      <w:r w:rsidR="002A74E8" w:rsidRPr="00D420A3">
        <w:rPr>
          <w:rFonts w:ascii="Avenir Book" w:hAnsi="Avenir Book"/>
        </w:rPr>
        <w:t xml:space="preserve">What is promising however, is that the reform and overhaul of education in Wales is being backed by the </w:t>
      </w:r>
      <w:r w:rsidR="004735F9" w:rsidRPr="00D420A3">
        <w:rPr>
          <w:rFonts w:ascii="Avenir Book" w:hAnsi="Avenir Book"/>
        </w:rPr>
        <w:t>organisation for economic co-operation and development (OECD)</w:t>
      </w:r>
      <w:r w:rsidR="002A74E8" w:rsidRPr="00D420A3">
        <w:rPr>
          <w:rFonts w:ascii="Avenir Book" w:hAnsi="Avenir Book"/>
        </w:rPr>
        <w:t xml:space="preserve"> as they have been instrumental in supporting the reform but providing advice and support to Wales via their programme, Implementing Policies: Supporting Effective Change in Education, (OECD, 2022). </w:t>
      </w:r>
    </w:p>
    <w:p w14:paraId="0868B21A" w14:textId="5689C150" w:rsidR="002A41F5" w:rsidRPr="00D420A3" w:rsidRDefault="006F121C" w:rsidP="00A2122B">
      <w:pPr>
        <w:spacing w:before="240" w:after="240" w:line="360" w:lineRule="auto"/>
        <w:jc w:val="both"/>
        <w:rPr>
          <w:rFonts w:ascii="Avenir Book" w:hAnsi="Avenir Book"/>
        </w:rPr>
      </w:pPr>
      <w:r w:rsidRPr="00D420A3">
        <w:rPr>
          <w:rFonts w:ascii="Avenir Book" w:hAnsi="Avenir Book"/>
        </w:rPr>
        <w:t xml:space="preserve">Another policy Wales has that </w:t>
      </w:r>
      <w:r w:rsidR="00605887" w:rsidRPr="00D420A3">
        <w:rPr>
          <w:rFonts w:ascii="Avenir Book" w:hAnsi="Avenir Book"/>
        </w:rPr>
        <w:t xml:space="preserve">has influenced education is the ESDGC policy issued in 2008. As previously mentioned this policy </w:t>
      </w:r>
      <w:r w:rsidR="00633F55" w:rsidRPr="00D420A3">
        <w:rPr>
          <w:rFonts w:ascii="Avenir Book" w:hAnsi="Avenir Book"/>
        </w:rPr>
        <w:t xml:space="preserve">has received little attention in relation to </w:t>
      </w:r>
      <w:r w:rsidR="007C71B8" w:rsidRPr="00D420A3">
        <w:rPr>
          <w:rFonts w:ascii="Avenir Book" w:hAnsi="Avenir Book"/>
        </w:rPr>
        <w:t>its</w:t>
      </w:r>
      <w:r w:rsidR="00633F55" w:rsidRPr="00D420A3">
        <w:rPr>
          <w:rFonts w:ascii="Avenir Book" w:hAnsi="Avenir Book"/>
        </w:rPr>
        <w:t xml:space="preserve"> effectiveness but it is clear to see the change it has supported in education. </w:t>
      </w:r>
      <w:r w:rsidR="000B48B5" w:rsidRPr="00D420A3">
        <w:rPr>
          <w:rFonts w:ascii="Avenir Book" w:hAnsi="Avenir Book"/>
        </w:rPr>
        <w:t xml:space="preserve">The policy became part of KS2-4 Curriculum 2008 and ideas from it can be seen scattered throughout different subject frameworks particularly that of the geography framework, religious education framework, and mostly in the </w:t>
      </w:r>
      <w:r w:rsidR="002A41F5" w:rsidRPr="00D420A3">
        <w:rPr>
          <w:rFonts w:ascii="Avenir Book" w:hAnsi="Avenir Book"/>
        </w:rPr>
        <w:t>personal</w:t>
      </w:r>
      <w:r w:rsidR="000B48B5" w:rsidRPr="00D420A3">
        <w:rPr>
          <w:rFonts w:ascii="Avenir Book" w:hAnsi="Avenir Book"/>
        </w:rPr>
        <w:t xml:space="preserve"> and social education framework</w:t>
      </w:r>
      <w:r w:rsidR="002A41F5" w:rsidRPr="00D420A3">
        <w:rPr>
          <w:rFonts w:ascii="Avenir Book" w:hAnsi="Avenir Book"/>
        </w:rPr>
        <w:t xml:space="preserve">, (Welsh Assembly Government, 2008). The concepts within the ESDGC framework can also be seen in the learning pathways for 14-19-year-olds guidance and the foundation phase framework, (Welsh Assembly Government, 2008). </w:t>
      </w:r>
      <w:r w:rsidR="0045255E" w:rsidRPr="00D420A3">
        <w:rPr>
          <w:rFonts w:ascii="Avenir Book" w:hAnsi="Avenir Book"/>
        </w:rPr>
        <w:t>The main subject that ESDGC has been implemented through is personal and social education which aims to ‘empower learners to participate in their schools and communities as active responsible citizens locally, nationally and globally and to foster positive attitudes and behaviour towards the principles of sustainable development and global citizenship,’ (Welsh Assembly Government, 2008)</w:t>
      </w:r>
      <w:r w:rsidR="007C71B8" w:rsidRPr="00D420A3">
        <w:rPr>
          <w:rFonts w:ascii="Avenir Book" w:hAnsi="Avenir Book"/>
        </w:rPr>
        <w:t>, (Welsh Assembly Government, 2004)</w:t>
      </w:r>
      <w:r w:rsidR="007E4636" w:rsidRPr="00D420A3">
        <w:rPr>
          <w:rFonts w:ascii="Avenir Book" w:hAnsi="Avenir Book"/>
        </w:rPr>
        <w:t xml:space="preserve"> and (Welsh Assembly Government, 2015)</w:t>
      </w:r>
      <w:r w:rsidR="0045255E" w:rsidRPr="00D420A3">
        <w:rPr>
          <w:rFonts w:ascii="Avenir Book" w:hAnsi="Avenir Book"/>
        </w:rPr>
        <w:t xml:space="preserve">. However, </w:t>
      </w:r>
      <w:r w:rsidR="0045255E" w:rsidRPr="00D420A3">
        <w:rPr>
          <w:rFonts w:ascii="Avenir Book" w:hAnsi="Avenir Book"/>
        </w:rPr>
        <w:lastRenderedPageBreak/>
        <w:t xml:space="preserve">Donaldson, (2015) </w:t>
      </w:r>
      <w:r w:rsidR="00E62E28" w:rsidRPr="00D420A3">
        <w:rPr>
          <w:rFonts w:ascii="Avenir Book" w:hAnsi="Avenir Book"/>
        </w:rPr>
        <w:t xml:space="preserve">claims that greater focus is needed on personal and social education, therefore it could be argued that ESDGC is being slightly overlooked at this point of Welsh education. </w:t>
      </w:r>
    </w:p>
    <w:p w14:paraId="2B0646BA" w14:textId="726C6A13" w:rsidR="00E62E28" w:rsidRPr="00D420A3" w:rsidRDefault="007C71B8" w:rsidP="00A2122B">
      <w:pPr>
        <w:spacing w:before="240" w:after="240" w:line="360" w:lineRule="auto"/>
        <w:jc w:val="both"/>
        <w:rPr>
          <w:rFonts w:ascii="Avenir Book" w:hAnsi="Avenir Book"/>
        </w:rPr>
      </w:pPr>
      <w:r w:rsidRPr="00D420A3">
        <w:rPr>
          <w:rFonts w:ascii="Avenir Book" w:hAnsi="Avenir Book"/>
        </w:rPr>
        <w:t>The New Curriculum for Wales 2022</w:t>
      </w:r>
      <w:r w:rsidR="00E62E28" w:rsidRPr="00D420A3">
        <w:rPr>
          <w:rFonts w:ascii="Avenir Book" w:hAnsi="Avenir Book"/>
        </w:rPr>
        <w:t xml:space="preserve"> has greater emphasis on ESDGC with the curriculum having a focus on supporting children to become ethical, informed citizens and AoLE’s </w:t>
      </w:r>
      <w:r w:rsidR="005D43D5" w:rsidRPr="00D420A3">
        <w:rPr>
          <w:rFonts w:ascii="Avenir Book" w:hAnsi="Avenir Book"/>
        </w:rPr>
        <w:t xml:space="preserve">based around concepts within the ESDGC framework such as health and wellbeing, humanities and science and technology, (Department of Education, 2021). Additionally, ESDGC is also implemented in Wales </w:t>
      </w:r>
      <w:proofErr w:type="gramStart"/>
      <w:r w:rsidR="005D43D5" w:rsidRPr="00D420A3">
        <w:rPr>
          <w:rFonts w:ascii="Avenir Book" w:hAnsi="Avenir Book"/>
        </w:rPr>
        <w:t>through the use of</w:t>
      </w:r>
      <w:proofErr w:type="gramEnd"/>
      <w:r w:rsidR="005D43D5" w:rsidRPr="00D420A3">
        <w:rPr>
          <w:rFonts w:ascii="Avenir Book" w:hAnsi="Avenir Book"/>
        </w:rPr>
        <w:t xml:space="preserve"> non-government organisations and initiatives such as the connecting classrooms through global citizenship initiative which, aims to connect local Welsh schools with various schools around the world to help children to learn about the cultures through real life, authentic contexts, (</w:t>
      </w:r>
      <w:r w:rsidRPr="00D420A3">
        <w:rPr>
          <w:rFonts w:ascii="Avenir Book" w:hAnsi="Avenir Book"/>
        </w:rPr>
        <w:t>British Council Wales, 2023</w:t>
      </w:r>
      <w:r w:rsidR="005D43D5" w:rsidRPr="00D420A3">
        <w:rPr>
          <w:rFonts w:ascii="Avenir Book" w:hAnsi="Avenir Book"/>
        </w:rPr>
        <w:t xml:space="preserve">). </w:t>
      </w:r>
    </w:p>
    <w:p w14:paraId="73C3CF72" w14:textId="60EA060A" w:rsidR="004735F9" w:rsidRPr="00D420A3" w:rsidRDefault="004735F9" w:rsidP="00A2122B">
      <w:pPr>
        <w:spacing w:before="240" w:after="240" w:line="360" w:lineRule="auto"/>
        <w:jc w:val="both"/>
        <w:rPr>
          <w:rFonts w:ascii="Avenir Book" w:hAnsi="Avenir Book"/>
        </w:rPr>
      </w:pPr>
      <w:r w:rsidRPr="00D420A3">
        <w:rPr>
          <w:rFonts w:ascii="Avenir Book" w:hAnsi="Avenir Book"/>
        </w:rPr>
        <w:t xml:space="preserve">This essay has critically evaluated the concept of ESDGC by looking into policy, </w:t>
      </w:r>
      <w:proofErr w:type="gramStart"/>
      <w:r w:rsidRPr="00D420A3">
        <w:rPr>
          <w:rFonts w:ascii="Avenir Book" w:hAnsi="Avenir Book"/>
        </w:rPr>
        <w:t>curriculum</w:t>
      </w:r>
      <w:proofErr w:type="gramEnd"/>
      <w:r w:rsidRPr="00D420A3">
        <w:rPr>
          <w:rFonts w:ascii="Avenir Book" w:hAnsi="Avenir Book"/>
        </w:rPr>
        <w:t xml:space="preserve"> and practice. First the essay defined the complex concept of global citizenship </w:t>
      </w:r>
      <w:r w:rsidR="00A2122B">
        <w:rPr>
          <w:rFonts w:ascii="Avenir Book" w:hAnsi="Avenir Book"/>
        </w:rPr>
        <w:t xml:space="preserve">and discussed UNESCO’s SDG’s </w:t>
      </w:r>
      <w:r w:rsidRPr="00D420A3">
        <w:rPr>
          <w:rFonts w:ascii="Avenir Book" w:hAnsi="Avenir Book"/>
        </w:rPr>
        <w:t>before breaking up ESDGC into two concepts, GCE and ESD, and looking into what they are and providing a brief history of each. The essay then combines the concepts back to ESDGC an</w:t>
      </w:r>
      <w:r w:rsidR="00F31FB9" w:rsidRPr="00D420A3">
        <w:rPr>
          <w:rFonts w:ascii="Avenir Book" w:hAnsi="Avenir Book"/>
        </w:rPr>
        <w:t>d</w:t>
      </w:r>
      <w:r w:rsidRPr="00D420A3">
        <w:rPr>
          <w:rFonts w:ascii="Avenir Book" w:hAnsi="Avenir Book"/>
        </w:rPr>
        <w:t xml:space="preserve"> began to </w:t>
      </w:r>
      <w:r w:rsidR="00F31FB9" w:rsidRPr="00D420A3">
        <w:rPr>
          <w:rFonts w:ascii="Avenir Book" w:hAnsi="Avenir Book"/>
        </w:rPr>
        <w:t>dissect</w:t>
      </w:r>
      <w:r w:rsidRPr="00D420A3">
        <w:rPr>
          <w:rFonts w:ascii="Avenir Book" w:hAnsi="Avenir Book"/>
        </w:rPr>
        <w:t xml:space="preserve"> the concept by critically examining how it impacts curriculum and </w:t>
      </w:r>
      <w:r w:rsidR="00F31FB9" w:rsidRPr="00D420A3">
        <w:rPr>
          <w:rFonts w:ascii="Avenir Book" w:hAnsi="Avenir Book"/>
        </w:rPr>
        <w:t xml:space="preserve">education practices globally. The essay predominantly focuses on Wales but additionally considers how it has impacted systems in Kazakhstan, </w:t>
      </w:r>
      <w:proofErr w:type="gramStart"/>
      <w:r w:rsidR="00F31FB9" w:rsidRPr="00D420A3">
        <w:rPr>
          <w:rFonts w:ascii="Avenir Book" w:hAnsi="Avenir Book"/>
        </w:rPr>
        <w:t>Austria</w:t>
      </w:r>
      <w:proofErr w:type="gramEnd"/>
      <w:r w:rsidR="00F31FB9" w:rsidRPr="00D420A3">
        <w:rPr>
          <w:rFonts w:ascii="Avenir Book" w:hAnsi="Avenir Book"/>
        </w:rPr>
        <w:t xml:space="preserve"> and Canada. </w:t>
      </w:r>
    </w:p>
    <w:p w14:paraId="52514A56" w14:textId="77777777" w:rsidR="005465C0" w:rsidRPr="00D420A3" w:rsidRDefault="005465C0" w:rsidP="00A2122B">
      <w:pPr>
        <w:spacing w:before="240" w:after="240" w:line="360" w:lineRule="auto"/>
        <w:jc w:val="both"/>
        <w:rPr>
          <w:rFonts w:ascii="Avenir Book" w:hAnsi="Avenir Book"/>
        </w:rPr>
      </w:pPr>
      <w:r w:rsidRPr="00D420A3">
        <w:rPr>
          <w:rFonts w:ascii="Avenir Book" w:hAnsi="Avenir Book"/>
        </w:rPr>
        <w:t xml:space="preserve">It would be sensible to end this essay with some writer recommendations for how ESDGC practices can be improved upon by drawing up knowledge gained from the essay </w:t>
      </w:r>
      <w:proofErr w:type="gramStart"/>
      <w:r w:rsidRPr="00D420A3">
        <w:rPr>
          <w:rFonts w:ascii="Avenir Book" w:hAnsi="Avenir Book"/>
        </w:rPr>
        <w:t>content;</w:t>
      </w:r>
      <w:proofErr w:type="gramEnd"/>
      <w:r w:rsidRPr="00D420A3">
        <w:rPr>
          <w:rFonts w:ascii="Avenir Book" w:hAnsi="Avenir Book"/>
        </w:rPr>
        <w:t xml:space="preserve"> </w:t>
      </w:r>
    </w:p>
    <w:p w14:paraId="3B62A499" w14:textId="1CCDA5C9" w:rsidR="005465C0" w:rsidRPr="00D420A3" w:rsidRDefault="005465C0" w:rsidP="00A2122B">
      <w:pPr>
        <w:pStyle w:val="ListParagraph"/>
        <w:numPr>
          <w:ilvl w:val="0"/>
          <w:numId w:val="7"/>
        </w:numPr>
        <w:spacing w:before="240" w:after="240" w:line="360" w:lineRule="auto"/>
        <w:jc w:val="both"/>
        <w:rPr>
          <w:rFonts w:ascii="Avenir Book" w:hAnsi="Avenir Book"/>
        </w:rPr>
      </w:pPr>
      <w:r w:rsidRPr="00D420A3">
        <w:rPr>
          <w:rFonts w:ascii="Avenir Book" w:hAnsi="Avenir Book"/>
        </w:rPr>
        <w:t xml:space="preserve">Definitions of sustainable development and global citizenship are unclear and are causing difficulties in the classroom due to them being difficult concepts to understand, (Bennell, 2015) and (Norcliffe and Bennell, 2010). A clear </w:t>
      </w:r>
      <w:r w:rsidRPr="00D420A3">
        <w:rPr>
          <w:rFonts w:ascii="Avenir Book" w:hAnsi="Avenir Book"/>
        </w:rPr>
        <w:lastRenderedPageBreak/>
        <w:t xml:space="preserve">definition of both concepts must be created and agreed upon globally to ensure the successful implementation of ESDGC. </w:t>
      </w:r>
    </w:p>
    <w:p w14:paraId="185DE032" w14:textId="02C8C1AB" w:rsidR="005465C0" w:rsidRPr="00D420A3" w:rsidRDefault="005465C0" w:rsidP="00A2122B">
      <w:pPr>
        <w:pStyle w:val="ListParagraph"/>
        <w:numPr>
          <w:ilvl w:val="0"/>
          <w:numId w:val="7"/>
        </w:numPr>
        <w:spacing w:before="240" w:after="240" w:line="360" w:lineRule="auto"/>
        <w:jc w:val="both"/>
        <w:rPr>
          <w:rFonts w:ascii="Avenir Book" w:hAnsi="Avenir Book"/>
        </w:rPr>
      </w:pPr>
      <w:r w:rsidRPr="00D420A3">
        <w:rPr>
          <w:rFonts w:ascii="Avenir Book" w:hAnsi="Avenir Book"/>
        </w:rPr>
        <w:t xml:space="preserve">Little attention has been given to ESDGC practice in Wales, (Bennell, 2015) and (Norcliffe and Bennell, 2010). More research and attention must be made to ensure that ESDGC practices are being implemented efficiently. </w:t>
      </w:r>
    </w:p>
    <w:p w14:paraId="4803A1FC" w14:textId="6020467C" w:rsidR="00FB163B" w:rsidRPr="00D420A3" w:rsidRDefault="005465C0" w:rsidP="00A2122B">
      <w:pPr>
        <w:pStyle w:val="ListParagraph"/>
        <w:numPr>
          <w:ilvl w:val="0"/>
          <w:numId w:val="7"/>
        </w:numPr>
        <w:spacing w:before="240" w:after="240" w:line="360" w:lineRule="auto"/>
        <w:jc w:val="both"/>
        <w:rPr>
          <w:rFonts w:ascii="Avenir Book" w:hAnsi="Avenir Book"/>
        </w:rPr>
      </w:pPr>
      <w:r w:rsidRPr="00D420A3">
        <w:rPr>
          <w:rFonts w:ascii="Avenir Book" w:hAnsi="Avenir Book"/>
        </w:rPr>
        <w:t xml:space="preserve">Research suggests that the New Curriculum for Wales 2022 is allowing for too much interpretation, allowing for </w:t>
      </w:r>
      <w:r w:rsidR="00DC358F" w:rsidRPr="00D420A3">
        <w:rPr>
          <w:rFonts w:ascii="Avenir Book" w:hAnsi="Avenir Book"/>
        </w:rPr>
        <w:t>discrepancies</w:t>
      </w:r>
      <w:r w:rsidRPr="00D420A3">
        <w:rPr>
          <w:rFonts w:ascii="Avenir Book" w:hAnsi="Avenir Book"/>
        </w:rPr>
        <w:t xml:space="preserve"> on the quality of education</w:t>
      </w:r>
      <w:r w:rsidR="00FB163B" w:rsidRPr="00D420A3">
        <w:rPr>
          <w:rFonts w:ascii="Avenir Book" w:hAnsi="Avenir Book"/>
        </w:rPr>
        <w:t xml:space="preserve">, (Evans, 2021). It would be sensible to provide additional guidance and professional development training to ensure that this does not become a serious issue in Welsh Education, (Aldous, </w:t>
      </w:r>
      <w:proofErr w:type="gramStart"/>
      <w:r w:rsidR="00FB163B" w:rsidRPr="00D420A3">
        <w:rPr>
          <w:rFonts w:ascii="Avenir Book" w:hAnsi="Avenir Book"/>
        </w:rPr>
        <w:t>Evans</w:t>
      </w:r>
      <w:proofErr w:type="gramEnd"/>
      <w:r w:rsidR="00FB163B" w:rsidRPr="00D420A3">
        <w:rPr>
          <w:rFonts w:ascii="Avenir Book" w:hAnsi="Avenir Book"/>
        </w:rPr>
        <w:t xml:space="preserve"> and Penney, 2022). </w:t>
      </w:r>
    </w:p>
    <w:p w14:paraId="4C44C8C7" w14:textId="2201CC5F" w:rsidR="00FB163B" w:rsidRPr="00D420A3" w:rsidRDefault="00FB163B" w:rsidP="00A2122B">
      <w:pPr>
        <w:pStyle w:val="ListParagraph"/>
        <w:numPr>
          <w:ilvl w:val="0"/>
          <w:numId w:val="7"/>
        </w:numPr>
        <w:spacing w:before="240" w:after="240" w:line="360" w:lineRule="auto"/>
        <w:jc w:val="both"/>
        <w:rPr>
          <w:rFonts w:ascii="Avenir Book" w:hAnsi="Avenir Book"/>
        </w:rPr>
      </w:pPr>
      <w:r w:rsidRPr="00D420A3">
        <w:rPr>
          <w:rFonts w:ascii="Avenir Book" w:hAnsi="Avenir Book"/>
        </w:rPr>
        <w:t>The final recommendation is to do with policy implementation. Research suggests that policies are not always implemented in the way in which they were intended to be, (Knapp, 2002). The OECD have presented a potential resource to rectify this issue, Implementing Policies: Supporting Effective Change in Education, (OECD, 2022). It would be sensible to consider using this framework and advice from the OECD or a similar concept</w:t>
      </w:r>
      <w:r w:rsidR="00DC358F" w:rsidRPr="00D420A3">
        <w:rPr>
          <w:rFonts w:ascii="Avenir Book" w:hAnsi="Avenir Book"/>
        </w:rPr>
        <w:t>, when implementing a new policy that wi</w:t>
      </w:r>
      <w:r w:rsidR="00A35A91">
        <w:rPr>
          <w:rFonts w:ascii="Avenir Book" w:hAnsi="Avenir Book"/>
        </w:rPr>
        <w:t>ll</w:t>
      </w:r>
      <w:r w:rsidR="00DC358F" w:rsidRPr="00D420A3">
        <w:rPr>
          <w:rFonts w:ascii="Avenir Book" w:hAnsi="Avenir Book"/>
        </w:rPr>
        <w:t xml:space="preserve"> cause educational change. </w:t>
      </w:r>
    </w:p>
    <w:p w14:paraId="4E6DCD6D" w14:textId="3A0A14C1" w:rsidR="004735F9" w:rsidRDefault="004735F9" w:rsidP="00A2122B">
      <w:pPr>
        <w:spacing w:before="240" w:after="240" w:line="360" w:lineRule="auto"/>
        <w:jc w:val="both"/>
        <w:rPr>
          <w:rFonts w:ascii="Avenir Book" w:hAnsi="Avenir Book"/>
        </w:rPr>
      </w:pPr>
    </w:p>
    <w:p w14:paraId="2FCB0B74" w14:textId="1B8324BA" w:rsidR="00A35A91" w:rsidRDefault="00A35A91" w:rsidP="00A2122B">
      <w:pPr>
        <w:spacing w:before="240" w:after="240" w:line="360" w:lineRule="auto"/>
        <w:jc w:val="both"/>
        <w:rPr>
          <w:rFonts w:ascii="Avenir Book" w:hAnsi="Avenir Book"/>
        </w:rPr>
      </w:pPr>
    </w:p>
    <w:p w14:paraId="1124C745" w14:textId="4AFD516C" w:rsidR="00A35A91" w:rsidRDefault="00A35A91" w:rsidP="00A2122B">
      <w:pPr>
        <w:spacing w:before="240" w:after="240" w:line="360" w:lineRule="auto"/>
        <w:jc w:val="both"/>
        <w:rPr>
          <w:rFonts w:ascii="Avenir Book" w:hAnsi="Avenir Book"/>
        </w:rPr>
      </w:pPr>
    </w:p>
    <w:p w14:paraId="73296E47" w14:textId="17789607" w:rsidR="00A35A91" w:rsidRDefault="00A35A91" w:rsidP="00A2122B">
      <w:pPr>
        <w:spacing w:before="240" w:after="240" w:line="360" w:lineRule="auto"/>
        <w:jc w:val="both"/>
        <w:rPr>
          <w:rFonts w:ascii="Avenir Book" w:hAnsi="Avenir Book"/>
        </w:rPr>
      </w:pPr>
    </w:p>
    <w:p w14:paraId="08204451" w14:textId="58E98CA0" w:rsidR="00A35A91" w:rsidRDefault="00A35A91" w:rsidP="00A2122B">
      <w:pPr>
        <w:spacing w:before="240" w:after="240" w:line="360" w:lineRule="auto"/>
        <w:jc w:val="both"/>
        <w:rPr>
          <w:rFonts w:ascii="Avenir Book" w:hAnsi="Avenir Book"/>
        </w:rPr>
      </w:pPr>
    </w:p>
    <w:p w14:paraId="12C4AE9E" w14:textId="1E6BAABC" w:rsidR="00A35A91" w:rsidRDefault="00A35A91" w:rsidP="00A2122B">
      <w:pPr>
        <w:spacing w:before="240" w:after="240" w:line="360" w:lineRule="auto"/>
        <w:jc w:val="both"/>
        <w:rPr>
          <w:rFonts w:ascii="Avenir Book" w:hAnsi="Avenir Book"/>
        </w:rPr>
      </w:pPr>
    </w:p>
    <w:p w14:paraId="23819EC7" w14:textId="77777777" w:rsidR="00A35A91" w:rsidRPr="00D420A3" w:rsidRDefault="00A35A91" w:rsidP="00A2122B">
      <w:pPr>
        <w:spacing w:before="240" w:after="240" w:line="360" w:lineRule="auto"/>
        <w:jc w:val="both"/>
        <w:rPr>
          <w:rFonts w:ascii="Avenir Book" w:hAnsi="Avenir Book"/>
        </w:rPr>
      </w:pPr>
    </w:p>
    <w:p w14:paraId="464D2A95" w14:textId="77777777" w:rsidR="009F4233" w:rsidRPr="00D420A3" w:rsidRDefault="009F4233" w:rsidP="00A2122B">
      <w:pPr>
        <w:jc w:val="both"/>
        <w:rPr>
          <w:rFonts w:ascii="Avenir Book" w:hAnsi="Avenir Book"/>
          <w:b/>
          <w:bCs/>
          <w:u w:val="single"/>
        </w:rPr>
      </w:pPr>
    </w:p>
    <w:p w14:paraId="4243FC51" w14:textId="77777777" w:rsidR="0005135A" w:rsidRPr="00D420A3" w:rsidRDefault="0005135A" w:rsidP="00A2122B">
      <w:pPr>
        <w:jc w:val="both"/>
        <w:rPr>
          <w:rFonts w:ascii="Avenir Book" w:hAnsi="Avenir Book"/>
          <w:b/>
          <w:bCs/>
          <w:u w:val="single"/>
        </w:rPr>
      </w:pPr>
      <w:r w:rsidRPr="00D420A3">
        <w:rPr>
          <w:rFonts w:ascii="Avenir Book" w:hAnsi="Avenir Book"/>
          <w:b/>
          <w:bCs/>
          <w:u w:val="single"/>
        </w:rPr>
        <w:t>References</w:t>
      </w:r>
    </w:p>
    <w:p w14:paraId="45337EB3" w14:textId="77777777" w:rsidR="0005135A" w:rsidRPr="00D420A3" w:rsidRDefault="0005135A" w:rsidP="00A2122B">
      <w:pPr>
        <w:spacing w:before="240" w:line="360" w:lineRule="auto"/>
        <w:jc w:val="both"/>
        <w:rPr>
          <w:rFonts w:ascii="Avenir Book" w:hAnsi="Avenir Book"/>
        </w:rPr>
      </w:pPr>
      <w:r w:rsidRPr="00D420A3">
        <w:rPr>
          <w:rFonts w:ascii="Avenir Book" w:hAnsi="Avenir Book"/>
          <w:color w:val="333333"/>
          <w:shd w:val="clear" w:color="auto" w:fill="FBFBFB"/>
        </w:rPr>
        <w:t>Agbedahin, A.V. (2018) 'Sustainable development, Education for Sustainable Development, and the 2030 Agenda for Sustainable Development: emergence, efficiency, eminence, and future',</w:t>
      </w:r>
      <w:r w:rsidRPr="00D420A3">
        <w:rPr>
          <w:rStyle w:val="apple-converted-space"/>
          <w:rFonts w:ascii="Avenir Book" w:hAnsi="Avenir Book"/>
          <w:color w:val="333333"/>
          <w:shd w:val="clear" w:color="auto" w:fill="FBFBFB"/>
        </w:rPr>
        <w:t> </w:t>
      </w:r>
      <w:r w:rsidRPr="00D420A3">
        <w:rPr>
          <w:rFonts w:ascii="Avenir Book" w:hAnsi="Avenir Book"/>
          <w:i/>
          <w:iCs/>
          <w:color w:val="333333"/>
        </w:rPr>
        <w:t>Sustainable Development</w:t>
      </w:r>
      <w:r w:rsidRPr="00D420A3">
        <w:rPr>
          <w:rFonts w:ascii="Avenir Book" w:hAnsi="Avenir Book"/>
          <w:color w:val="333333"/>
          <w:shd w:val="clear" w:color="auto" w:fill="FBFBFB"/>
        </w:rPr>
        <w:t>, 27(4), 669-680. Available at: DOI 10.1002/sd.1931</w:t>
      </w:r>
    </w:p>
    <w:p w14:paraId="6390799C" w14:textId="77777777" w:rsidR="0005135A" w:rsidRPr="00D420A3" w:rsidRDefault="0005135A" w:rsidP="00A2122B">
      <w:pPr>
        <w:spacing w:before="240" w:line="360" w:lineRule="auto"/>
        <w:jc w:val="both"/>
        <w:rPr>
          <w:rFonts w:ascii="Avenir Book" w:hAnsi="Avenir Book"/>
        </w:rPr>
      </w:pPr>
      <w:r w:rsidRPr="00D420A3">
        <w:rPr>
          <w:rFonts w:ascii="Avenir Book" w:hAnsi="Avenir Book"/>
          <w:color w:val="333333"/>
          <w:shd w:val="clear" w:color="auto" w:fill="FBFBFB"/>
        </w:rPr>
        <w:t>Akkari, A. and Maleq, K. (2020) 'Introduction', in A. Akkari and K. Maleq (ed.) </w:t>
      </w:r>
      <w:r w:rsidRPr="00D420A3">
        <w:rPr>
          <w:rFonts w:ascii="Avenir Book" w:hAnsi="Avenir Book"/>
          <w:i/>
          <w:iCs/>
          <w:color w:val="333333"/>
        </w:rPr>
        <w:t>Global Citizenship Education: Critical and International Perspectives</w:t>
      </w:r>
      <w:r w:rsidRPr="00D420A3">
        <w:rPr>
          <w:rFonts w:ascii="Avenir Book" w:hAnsi="Avenir Book"/>
          <w:color w:val="333333"/>
          <w:shd w:val="clear" w:color="auto" w:fill="FBFBFB"/>
        </w:rPr>
        <w:t>. Switzerland: Springer, Available at: https://doi.org/10.1007/978-3-030-44617-8. pp. 3-17.</w:t>
      </w:r>
    </w:p>
    <w:p w14:paraId="389634AF" w14:textId="77777777" w:rsidR="0005135A" w:rsidRPr="00D420A3" w:rsidRDefault="0005135A" w:rsidP="00A2122B">
      <w:pPr>
        <w:spacing w:before="240" w:line="360" w:lineRule="auto"/>
        <w:jc w:val="both"/>
        <w:rPr>
          <w:rFonts w:ascii="Avenir Book" w:hAnsi="Avenir Book"/>
        </w:rPr>
      </w:pPr>
      <w:r w:rsidRPr="00D420A3">
        <w:rPr>
          <w:rFonts w:ascii="Avenir Book" w:hAnsi="Avenir Book"/>
          <w:color w:val="333333"/>
          <w:shd w:val="clear" w:color="auto" w:fill="FBFBFB"/>
        </w:rPr>
        <w:t>Aldous, D. Evans, V. and Penney, D. (2022) 'Curriculum reform in Wales: Physical education teacher educators' negotiation of policy positions',</w:t>
      </w:r>
      <w:r w:rsidRPr="00D420A3">
        <w:rPr>
          <w:rStyle w:val="apple-converted-space"/>
          <w:rFonts w:ascii="Avenir Book" w:hAnsi="Avenir Book"/>
          <w:color w:val="333333"/>
          <w:shd w:val="clear" w:color="auto" w:fill="FBFBFB"/>
        </w:rPr>
        <w:t> </w:t>
      </w:r>
      <w:r w:rsidRPr="00D420A3">
        <w:rPr>
          <w:rFonts w:ascii="Avenir Book" w:hAnsi="Avenir Book"/>
          <w:i/>
          <w:iCs/>
          <w:color w:val="333333"/>
        </w:rPr>
        <w:t>The Curriculum Journal: BERA</w:t>
      </w:r>
      <w:r w:rsidRPr="00D420A3">
        <w:rPr>
          <w:rFonts w:ascii="Avenir Book" w:hAnsi="Avenir Book"/>
          <w:color w:val="333333"/>
          <w:shd w:val="clear" w:color="auto" w:fill="FBFBFB"/>
        </w:rPr>
        <w:t>, 33, 495-514, Available at: https://bera-journals.onlinelibrary.wiley.com/doi/pdfdirect/10.1002/curj.149 (Accessed: 03.02.2023).</w:t>
      </w:r>
    </w:p>
    <w:p w14:paraId="756FDD56" w14:textId="77777777" w:rsidR="0005135A" w:rsidRDefault="0005135A" w:rsidP="00A2122B">
      <w:pPr>
        <w:spacing w:before="240" w:line="360" w:lineRule="auto"/>
        <w:jc w:val="both"/>
        <w:rPr>
          <w:rFonts w:ascii="Avenir Book" w:hAnsi="Avenir Book"/>
          <w:color w:val="333333"/>
          <w:shd w:val="clear" w:color="auto" w:fill="FBFBFB"/>
        </w:rPr>
      </w:pPr>
      <w:r w:rsidRPr="00D420A3">
        <w:rPr>
          <w:rFonts w:ascii="Avenir Book" w:hAnsi="Avenir Book"/>
          <w:color w:val="333333"/>
          <w:shd w:val="clear" w:color="auto" w:fill="FBFBFB"/>
        </w:rPr>
        <w:t>Arthur, J. and Wright, D. (2001)</w:t>
      </w:r>
      <w:r w:rsidRPr="00D420A3">
        <w:rPr>
          <w:rStyle w:val="apple-converted-space"/>
          <w:rFonts w:ascii="Avenir Book" w:hAnsi="Avenir Book"/>
          <w:color w:val="333333"/>
          <w:shd w:val="clear" w:color="auto" w:fill="FBFBFB"/>
        </w:rPr>
        <w:t> </w:t>
      </w:r>
      <w:r w:rsidRPr="00D420A3">
        <w:rPr>
          <w:rFonts w:ascii="Avenir Book" w:hAnsi="Avenir Book"/>
          <w:i/>
          <w:iCs/>
          <w:color w:val="333333"/>
        </w:rPr>
        <w:t>Teaching Citizenship in the Secondary School</w:t>
      </w:r>
      <w:r w:rsidRPr="00D420A3">
        <w:rPr>
          <w:rFonts w:ascii="Avenir Book" w:hAnsi="Avenir Book"/>
          <w:color w:val="333333"/>
          <w:shd w:val="clear" w:color="auto" w:fill="FBFBFB"/>
        </w:rPr>
        <w:t>. Oxon: David Fulton Publishers. ISBN: 1-85346-744-8</w:t>
      </w:r>
    </w:p>
    <w:p w14:paraId="5F8B1C2F" w14:textId="77777777" w:rsidR="0005135A" w:rsidRPr="00D420A3" w:rsidRDefault="0005135A" w:rsidP="00A2122B">
      <w:pPr>
        <w:spacing w:before="240" w:line="360" w:lineRule="auto"/>
        <w:jc w:val="both"/>
        <w:rPr>
          <w:rFonts w:ascii="Avenir Book" w:hAnsi="Avenir Book"/>
        </w:rPr>
      </w:pPr>
      <w:r w:rsidRPr="00D420A3">
        <w:rPr>
          <w:rFonts w:ascii="Avenir Book" w:hAnsi="Avenir Book"/>
          <w:color w:val="333333"/>
          <w:shd w:val="clear" w:color="auto" w:fill="FBFBFB"/>
        </w:rPr>
        <w:t xml:space="preserve">Barnes, J., and Waters, J. (2022) 'Reform of Initial Teacher Education in Wales: taking an analytical approach to the issues using activity theory', in M. Attard Tonna and J. </w:t>
      </w:r>
      <w:proofErr w:type="spellStart"/>
      <w:r w:rsidRPr="00D420A3">
        <w:rPr>
          <w:rFonts w:ascii="Avenir Book" w:hAnsi="Avenir Book"/>
          <w:color w:val="333333"/>
          <w:shd w:val="clear" w:color="auto" w:fill="FBFBFB"/>
        </w:rPr>
        <w:t>Madalinska</w:t>
      </w:r>
      <w:proofErr w:type="spellEnd"/>
      <w:r w:rsidRPr="00D420A3">
        <w:rPr>
          <w:rFonts w:ascii="Avenir Book" w:hAnsi="Avenir Book"/>
          <w:color w:val="333333"/>
          <w:shd w:val="clear" w:color="auto" w:fill="FBFBFB"/>
        </w:rPr>
        <w:t>-Michalak (ed.)</w:t>
      </w:r>
      <w:r w:rsidRPr="00D420A3">
        <w:rPr>
          <w:rStyle w:val="apple-converted-space"/>
          <w:rFonts w:ascii="Avenir Book" w:hAnsi="Avenir Book"/>
          <w:color w:val="333333"/>
          <w:shd w:val="clear" w:color="auto" w:fill="FBFBFB"/>
        </w:rPr>
        <w:t> </w:t>
      </w:r>
      <w:r w:rsidRPr="00D420A3">
        <w:rPr>
          <w:rFonts w:ascii="Avenir Book" w:hAnsi="Avenir Book"/>
          <w:i/>
          <w:iCs/>
          <w:color w:val="333333"/>
        </w:rPr>
        <w:t>Teacher Education Policy and Practice</w:t>
      </w:r>
      <w:r w:rsidRPr="00D420A3">
        <w:rPr>
          <w:rFonts w:ascii="Avenir Book" w:hAnsi="Avenir Book"/>
          <w:color w:val="333333"/>
          <w:shd w:val="clear" w:color="auto" w:fill="FBFBFB"/>
        </w:rPr>
        <w:t>. Warsaw: Foundation for the Development of the Education System, Pp. 148-168.</w:t>
      </w:r>
    </w:p>
    <w:p w14:paraId="76C51F4C" w14:textId="77777777" w:rsidR="0005135A" w:rsidRPr="00D420A3" w:rsidRDefault="0005135A" w:rsidP="00A2122B">
      <w:pPr>
        <w:spacing w:before="240" w:line="360" w:lineRule="auto"/>
        <w:jc w:val="both"/>
        <w:rPr>
          <w:rFonts w:ascii="Avenir Book" w:hAnsi="Avenir Book"/>
        </w:rPr>
      </w:pPr>
      <w:r w:rsidRPr="00D420A3">
        <w:rPr>
          <w:rFonts w:ascii="Avenir Book" w:hAnsi="Avenir Book"/>
          <w:color w:val="333333"/>
          <w:shd w:val="clear" w:color="auto" w:fill="FBFBFB"/>
        </w:rPr>
        <w:t>Bennell, S. (2015) 'Education for sustainable development and global citizenship: Leadership, collaboration, and networking in primary schools', </w:t>
      </w:r>
      <w:r w:rsidRPr="00D420A3">
        <w:rPr>
          <w:rFonts w:ascii="Avenir Book" w:hAnsi="Avenir Book"/>
          <w:i/>
          <w:iCs/>
          <w:color w:val="333333"/>
        </w:rPr>
        <w:t>International Journal of Development Education and Global Learning</w:t>
      </w:r>
      <w:r w:rsidRPr="00D420A3">
        <w:rPr>
          <w:rFonts w:ascii="Avenir Book" w:hAnsi="Avenir Book"/>
          <w:color w:val="333333"/>
          <w:shd w:val="clear" w:color="auto" w:fill="FBFBFB"/>
        </w:rPr>
        <w:t>, 7(1), 5-32. </w:t>
      </w:r>
    </w:p>
    <w:p w14:paraId="034E99DA" w14:textId="77777777" w:rsidR="0005135A" w:rsidRDefault="0005135A" w:rsidP="00A2122B">
      <w:pPr>
        <w:spacing w:before="240" w:line="360" w:lineRule="auto"/>
        <w:jc w:val="both"/>
        <w:rPr>
          <w:rFonts w:ascii="Avenir Book" w:hAnsi="Avenir Book"/>
          <w:color w:val="333333"/>
          <w:shd w:val="clear" w:color="auto" w:fill="FBFBFB"/>
        </w:rPr>
      </w:pPr>
      <w:r w:rsidRPr="00D420A3">
        <w:rPr>
          <w:rFonts w:ascii="Avenir Book" w:hAnsi="Avenir Book"/>
          <w:color w:val="333333"/>
          <w:shd w:val="clear" w:color="auto" w:fill="FBFBFB"/>
        </w:rPr>
        <w:lastRenderedPageBreak/>
        <w:t>British Council Wales (2023)</w:t>
      </w:r>
      <w:r w:rsidRPr="00D420A3">
        <w:rPr>
          <w:rStyle w:val="apple-converted-space"/>
          <w:rFonts w:ascii="Avenir Book" w:hAnsi="Avenir Book"/>
          <w:color w:val="333333"/>
          <w:shd w:val="clear" w:color="auto" w:fill="FBFBFB"/>
        </w:rPr>
        <w:t> </w:t>
      </w:r>
      <w:r w:rsidRPr="00D420A3">
        <w:rPr>
          <w:rFonts w:ascii="Avenir Book" w:hAnsi="Avenir Book"/>
          <w:i/>
          <w:iCs/>
          <w:color w:val="333333"/>
        </w:rPr>
        <w:t>Connecting Classrooms Through Global Learning</w:t>
      </w:r>
      <w:r w:rsidRPr="00D420A3">
        <w:rPr>
          <w:rFonts w:ascii="Avenir Book" w:hAnsi="Avenir Book"/>
          <w:color w:val="333333"/>
          <w:shd w:val="clear" w:color="auto" w:fill="FBFBFB"/>
        </w:rPr>
        <w:t>. Available at: https://wales.britishcouncil.org/en/connecting-classrooms-through-global-learning (Accessed: 03.02.2023).</w:t>
      </w:r>
    </w:p>
    <w:p w14:paraId="797101C1" w14:textId="77777777" w:rsidR="0005135A" w:rsidRPr="00D420A3" w:rsidRDefault="0005135A" w:rsidP="00A2122B">
      <w:pPr>
        <w:spacing w:before="240" w:line="360" w:lineRule="auto"/>
        <w:jc w:val="both"/>
        <w:rPr>
          <w:rFonts w:ascii="Avenir Book" w:hAnsi="Avenir Book"/>
        </w:rPr>
      </w:pPr>
      <w:r w:rsidRPr="00D420A3">
        <w:rPr>
          <w:rFonts w:ascii="Avenir Book" w:hAnsi="Avenir Book"/>
          <w:color w:val="333333"/>
          <w:shd w:val="clear" w:color="auto" w:fill="FBFBFB"/>
        </w:rPr>
        <w:t>Collins, M. (2008) </w:t>
      </w:r>
      <w:r w:rsidRPr="00D420A3">
        <w:rPr>
          <w:rFonts w:ascii="Avenir Book" w:hAnsi="Avenir Book"/>
          <w:i/>
          <w:iCs/>
          <w:color w:val="333333"/>
        </w:rPr>
        <w:t>Global Citizenship for Young Children</w:t>
      </w:r>
      <w:r w:rsidRPr="00D420A3">
        <w:rPr>
          <w:rFonts w:ascii="Avenir Book" w:hAnsi="Avenir Book"/>
          <w:color w:val="333333"/>
          <w:shd w:val="clear" w:color="auto" w:fill="FBFBFB"/>
        </w:rPr>
        <w:t>. London: Sage.</w:t>
      </w:r>
    </w:p>
    <w:p w14:paraId="7F5D46D7" w14:textId="77777777" w:rsidR="0005135A" w:rsidRPr="00D420A3" w:rsidRDefault="0005135A" w:rsidP="00A2122B">
      <w:pPr>
        <w:spacing w:before="240" w:line="360" w:lineRule="auto"/>
        <w:jc w:val="both"/>
        <w:rPr>
          <w:rFonts w:ascii="Avenir Book" w:hAnsi="Avenir Book"/>
          <w:color w:val="333333"/>
          <w:shd w:val="clear" w:color="auto" w:fill="FBFBFB"/>
        </w:rPr>
      </w:pPr>
      <w:r w:rsidRPr="00D420A3">
        <w:rPr>
          <w:rFonts w:ascii="Avenir Book" w:hAnsi="Avenir Book"/>
          <w:color w:val="333333"/>
          <w:shd w:val="clear" w:color="auto" w:fill="FBFBFB"/>
        </w:rPr>
        <w:t>Department for Education, (2021) Curriculum for Wales 2022: Gov.Wales. Available at: </w:t>
      </w:r>
      <w:hyperlink r:id="rId5" w:history="1">
        <w:r w:rsidRPr="00D420A3">
          <w:rPr>
            <w:rStyle w:val="Hyperlink"/>
            <w:rFonts w:ascii="Avenir Book" w:hAnsi="Avenir Book"/>
            <w:shd w:val="clear" w:color="auto" w:fill="FBFBFB"/>
          </w:rPr>
          <w:t>https://hwb.gov.Wales/curriculum-for-wales</w:t>
        </w:r>
      </w:hyperlink>
      <w:r w:rsidRPr="00D420A3">
        <w:rPr>
          <w:rFonts w:ascii="Avenir Book" w:hAnsi="Avenir Book"/>
          <w:color w:val="333333"/>
          <w:shd w:val="clear" w:color="auto" w:fill="FBFBFB"/>
        </w:rPr>
        <w:t> and </w:t>
      </w:r>
      <w:hyperlink r:id="rId6" w:history="1">
        <w:r w:rsidRPr="00D420A3">
          <w:rPr>
            <w:rStyle w:val="Hyperlink"/>
            <w:rFonts w:ascii="Avenir Book" w:hAnsi="Avenir Book"/>
            <w:shd w:val="clear" w:color="auto" w:fill="FBFBFB"/>
          </w:rPr>
          <w:t>https://www.legislation.gov.uk/asc/2021/4/data.pdf</w:t>
        </w:r>
      </w:hyperlink>
      <w:r w:rsidRPr="00D420A3">
        <w:rPr>
          <w:rFonts w:ascii="Avenir Book" w:hAnsi="Avenir Book"/>
          <w:color w:val="333333"/>
          <w:shd w:val="clear" w:color="auto" w:fill="FBFBFB"/>
        </w:rPr>
        <w:t> (Accessed: 14.01.2023)</w:t>
      </w:r>
    </w:p>
    <w:p w14:paraId="3873B572" w14:textId="77777777" w:rsidR="0005135A" w:rsidRPr="00D420A3" w:rsidRDefault="0005135A" w:rsidP="00A2122B">
      <w:pPr>
        <w:spacing w:before="240" w:line="360" w:lineRule="auto"/>
        <w:jc w:val="both"/>
        <w:rPr>
          <w:rFonts w:ascii="Avenir Book" w:hAnsi="Avenir Book"/>
        </w:rPr>
      </w:pPr>
      <w:r w:rsidRPr="00D420A3">
        <w:rPr>
          <w:rFonts w:ascii="Avenir Book" w:hAnsi="Avenir Book"/>
          <w:color w:val="333333"/>
          <w:shd w:val="clear" w:color="auto" w:fill="FBFBFB"/>
        </w:rPr>
        <w:t>Donaldson, G. (2015)</w:t>
      </w:r>
      <w:r w:rsidRPr="00D420A3">
        <w:rPr>
          <w:rStyle w:val="apple-converted-space"/>
          <w:rFonts w:ascii="Avenir Book" w:hAnsi="Avenir Book"/>
          <w:color w:val="333333"/>
          <w:shd w:val="clear" w:color="auto" w:fill="FBFBFB"/>
        </w:rPr>
        <w:t> </w:t>
      </w:r>
      <w:r w:rsidRPr="00D420A3">
        <w:rPr>
          <w:rFonts w:ascii="Avenir Book" w:hAnsi="Avenir Book"/>
          <w:i/>
          <w:iCs/>
          <w:color w:val="333333"/>
        </w:rPr>
        <w:t>Successful Futures</w:t>
      </w:r>
      <w:r w:rsidRPr="00D420A3">
        <w:rPr>
          <w:rFonts w:ascii="Avenir Book" w:hAnsi="Avenir Book"/>
          <w:color w:val="333333"/>
          <w:shd w:val="clear" w:color="auto" w:fill="FBFBFB"/>
        </w:rPr>
        <w:t>. Available at: https://www.gov.wales/sites/default/files/publications/2018-03/successful-futures.pdf (Accessed: 03.02.2023).</w:t>
      </w:r>
    </w:p>
    <w:p w14:paraId="4A049C52" w14:textId="77777777" w:rsidR="0005135A" w:rsidRPr="00D420A3" w:rsidRDefault="0005135A" w:rsidP="00A2122B">
      <w:pPr>
        <w:spacing w:before="240" w:line="360" w:lineRule="auto"/>
        <w:jc w:val="both"/>
        <w:rPr>
          <w:rFonts w:ascii="Avenir Book" w:hAnsi="Avenir Book"/>
        </w:rPr>
      </w:pPr>
      <w:r w:rsidRPr="00D420A3">
        <w:rPr>
          <w:rFonts w:ascii="Avenir Book" w:hAnsi="Avenir Book"/>
          <w:color w:val="333333"/>
          <w:shd w:val="clear" w:color="auto" w:fill="FBFBFB"/>
        </w:rPr>
        <w:t>Dower, N. (2003) </w:t>
      </w:r>
      <w:r w:rsidRPr="00D420A3">
        <w:rPr>
          <w:rFonts w:ascii="Avenir Book" w:hAnsi="Avenir Book"/>
          <w:i/>
          <w:iCs/>
          <w:color w:val="333333"/>
        </w:rPr>
        <w:t>An Introduction to Global Citizenship</w:t>
      </w:r>
      <w:r w:rsidRPr="00D420A3">
        <w:rPr>
          <w:rFonts w:ascii="Avenir Book" w:hAnsi="Avenir Book"/>
          <w:color w:val="333333"/>
          <w:shd w:val="clear" w:color="auto" w:fill="FBFBFB"/>
        </w:rPr>
        <w:t>. Edinburgh: Edinburgh University Press, ISBN: 0-7486-1470-2</w:t>
      </w:r>
    </w:p>
    <w:p w14:paraId="2DEDE1B0" w14:textId="77777777" w:rsidR="0005135A" w:rsidRDefault="0005135A" w:rsidP="00A2122B">
      <w:pPr>
        <w:spacing w:before="240" w:line="360" w:lineRule="auto"/>
        <w:jc w:val="both"/>
        <w:rPr>
          <w:rFonts w:ascii="Avenir Book" w:hAnsi="Avenir Book"/>
          <w:color w:val="333333"/>
          <w:shd w:val="clear" w:color="auto" w:fill="FBFBFB"/>
        </w:rPr>
      </w:pPr>
      <w:r w:rsidRPr="00D420A3">
        <w:rPr>
          <w:rFonts w:ascii="Avenir Book" w:hAnsi="Avenir Book"/>
          <w:color w:val="333333"/>
          <w:shd w:val="clear" w:color="auto" w:fill="FBFBFB"/>
        </w:rPr>
        <w:t>Environment and Development Available at: https://sustainabledevelopment.un.org/content/documents/5987our-common-future.pdf (Accessed: 02.02.2023).</w:t>
      </w:r>
    </w:p>
    <w:p w14:paraId="19F7E5FF" w14:textId="77777777" w:rsidR="0005135A" w:rsidRPr="00D420A3" w:rsidRDefault="0005135A" w:rsidP="00A2122B">
      <w:pPr>
        <w:spacing w:before="240" w:line="360" w:lineRule="auto"/>
        <w:jc w:val="both"/>
        <w:rPr>
          <w:rFonts w:ascii="Avenir Book" w:hAnsi="Avenir Book"/>
        </w:rPr>
      </w:pPr>
      <w:r w:rsidRPr="00D420A3">
        <w:rPr>
          <w:rFonts w:ascii="Avenir Book" w:hAnsi="Avenir Book"/>
          <w:color w:val="333333"/>
          <w:shd w:val="clear" w:color="auto" w:fill="FBFBFB"/>
        </w:rPr>
        <w:t>Evans, G. (2021) 'Back to the future? Reflections on three phases of education policy reform in Wales and their implications for teachers.',</w:t>
      </w:r>
      <w:r w:rsidRPr="00D420A3">
        <w:rPr>
          <w:rStyle w:val="apple-converted-space"/>
          <w:rFonts w:ascii="Avenir Book" w:hAnsi="Avenir Book"/>
          <w:color w:val="333333"/>
          <w:shd w:val="clear" w:color="auto" w:fill="FBFBFB"/>
        </w:rPr>
        <w:t> </w:t>
      </w:r>
      <w:r w:rsidRPr="00D420A3">
        <w:rPr>
          <w:rFonts w:ascii="Avenir Book" w:hAnsi="Avenir Book"/>
          <w:i/>
          <w:iCs/>
          <w:color w:val="333333"/>
        </w:rPr>
        <w:t>Journal of Educational Change</w:t>
      </w:r>
      <w:r w:rsidRPr="00D420A3">
        <w:rPr>
          <w:rFonts w:ascii="Avenir Book" w:hAnsi="Avenir Book"/>
          <w:color w:val="333333"/>
          <w:shd w:val="clear" w:color="auto" w:fill="FBFBFB"/>
        </w:rPr>
        <w:t>, 23, Pp.371-396. Available at: https://doi.org/10.1007/s10833-021-09422-6</w:t>
      </w:r>
    </w:p>
    <w:p w14:paraId="563F1EEF" w14:textId="77777777" w:rsidR="0005135A" w:rsidRPr="00D420A3" w:rsidRDefault="0005135A" w:rsidP="00A2122B">
      <w:pPr>
        <w:spacing w:before="240" w:line="360" w:lineRule="auto"/>
        <w:jc w:val="both"/>
        <w:rPr>
          <w:rFonts w:ascii="Avenir Book" w:hAnsi="Avenir Book"/>
          <w:color w:val="333333"/>
          <w:shd w:val="clear" w:color="auto" w:fill="FBFBFB"/>
        </w:rPr>
      </w:pPr>
      <w:r w:rsidRPr="00D420A3">
        <w:rPr>
          <w:rFonts w:ascii="Avenir Book" w:hAnsi="Avenir Book"/>
          <w:color w:val="333333"/>
          <w:shd w:val="clear" w:color="auto" w:fill="FBFBFB"/>
        </w:rPr>
        <w:t>Furlong, J., Griffiths, J., Hannigan-Davies, C., Harris, A., and Jones, M., (2021) 'The reform of initial teacher education in Wales: from vision to reality',</w:t>
      </w:r>
      <w:r w:rsidRPr="00D420A3">
        <w:rPr>
          <w:rStyle w:val="apple-converted-space"/>
          <w:rFonts w:ascii="Avenir Book" w:hAnsi="Avenir Book"/>
          <w:color w:val="333333"/>
          <w:shd w:val="clear" w:color="auto" w:fill="FBFBFB"/>
        </w:rPr>
        <w:t> </w:t>
      </w:r>
      <w:r w:rsidRPr="00D420A3">
        <w:rPr>
          <w:rFonts w:ascii="Avenir Book" w:hAnsi="Avenir Book"/>
          <w:i/>
          <w:iCs/>
          <w:color w:val="333333"/>
        </w:rPr>
        <w:t>Oxford Review of Education</w:t>
      </w:r>
      <w:r w:rsidRPr="00D420A3">
        <w:rPr>
          <w:rFonts w:ascii="Avenir Book" w:hAnsi="Avenir Book"/>
          <w:color w:val="333333"/>
          <w:shd w:val="clear" w:color="auto" w:fill="FBFBFB"/>
        </w:rPr>
        <w:t xml:space="preserve">, 47 (1), Pp.61-78. Available at: </w:t>
      </w:r>
      <w:hyperlink r:id="rId7" w:history="1">
        <w:r w:rsidRPr="00D420A3">
          <w:rPr>
            <w:rStyle w:val="Hyperlink"/>
            <w:rFonts w:ascii="Avenir Book" w:hAnsi="Avenir Book"/>
            <w:shd w:val="clear" w:color="auto" w:fill="FBFBFB"/>
          </w:rPr>
          <w:t>https://doi.org/10.1080/03054985.2020.1842180</w:t>
        </w:r>
      </w:hyperlink>
    </w:p>
    <w:p w14:paraId="4E92929C" w14:textId="77777777" w:rsidR="0005135A" w:rsidRPr="00D420A3" w:rsidRDefault="0005135A" w:rsidP="00A2122B">
      <w:pPr>
        <w:spacing w:before="240" w:line="360" w:lineRule="auto"/>
        <w:jc w:val="both"/>
        <w:rPr>
          <w:rFonts w:ascii="Avenir Book" w:hAnsi="Avenir Book"/>
        </w:rPr>
      </w:pPr>
      <w:r w:rsidRPr="00D420A3">
        <w:rPr>
          <w:rFonts w:ascii="Avenir Book" w:hAnsi="Avenir Book"/>
          <w:color w:val="333333"/>
          <w:shd w:val="clear" w:color="auto" w:fill="FBFBFB"/>
        </w:rPr>
        <w:lastRenderedPageBreak/>
        <w:t>Knapp, M. (2002) 'Understanding how Policy Meets Practice: Two Takes on Local Responses to a State Reform Initiative',</w:t>
      </w:r>
      <w:r w:rsidRPr="00D420A3">
        <w:rPr>
          <w:rStyle w:val="apple-converted-space"/>
          <w:rFonts w:ascii="Avenir Book" w:hAnsi="Avenir Book"/>
          <w:color w:val="333333"/>
          <w:shd w:val="clear" w:color="auto" w:fill="FBFBFB"/>
        </w:rPr>
        <w:t> </w:t>
      </w:r>
      <w:r w:rsidRPr="00D420A3">
        <w:rPr>
          <w:rFonts w:ascii="Avenir Book" w:hAnsi="Avenir Book"/>
          <w:i/>
          <w:iCs/>
          <w:color w:val="333333"/>
        </w:rPr>
        <w:t>Centre for the Study of Teaching and Policy</w:t>
      </w:r>
      <w:r w:rsidRPr="00D420A3">
        <w:rPr>
          <w:rFonts w:ascii="Avenir Book" w:hAnsi="Avenir Book"/>
          <w:color w:val="333333"/>
          <w:shd w:val="clear" w:color="auto" w:fill="FBFBFB"/>
        </w:rPr>
        <w:t>, Document: O-02-1, Pp. 1-31. Available at: https://www.education.uw.edu/ctp/sites/default/files/ctpmail/PDFs/PolicyPractice-MSK-06-2002.pdf (Accessed: 03.02.2023) </w:t>
      </w:r>
    </w:p>
    <w:p w14:paraId="680F5811" w14:textId="77777777" w:rsidR="0005135A" w:rsidRPr="00D420A3" w:rsidRDefault="0005135A" w:rsidP="00A2122B">
      <w:pPr>
        <w:spacing w:before="240" w:line="360" w:lineRule="auto"/>
        <w:jc w:val="both"/>
        <w:rPr>
          <w:rFonts w:ascii="Avenir Book" w:hAnsi="Avenir Book"/>
        </w:rPr>
      </w:pPr>
      <w:r w:rsidRPr="00D420A3">
        <w:rPr>
          <w:rFonts w:ascii="Avenir Book" w:hAnsi="Avenir Book"/>
          <w:color w:val="333333"/>
          <w:shd w:val="clear" w:color="auto" w:fill="FBFBFB"/>
        </w:rPr>
        <w:t>Kopnina, H. (2012) 'Education for sustainable development (ESD): the turn away from 'environment' in environmental education?',</w:t>
      </w:r>
      <w:r w:rsidRPr="00D420A3">
        <w:rPr>
          <w:rStyle w:val="apple-converted-space"/>
          <w:rFonts w:ascii="Avenir Book" w:hAnsi="Avenir Book"/>
          <w:color w:val="333333"/>
          <w:shd w:val="clear" w:color="auto" w:fill="FBFBFB"/>
        </w:rPr>
        <w:t> </w:t>
      </w:r>
      <w:r w:rsidRPr="00D420A3">
        <w:rPr>
          <w:rFonts w:ascii="Avenir Book" w:hAnsi="Avenir Book"/>
          <w:i/>
          <w:iCs/>
          <w:color w:val="333333"/>
        </w:rPr>
        <w:t>Environmental Education Research</w:t>
      </w:r>
      <w:r w:rsidRPr="00D420A3">
        <w:rPr>
          <w:rFonts w:ascii="Avenir Book" w:hAnsi="Avenir Book"/>
          <w:color w:val="333333"/>
          <w:shd w:val="clear" w:color="auto" w:fill="FBFBFB"/>
        </w:rPr>
        <w:t>, 18(5), pp.699-717, Available at: https://doi.org/10/1080/13504622.2012.658028</w:t>
      </w:r>
    </w:p>
    <w:p w14:paraId="2FB26582" w14:textId="77777777" w:rsidR="0005135A" w:rsidRPr="00D420A3" w:rsidRDefault="0005135A" w:rsidP="00A2122B">
      <w:pPr>
        <w:spacing w:before="240" w:line="360" w:lineRule="auto"/>
        <w:jc w:val="both"/>
        <w:rPr>
          <w:rFonts w:ascii="Avenir Book" w:hAnsi="Avenir Book"/>
        </w:rPr>
      </w:pPr>
      <w:r w:rsidRPr="00D420A3">
        <w:rPr>
          <w:rFonts w:ascii="Avenir Book" w:hAnsi="Avenir Book"/>
          <w:color w:val="333333"/>
          <w:shd w:val="clear" w:color="auto" w:fill="FBFBFB"/>
        </w:rPr>
        <w:t>McKeown, R. (2002)</w:t>
      </w:r>
      <w:r w:rsidRPr="00D420A3">
        <w:rPr>
          <w:rStyle w:val="apple-converted-space"/>
          <w:rFonts w:ascii="Avenir Book" w:hAnsi="Avenir Book"/>
          <w:color w:val="333333"/>
          <w:shd w:val="clear" w:color="auto" w:fill="FBFBFB"/>
        </w:rPr>
        <w:t> </w:t>
      </w:r>
      <w:r w:rsidRPr="00D420A3">
        <w:rPr>
          <w:rFonts w:ascii="Avenir Book" w:hAnsi="Avenir Book"/>
          <w:i/>
          <w:iCs/>
          <w:color w:val="333333"/>
        </w:rPr>
        <w:t>Education for Sustainable Development Toolkit</w:t>
      </w:r>
      <w:r w:rsidRPr="00D420A3">
        <w:rPr>
          <w:rFonts w:ascii="Avenir Book" w:hAnsi="Avenir Book"/>
          <w:color w:val="333333"/>
          <w:shd w:val="clear" w:color="auto" w:fill="FBFBFB"/>
        </w:rPr>
        <w:t>. Version 2 Available at: http://www.esdtoolkit.org (Accessed: 02.02.2023).</w:t>
      </w:r>
    </w:p>
    <w:p w14:paraId="69ED0431" w14:textId="77777777" w:rsidR="0005135A" w:rsidRPr="00D420A3" w:rsidRDefault="0005135A" w:rsidP="00A2122B">
      <w:pPr>
        <w:spacing w:before="240" w:line="360" w:lineRule="auto"/>
        <w:jc w:val="both"/>
        <w:rPr>
          <w:rFonts w:ascii="Avenir Book" w:hAnsi="Avenir Book"/>
        </w:rPr>
      </w:pPr>
      <w:r w:rsidRPr="00D420A3">
        <w:rPr>
          <w:rFonts w:ascii="Avenir Book" w:hAnsi="Avenir Book"/>
          <w:color w:val="333333"/>
          <w:shd w:val="clear" w:color="auto" w:fill="FBFBFB"/>
        </w:rPr>
        <w:t>Mundy, K. and Manion, C. (2008) 'Global education in Canadian elementary schools: An exploratory study',</w:t>
      </w:r>
      <w:r w:rsidRPr="00D420A3">
        <w:rPr>
          <w:rStyle w:val="apple-converted-space"/>
          <w:rFonts w:ascii="Avenir Book" w:hAnsi="Avenir Book"/>
          <w:color w:val="333333"/>
          <w:shd w:val="clear" w:color="auto" w:fill="FBFBFB"/>
        </w:rPr>
        <w:t> </w:t>
      </w:r>
      <w:r w:rsidRPr="00D420A3">
        <w:rPr>
          <w:rFonts w:ascii="Avenir Book" w:hAnsi="Avenir Book"/>
          <w:i/>
          <w:iCs/>
          <w:color w:val="333333"/>
        </w:rPr>
        <w:t>Canadian Journal of Education</w:t>
      </w:r>
      <w:r w:rsidRPr="00D420A3">
        <w:rPr>
          <w:rFonts w:ascii="Avenir Book" w:hAnsi="Avenir Book"/>
          <w:color w:val="333333"/>
          <w:shd w:val="clear" w:color="auto" w:fill="FBFBFB"/>
        </w:rPr>
        <w:t>, 31(4), 941-974. Available at: DOI:10.2307/20466735</w:t>
      </w:r>
    </w:p>
    <w:p w14:paraId="44C6AF15" w14:textId="77777777" w:rsidR="0005135A" w:rsidRPr="00D420A3" w:rsidRDefault="0005135A" w:rsidP="00A2122B">
      <w:pPr>
        <w:spacing w:before="240" w:line="360" w:lineRule="auto"/>
        <w:jc w:val="both"/>
        <w:rPr>
          <w:rFonts w:ascii="Avenir Book" w:hAnsi="Avenir Book"/>
        </w:rPr>
      </w:pPr>
      <w:r w:rsidRPr="00D420A3">
        <w:rPr>
          <w:rFonts w:ascii="Avenir Book" w:hAnsi="Avenir Book"/>
          <w:color w:val="333333"/>
          <w:shd w:val="clear" w:color="auto" w:fill="FBFBFB"/>
        </w:rPr>
        <w:t>Norcliffe, D and Bennell, S. (2010) 'Analysis of Views on the Development of Education for Sustainable Development and Global Citizenship Policy in Wales', </w:t>
      </w:r>
      <w:r w:rsidRPr="00D420A3">
        <w:rPr>
          <w:rFonts w:ascii="Avenir Book" w:hAnsi="Avenir Book"/>
          <w:i/>
          <w:iCs/>
          <w:color w:val="333333"/>
        </w:rPr>
        <w:t>International Journal of Development Education and Global Learning</w:t>
      </w:r>
      <w:r w:rsidRPr="00D420A3">
        <w:rPr>
          <w:rFonts w:ascii="Avenir Book" w:hAnsi="Avenir Book"/>
          <w:color w:val="333333"/>
          <w:shd w:val="clear" w:color="auto" w:fill="FBFBFB"/>
        </w:rPr>
        <w:t>, 3(1), 39-58.</w:t>
      </w:r>
    </w:p>
    <w:p w14:paraId="153785F5" w14:textId="77777777" w:rsidR="0005135A" w:rsidRPr="00D420A3" w:rsidRDefault="0005135A" w:rsidP="00A2122B">
      <w:pPr>
        <w:spacing w:before="240" w:line="360" w:lineRule="auto"/>
        <w:jc w:val="both"/>
        <w:rPr>
          <w:rFonts w:ascii="Avenir Book" w:hAnsi="Avenir Book"/>
          <w:color w:val="333333"/>
          <w:shd w:val="clear" w:color="auto" w:fill="FBFBFB"/>
        </w:rPr>
      </w:pPr>
      <w:r w:rsidRPr="00D420A3">
        <w:rPr>
          <w:rFonts w:ascii="Avenir Book" w:hAnsi="Avenir Book"/>
          <w:color w:val="333333"/>
          <w:shd w:val="clear" w:color="auto" w:fill="FBFBFB"/>
        </w:rPr>
        <w:t>Organisation for Economic Co-operation and Development (2022)</w:t>
      </w:r>
      <w:r w:rsidRPr="00D420A3">
        <w:rPr>
          <w:rStyle w:val="apple-converted-space"/>
          <w:rFonts w:ascii="Avenir Book" w:hAnsi="Avenir Book"/>
          <w:color w:val="333333"/>
          <w:shd w:val="clear" w:color="auto" w:fill="FBFBFB"/>
        </w:rPr>
        <w:t> </w:t>
      </w:r>
      <w:r w:rsidRPr="00D420A3">
        <w:rPr>
          <w:rFonts w:ascii="Avenir Book" w:hAnsi="Avenir Book"/>
          <w:i/>
          <w:iCs/>
          <w:color w:val="333333"/>
        </w:rPr>
        <w:t>Implementing Education Policies</w:t>
      </w:r>
      <w:r w:rsidRPr="00D420A3">
        <w:rPr>
          <w:rFonts w:ascii="Avenir Book" w:hAnsi="Avenir Book"/>
          <w:color w:val="333333"/>
          <w:shd w:val="clear" w:color="auto" w:fill="FBFBFB"/>
        </w:rPr>
        <w:t>. Available at: https://www.oecd.org/education/implementing-policies/ (Accessed: 04.02.2023).</w:t>
      </w:r>
    </w:p>
    <w:p w14:paraId="0E1ACCDE" w14:textId="77777777" w:rsidR="0005135A" w:rsidRPr="00D420A3" w:rsidRDefault="0005135A" w:rsidP="00A2122B">
      <w:pPr>
        <w:spacing w:before="240" w:line="360" w:lineRule="auto"/>
        <w:jc w:val="both"/>
        <w:rPr>
          <w:rFonts w:ascii="Avenir Book" w:hAnsi="Avenir Book"/>
        </w:rPr>
      </w:pPr>
      <w:r w:rsidRPr="00D420A3">
        <w:rPr>
          <w:rFonts w:ascii="Avenir Book" w:hAnsi="Avenir Book"/>
          <w:color w:val="333333"/>
          <w:shd w:val="clear" w:color="auto" w:fill="FBFBFB"/>
        </w:rPr>
        <w:t>Pashby, K. (2016) 'The global, citizenship and education as discursive fields: Towards disrupting the reproduction of colonial systems of power', in I. Langran and T. Birk (ed.) </w:t>
      </w:r>
      <w:r w:rsidRPr="00D420A3">
        <w:rPr>
          <w:rFonts w:ascii="Avenir Book" w:hAnsi="Avenir Book"/>
          <w:i/>
          <w:iCs/>
          <w:color w:val="333333"/>
        </w:rPr>
        <w:t>Globalization and global citizenship, interdisciplinary approaches</w:t>
      </w:r>
      <w:r w:rsidRPr="00D420A3">
        <w:rPr>
          <w:rFonts w:ascii="Avenir Book" w:hAnsi="Avenir Book"/>
          <w:color w:val="333333"/>
          <w:shd w:val="clear" w:color="auto" w:fill="FBFBFB"/>
        </w:rPr>
        <w:t>. New York: Routledge, Pp.85-102.</w:t>
      </w:r>
    </w:p>
    <w:p w14:paraId="3532115A" w14:textId="77777777" w:rsidR="0005135A" w:rsidRPr="00D420A3" w:rsidRDefault="0005135A" w:rsidP="00A2122B">
      <w:pPr>
        <w:spacing w:before="240" w:line="360" w:lineRule="auto"/>
        <w:jc w:val="both"/>
        <w:rPr>
          <w:rFonts w:ascii="Avenir Book" w:hAnsi="Avenir Book"/>
        </w:rPr>
      </w:pPr>
      <w:r w:rsidRPr="00D420A3">
        <w:rPr>
          <w:rFonts w:ascii="Avenir Book" w:hAnsi="Avenir Book"/>
          <w:color w:val="333333"/>
          <w:shd w:val="clear" w:color="auto" w:fill="FBFBFB"/>
        </w:rPr>
        <w:lastRenderedPageBreak/>
        <w:t>Peters, M. Britton, A. and Blee, H. (2008) 'Introduction', in M. Peters, A. Britton and H. Blee (ed.) </w:t>
      </w:r>
      <w:r w:rsidRPr="00D420A3">
        <w:rPr>
          <w:rFonts w:ascii="Avenir Book" w:hAnsi="Avenir Book"/>
          <w:i/>
          <w:iCs/>
          <w:color w:val="333333"/>
        </w:rPr>
        <w:t>Global Citizenship: Philosophy, Theory and Pedagogy</w:t>
      </w:r>
      <w:r w:rsidRPr="00D420A3">
        <w:rPr>
          <w:rFonts w:ascii="Avenir Book" w:hAnsi="Avenir Book"/>
          <w:color w:val="333333"/>
          <w:shd w:val="clear" w:color="auto" w:fill="FBFBFB"/>
        </w:rPr>
        <w:t>. Rotterdam: Sense Publishers, Pp.1-14.</w:t>
      </w:r>
    </w:p>
    <w:p w14:paraId="5CD08615" w14:textId="77777777" w:rsidR="0005135A" w:rsidRPr="00D420A3" w:rsidRDefault="0005135A" w:rsidP="00A2122B">
      <w:pPr>
        <w:spacing w:before="240" w:line="360" w:lineRule="auto"/>
        <w:jc w:val="both"/>
        <w:rPr>
          <w:rFonts w:ascii="Avenir Book" w:hAnsi="Avenir Book"/>
        </w:rPr>
      </w:pPr>
      <w:r w:rsidRPr="00D420A3">
        <w:rPr>
          <w:rFonts w:ascii="Avenir Book" w:hAnsi="Avenir Book"/>
          <w:color w:val="333333"/>
          <w:shd w:val="clear" w:color="auto" w:fill="FBFBFB"/>
        </w:rPr>
        <w:t>Ranco, S. Gilmer, A. and Loomis, C. (2020) 'Chapter 11: Global Citizenship Education in Canada and the U.S.: From Nation-Centric Multiculturalism to Youth Engagement', in A. Akkari and K. Maleq (ed.)</w:t>
      </w:r>
      <w:r w:rsidRPr="00D420A3">
        <w:rPr>
          <w:rStyle w:val="apple-converted-space"/>
          <w:rFonts w:ascii="Avenir Book" w:hAnsi="Avenir Book"/>
          <w:color w:val="333333"/>
          <w:shd w:val="clear" w:color="auto" w:fill="FBFBFB"/>
        </w:rPr>
        <w:t> </w:t>
      </w:r>
      <w:r w:rsidRPr="00D420A3">
        <w:rPr>
          <w:rFonts w:ascii="Avenir Book" w:hAnsi="Avenir Book"/>
          <w:i/>
          <w:iCs/>
          <w:color w:val="333333"/>
        </w:rPr>
        <w:t>Global Citizenship Education: Critical and International Perspectives</w:t>
      </w:r>
      <w:r w:rsidRPr="00D420A3">
        <w:rPr>
          <w:rFonts w:ascii="Avenir Book" w:hAnsi="Avenir Book"/>
          <w:color w:val="333333"/>
          <w:shd w:val="clear" w:color="auto" w:fill="FBFBFB"/>
        </w:rPr>
        <w:t>. Switzerland: Springer, Pp. 139-157.</w:t>
      </w:r>
    </w:p>
    <w:p w14:paraId="46B4AC0B" w14:textId="77777777" w:rsidR="0005135A" w:rsidRPr="00D420A3" w:rsidRDefault="0005135A" w:rsidP="00A2122B">
      <w:pPr>
        <w:spacing w:before="240" w:line="360" w:lineRule="auto"/>
        <w:jc w:val="both"/>
        <w:rPr>
          <w:rFonts w:ascii="Avenir Book" w:hAnsi="Avenir Book"/>
        </w:rPr>
      </w:pPr>
      <w:r w:rsidRPr="00D420A3">
        <w:rPr>
          <w:rFonts w:ascii="Avenir Book" w:hAnsi="Avenir Book"/>
          <w:color w:val="333333"/>
          <w:shd w:val="clear" w:color="auto" w:fill="FBFBFB"/>
        </w:rPr>
        <w:t>Seidikenova, A., Akkari, A., and Bakitov, A.  (2020) 'Chapter 5: The Construction of Citizenship in Kazakhstan Between the Soviet Era and Globalization', in A. Akkari and K. Maleq (ed.) </w:t>
      </w:r>
      <w:r w:rsidRPr="00D420A3">
        <w:rPr>
          <w:rFonts w:ascii="Avenir Book" w:hAnsi="Avenir Book"/>
          <w:i/>
          <w:iCs/>
          <w:color w:val="333333"/>
        </w:rPr>
        <w:t>Global Citizenship Education: Critical and International Perspectives</w:t>
      </w:r>
      <w:r w:rsidRPr="00D420A3">
        <w:rPr>
          <w:rFonts w:ascii="Avenir Book" w:hAnsi="Avenir Book"/>
          <w:color w:val="333333"/>
          <w:shd w:val="clear" w:color="auto" w:fill="FBFBFB"/>
        </w:rPr>
        <w:t>. Place of Switzerland: Springer, Pp.57-71.</w:t>
      </w:r>
    </w:p>
    <w:p w14:paraId="1C3908BA" w14:textId="77777777" w:rsidR="0005135A" w:rsidRPr="00D420A3" w:rsidRDefault="0005135A" w:rsidP="00A2122B">
      <w:pPr>
        <w:spacing w:before="240" w:line="360" w:lineRule="auto"/>
        <w:jc w:val="both"/>
        <w:rPr>
          <w:rFonts w:ascii="Avenir Book" w:hAnsi="Avenir Book"/>
          <w:color w:val="333333"/>
          <w:shd w:val="clear" w:color="auto" w:fill="FBFBFB"/>
        </w:rPr>
      </w:pPr>
      <w:r w:rsidRPr="00D420A3">
        <w:rPr>
          <w:rFonts w:ascii="Avenir Book" w:hAnsi="Avenir Book"/>
          <w:color w:val="333333"/>
          <w:shd w:val="clear" w:color="auto" w:fill="FBFBFB"/>
        </w:rPr>
        <w:t>Senedd Research (2021)</w:t>
      </w:r>
      <w:r w:rsidRPr="00D420A3">
        <w:rPr>
          <w:rStyle w:val="apple-converted-space"/>
          <w:rFonts w:ascii="Avenir Book" w:hAnsi="Avenir Book"/>
          <w:color w:val="333333"/>
          <w:shd w:val="clear" w:color="auto" w:fill="FBFBFB"/>
        </w:rPr>
        <w:t> </w:t>
      </w:r>
      <w:r w:rsidRPr="00D420A3">
        <w:rPr>
          <w:rFonts w:ascii="Avenir Book" w:hAnsi="Avenir Book"/>
          <w:i/>
          <w:iCs/>
          <w:color w:val="333333"/>
        </w:rPr>
        <w:t>Implementing major education reforms</w:t>
      </w:r>
      <w:r w:rsidRPr="00D420A3">
        <w:rPr>
          <w:rFonts w:ascii="Avenir Book" w:hAnsi="Avenir Book"/>
          <w:color w:val="333333"/>
          <w:shd w:val="clear" w:color="auto" w:fill="FBFBFB"/>
        </w:rPr>
        <w:t>. Available at: https://research.senedd.wales/research-articles/implementing-major-education-reforms/ (Accessed: 03.02.2023).</w:t>
      </w:r>
    </w:p>
    <w:p w14:paraId="53107C2B" w14:textId="77777777" w:rsidR="0005135A" w:rsidRPr="00D420A3" w:rsidRDefault="0005135A" w:rsidP="00A2122B">
      <w:pPr>
        <w:spacing w:before="240" w:line="360" w:lineRule="auto"/>
        <w:jc w:val="both"/>
        <w:rPr>
          <w:rFonts w:ascii="Avenir Book" w:hAnsi="Avenir Book"/>
          <w:color w:val="333333"/>
          <w:shd w:val="clear" w:color="auto" w:fill="FBFBFB"/>
        </w:rPr>
      </w:pPr>
      <w:r w:rsidRPr="00D420A3">
        <w:rPr>
          <w:rFonts w:ascii="Avenir Book" w:hAnsi="Avenir Book"/>
          <w:color w:val="333333"/>
          <w:shd w:val="clear" w:color="auto" w:fill="FBFBFB"/>
        </w:rPr>
        <w:t>Tabberer, R. (2013)</w:t>
      </w:r>
      <w:r w:rsidRPr="00D420A3">
        <w:rPr>
          <w:rStyle w:val="apple-converted-space"/>
          <w:rFonts w:ascii="Avenir Book" w:hAnsi="Avenir Book"/>
          <w:color w:val="333333"/>
          <w:shd w:val="clear" w:color="auto" w:fill="FBFBFB"/>
        </w:rPr>
        <w:t> </w:t>
      </w:r>
      <w:r w:rsidRPr="00D420A3">
        <w:rPr>
          <w:rFonts w:ascii="Avenir Book" w:hAnsi="Avenir Book"/>
          <w:i/>
          <w:iCs/>
          <w:color w:val="333333"/>
        </w:rPr>
        <w:t>A Review of Initial Teacher Training in Wales</w:t>
      </w:r>
      <w:r w:rsidRPr="00D420A3">
        <w:rPr>
          <w:rFonts w:ascii="Avenir Book" w:hAnsi="Avenir Book"/>
          <w:color w:val="333333"/>
          <w:shd w:val="clear" w:color="auto" w:fill="FBFBFB"/>
        </w:rPr>
        <w:t>.</w:t>
      </w:r>
      <w:r w:rsidRPr="00D420A3">
        <w:rPr>
          <w:rStyle w:val="apple-converted-space"/>
          <w:rFonts w:ascii="Avenir Book" w:hAnsi="Avenir Book"/>
          <w:color w:val="333333"/>
          <w:shd w:val="clear" w:color="auto" w:fill="FBFBFB"/>
        </w:rPr>
        <w:t> </w:t>
      </w:r>
      <w:r w:rsidRPr="00D420A3">
        <w:rPr>
          <w:rFonts w:ascii="Avenir Book" w:hAnsi="Avenir Book"/>
          <w:color w:val="333333"/>
          <w:shd w:val="clear" w:color="auto" w:fill="FBFBFB"/>
        </w:rPr>
        <w:t>Available at: https://www.gov.wales/sites/default/files/publications/2018-09/review-of-initial-teacher-training-2013.pdf (Accessed: 03.02.2023).</w:t>
      </w:r>
    </w:p>
    <w:p w14:paraId="3A786B18" w14:textId="77777777" w:rsidR="0005135A" w:rsidRPr="00D420A3" w:rsidRDefault="0005135A" w:rsidP="00A2122B">
      <w:pPr>
        <w:spacing w:before="240" w:line="360" w:lineRule="auto"/>
        <w:jc w:val="both"/>
        <w:rPr>
          <w:rFonts w:ascii="Avenir Book" w:hAnsi="Avenir Book"/>
        </w:rPr>
      </w:pPr>
      <w:r w:rsidRPr="00D420A3">
        <w:rPr>
          <w:rFonts w:ascii="Avenir Book" w:hAnsi="Avenir Book"/>
          <w:color w:val="333333"/>
          <w:shd w:val="clear" w:color="auto" w:fill="FBFBFB"/>
        </w:rPr>
        <w:t>Tarozzi, M. and Inguaggiato, C. (2018) 'Implementing global citizenship education in EU primary schools: The role of government ministries', </w:t>
      </w:r>
      <w:r w:rsidRPr="00D420A3">
        <w:rPr>
          <w:rFonts w:ascii="Avenir Book" w:hAnsi="Avenir Book"/>
          <w:i/>
          <w:iCs/>
          <w:color w:val="333333"/>
        </w:rPr>
        <w:t>International Journal of Development Education and Global Learning</w:t>
      </w:r>
      <w:r w:rsidRPr="00D420A3">
        <w:rPr>
          <w:rFonts w:ascii="Avenir Book" w:hAnsi="Avenir Book"/>
          <w:color w:val="333333"/>
          <w:shd w:val="clear" w:color="auto" w:fill="FBFBFB"/>
        </w:rPr>
        <w:t>, 10 (1), Pp. 21-38.</w:t>
      </w:r>
    </w:p>
    <w:p w14:paraId="38B139A8" w14:textId="77777777" w:rsidR="0005135A" w:rsidRPr="00D420A3" w:rsidRDefault="0005135A" w:rsidP="00A2122B">
      <w:pPr>
        <w:spacing w:before="240" w:line="360" w:lineRule="auto"/>
        <w:jc w:val="both"/>
        <w:rPr>
          <w:rFonts w:ascii="Avenir Book" w:hAnsi="Avenir Book"/>
        </w:rPr>
      </w:pPr>
      <w:r>
        <w:rPr>
          <w:rFonts w:ascii="avenir-regular-class" w:hAnsi="avenir-regular-class"/>
          <w:color w:val="333333"/>
          <w:sz w:val="23"/>
          <w:szCs w:val="23"/>
          <w:shd w:val="clear" w:color="auto" w:fill="FBFBFB"/>
        </w:rPr>
        <w:t>United Nations, (1987)</w:t>
      </w:r>
      <w:r>
        <w:rPr>
          <w:rStyle w:val="apple-converted-space"/>
          <w:rFonts w:ascii="avenir-regular-class" w:hAnsi="avenir-regular-class"/>
          <w:color w:val="333333"/>
          <w:sz w:val="23"/>
          <w:szCs w:val="23"/>
          <w:shd w:val="clear" w:color="auto" w:fill="FBFBFB"/>
        </w:rPr>
        <w:t> </w:t>
      </w:r>
      <w:r>
        <w:rPr>
          <w:rFonts w:ascii="avenir-regular-class" w:hAnsi="avenir-regular-class"/>
          <w:i/>
          <w:iCs/>
          <w:color w:val="333333"/>
          <w:sz w:val="23"/>
          <w:szCs w:val="23"/>
        </w:rPr>
        <w:t>Report of the world commission on environment and development: Our common future</w:t>
      </w:r>
      <w:r>
        <w:rPr>
          <w:rFonts w:ascii="avenir-regular-class" w:hAnsi="avenir-regular-class"/>
          <w:color w:val="333333"/>
          <w:sz w:val="23"/>
          <w:szCs w:val="23"/>
          <w:shd w:val="clear" w:color="auto" w:fill="FBFBFB"/>
        </w:rPr>
        <w:t>.</w:t>
      </w:r>
      <w:r>
        <w:rPr>
          <w:rStyle w:val="apple-converted-space"/>
          <w:rFonts w:ascii="avenir-regular-class" w:hAnsi="avenir-regular-class"/>
          <w:color w:val="333333"/>
          <w:sz w:val="23"/>
          <w:szCs w:val="23"/>
          <w:shd w:val="clear" w:color="auto" w:fill="FBFBFB"/>
        </w:rPr>
        <w:t> </w:t>
      </w:r>
      <w:r>
        <w:rPr>
          <w:rFonts w:ascii="avenir-regular-class" w:hAnsi="avenir-regular-class"/>
          <w:color w:val="333333"/>
          <w:sz w:val="23"/>
          <w:szCs w:val="23"/>
          <w:shd w:val="clear" w:color="auto" w:fill="FBFBFB"/>
        </w:rPr>
        <w:t>Available at: https://sustainabledevelopment.un.org/content/documents/5987our-common-future.pdf (Accessed: 04.02.2023).</w:t>
      </w:r>
    </w:p>
    <w:p w14:paraId="01FDB5E1" w14:textId="77777777" w:rsidR="0005135A" w:rsidRPr="00DE1882" w:rsidRDefault="0005135A" w:rsidP="00A2122B">
      <w:pPr>
        <w:spacing w:before="240" w:line="360" w:lineRule="auto"/>
        <w:jc w:val="both"/>
        <w:rPr>
          <w:rFonts w:ascii="Avenir Book" w:hAnsi="Avenir Book"/>
        </w:rPr>
      </w:pPr>
      <w:r w:rsidRPr="00DE1882">
        <w:rPr>
          <w:rFonts w:ascii="Avenir Book" w:hAnsi="Avenir Book"/>
          <w:color w:val="333333"/>
          <w:shd w:val="clear" w:color="auto" w:fill="FBFBFB"/>
        </w:rPr>
        <w:lastRenderedPageBreak/>
        <w:t>United Nations Educational, Scientific, and Cultural Organisation, (no date)</w:t>
      </w:r>
      <w:r w:rsidRPr="00DE1882">
        <w:rPr>
          <w:rStyle w:val="apple-converted-space"/>
          <w:rFonts w:ascii="Avenir Book" w:hAnsi="Avenir Book"/>
          <w:color w:val="333333"/>
          <w:shd w:val="clear" w:color="auto" w:fill="FBFBFB"/>
        </w:rPr>
        <w:t> </w:t>
      </w:r>
      <w:r w:rsidRPr="00DE1882">
        <w:rPr>
          <w:rFonts w:ascii="Avenir Book" w:hAnsi="Avenir Book"/>
          <w:i/>
          <w:iCs/>
          <w:color w:val="333333"/>
        </w:rPr>
        <w:t>Education for Sustainable Development</w:t>
      </w:r>
      <w:r w:rsidRPr="00DE1882">
        <w:rPr>
          <w:rFonts w:ascii="Avenir Book" w:hAnsi="Avenir Book"/>
          <w:color w:val="333333"/>
          <w:shd w:val="clear" w:color="auto" w:fill="FBFBFB"/>
        </w:rPr>
        <w:t xml:space="preserve">. Available at: https://www.unesco.org/en/education/sustainable-development (Accessed: 02.02.2023). </w:t>
      </w:r>
    </w:p>
    <w:p w14:paraId="7D373607" w14:textId="77777777" w:rsidR="0005135A" w:rsidRPr="00DE1882" w:rsidRDefault="0005135A" w:rsidP="00A2122B">
      <w:pPr>
        <w:spacing w:before="240" w:line="360" w:lineRule="auto"/>
        <w:jc w:val="both"/>
        <w:rPr>
          <w:rFonts w:ascii="Avenir Book" w:hAnsi="Avenir Book"/>
        </w:rPr>
      </w:pPr>
      <w:r w:rsidRPr="00DE1882">
        <w:rPr>
          <w:rFonts w:ascii="Avenir Book" w:hAnsi="Avenir Book"/>
          <w:color w:val="333333"/>
          <w:shd w:val="clear" w:color="auto" w:fill="FBFBFB"/>
        </w:rPr>
        <w:t>United Nations Educational, Scientific and Cultural Organisation (2017) </w:t>
      </w:r>
      <w:r w:rsidRPr="00DE1882">
        <w:rPr>
          <w:rFonts w:ascii="Avenir Book" w:hAnsi="Avenir Book"/>
          <w:i/>
          <w:iCs/>
          <w:color w:val="333333"/>
        </w:rPr>
        <w:t>Education for Sustainable Development Goals: Learning Objectives</w:t>
      </w:r>
      <w:r w:rsidRPr="00DE1882">
        <w:rPr>
          <w:rFonts w:ascii="Avenir Book" w:hAnsi="Avenir Book"/>
          <w:color w:val="333333"/>
          <w:shd w:val="clear" w:color="auto" w:fill="FBFBFB"/>
        </w:rPr>
        <w:t>. France: UNESCO </w:t>
      </w:r>
      <w:r w:rsidRPr="00DE1882">
        <w:rPr>
          <w:rFonts w:ascii="Avenir Book" w:hAnsi="Avenir Book"/>
          <w:i/>
          <w:iCs/>
          <w:color w:val="333333"/>
        </w:rPr>
        <w:t>or</w:t>
      </w:r>
      <w:r w:rsidRPr="00DE1882">
        <w:rPr>
          <w:rFonts w:ascii="Avenir Book" w:hAnsi="Avenir Book"/>
          <w:color w:val="333333"/>
          <w:shd w:val="clear" w:color="auto" w:fill="FBFBFB"/>
        </w:rPr>
        <w:t> Available at: https://unesdoc.unesco.org/in/documentViewer.xhtml?v=2.1.196&amp;id=p::usmarcdef_0000247444&amp;file=/in/rest/annotationSVC/DownloadWatermarkedAttachment/attach_import_82603519-4d73-431c-9324-8e0dcc1b6b1e%3F_%3D247444eng.pdf&amp;locale=en&amp;multi=true&amp;ark=/ark:/48223/pf0000247444/PDF/247444eng.pdf#815_18_Learning%20Objectives_int_En.indd%3A.121515%3A381 (Accessed: date 03.02.2023).</w:t>
      </w:r>
    </w:p>
    <w:p w14:paraId="4A209AB6" w14:textId="77777777" w:rsidR="0005135A" w:rsidRPr="00DE1882" w:rsidRDefault="0005135A" w:rsidP="00A2122B">
      <w:pPr>
        <w:spacing w:before="240" w:line="360" w:lineRule="auto"/>
        <w:jc w:val="both"/>
        <w:rPr>
          <w:rFonts w:ascii="Avenir Book" w:hAnsi="Avenir Book"/>
          <w:color w:val="333333"/>
          <w:shd w:val="clear" w:color="auto" w:fill="FBFBFB"/>
        </w:rPr>
      </w:pPr>
    </w:p>
    <w:p w14:paraId="5FDC25BC" w14:textId="77777777" w:rsidR="0005135A" w:rsidRPr="00DE1882" w:rsidRDefault="0005135A" w:rsidP="00A2122B">
      <w:pPr>
        <w:spacing w:before="240" w:line="360" w:lineRule="auto"/>
        <w:jc w:val="both"/>
        <w:rPr>
          <w:rFonts w:ascii="Avenir Book" w:hAnsi="Avenir Book"/>
        </w:rPr>
      </w:pPr>
      <w:r w:rsidRPr="00DE1882">
        <w:rPr>
          <w:rFonts w:ascii="Avenir Book" w:hAnsi="Avenir Book"/>
          <w:color w:val="333333"/>
          <w:shd w:val="clear" w:color="auto" w:fill="FBFBFB"/>
        </w:rPr>
        <w:t>United Nations Educational, Scientific, and Cultural Organisation, (no date)</w:t>
      </w:r>
      <w:r w:rsidRPr="00DE1882">
        <w:rPr>
          <w:rStyle w:val="apple-converted-space"/>
          <w:rFonts w:ascii="Avenir Book" w:hAnsi="Avenir Book"/>
          <w:color w:val="333333"/>
          <w:shd w:val="clear" w:color="auto" w:fill="FBFBFB"/>
        </w:rPr>
        <w:t> </w:t>
      </w:r>
      <w:r w:rsidRPr="00DE1882">
        <w:rPr>
          <w:rFonts w:ascii="Avenir Book" w:hAnsi="Avenir Book"/>
          <w:i/>
          <w:iCs/>
          <w:color w:val="333333"/>
        </w:rPr>
        <w:t>Global Citizenship Education</w:t>
      </w:r>
      <w:r w:rsidRPr="00DE1882">
        <w:rPr>
          <w:rFonts w:ascii="Avenir Book" w:hAnsi="Avenir Book"/>
          <w:color w:val="333333"/>
          <w:shd w:val="clear" w:color="auto" w:fill="FBFBFB"/>
        </w:rPr>
        <w:t>. Available at: https://en.unesco.org/themes/gced (Accessed: 02.02.2023).</w:t>
      </w:r>
    </w:p>
    <w:p w14:paraId="1BA09389" w14:textId="77777777" w:rsidR="0005135A" w:rsidRPr="00DE1882" w:rsidRDefault="0005135A" w:rsidP="00A2122B">
      <w:pPr>
        <w:spacing w:before="240" w:line="360" w:lineRule="auto"/>
        <w:jc w:val="both"/>
        <w:rPr>
          <w:rFonts w:ascii="Avenir Book" w:hAnsi="Avenir Book"/>
        </w:rPr>
      </w:pPr>
      <w:r w:rsidRPr="00DE1882">
        <w:rPr>
          <w:rFonts w:ascii="Avenir Book" w:hAnsi="Avenir Book"/>
          <w:color w:val="333333"/>
          <w:shd w:val="clear" w:color="auto" w:fill="FBFBFB"/>
        </w:rPr>
        <w:t>United Nations Educational, Scientific and Cultural Organisation (2018) </w:t>
      </w:r>
      <w:r w:rsidRPr="00DE1882">
        <w:rPr>
          <w:rFonts w:ascii="Avenir Book" w:hAnsi="Avenir Book"/>
          <w:i/>
          <w:iCs/>
          <w:color w:val="333333"/>
        </w:rPr>
        <w:t>Global Citizenship Education: Taking it Local</w:t>
      </w:r>
      <w:r w:rsidRPr="00DE1882">
        <w:rPr>
          <w:rFonts w:ascii="Avenir Book" w:hAnsi="Avenir Book"/>
          <w:color w:val="333333"/>
          <w:shd w:val="clear" w:color="auto" w:fill="FBFBFB"/>
        </w:rPr>
        <w:t>. Paris: UNESCO </w:t>
      </w:r>
      <w:r w:rsidRPr="00DE1882">
        <w:rPr>
          <w:rFonts w:ascii="Avenir Book" w:hAnsi="Avenir Book"/>
          <w:i/>
          <w:iCs/>
          <w:color w:val="333333"/>
        </w:rPr>
        <w:t>or</w:t>
      </w:r>
      <w:r w:rsidRPr="00DE1882">
        <w:rPr>
          <w:rFonts w:ascii="Avenir Book" w:hAnsi="Avenir Book"/>
          <w:color w:val="333333"/>
          <w:shd w:val="clear" w:color="auto" w:fill="FBFBFB"/>
        </w:rPr>
        <w:t> Available at: https://unesdoc.unesco.org/ark:/48223/pf0000265456 (Accessed: 03.02.2023).</w:t>
      </w:r>
    </w:p>
    <w:p w14:paraId="7A48BA5E" w14:textId="77777777" w:rsidR="0005135A" w:rsidRPr="00DE1882" w:rsidRDefault="0005135A" w:rsidP="00A2122B">
      <w:pPr>
        <w:spacing w:before="240" w:line="360" w:lineRule="auto"/>
        <w:jc w:val="both"/>
        <w:rPr>
          <w:rFonts w:ascii="Avenir Book" w:hAnsi="Avenir Book"/>
        </w:rPr>
      </w:pPr>
      <w:r w:rsidRPr="00DE1882">
        <w:rPr>
          <w:rFonts w:ascii="Avenir Book" w:hAnsi="Avenir Book"/>
          <w:color w:val="333333"/>
          <w:shd w:val="clear" w:color="auto" w:fill="FBFBFB"/>
        </w:rPr>
        <w:t>United Nations Educational, Scientific, and Cultural Organisation (1974) </w:t>
      </w:r>
      <w:r w:rsidRPr="00DE1882">
        <w:rPr>
          <w:rFonts w:ascii="Avenir Book" w:hAnsi="Avenir Book"/>
          <w:i/>
          <w:iCs/>
          <w:color w:val="333333"/>
        </w:rPr>
        <w:t>Recommendation concerning Education for International Understanding, Co-operation and Peace and Education relating to Human Rights and Fundamental Freedoms</w:t>
      </w:r>
      <w:r w:rsidRPr="00DE1882">
        <w:rPr>
          <w:rFonts w:ascii="Avenir Book" w:hAnsi="Avenir Book"/>
          <w:color w:val="333333"/>
          <w:shd w:val="clear" w:color="auto" w:fill="FBFBFB"/>
        </w:rPr>
        <w:t>. Paris: UNESCO </w:t>
      </w:r>
      <w:r w:rsidRPr="00DE1882">
        <w:rPr>
          <w:rFonts w:ascii="Avenir Book" w:hAnsi="Avenir Book"/>
          <w:i/>
          <w:iCs/>
          <w:color w:val="333333"/>
        </w:rPr>
        <w:t>or</w:t>
      </w:r>
      <w:r w:rsidRPr="00DE1882">
        <w:rPr>
          <w:rFonts w:ascii="Avenir Book" w:hAnsi="Avenir Book"/>
          <w:color w:val="333333"/>
          <w:shd w:val="clear" w:color="auto" w:fill="FBFBFB"/>
        </w:rPr>
        <w:t> Available at: https://www.unesco.org/en/legal-affairs/recommendation-concerning-education-international-understanding-co-operation-and-peace-and-education (Accessed: 02.02.2023).</w:t>
      </w:r>
    </w:p>
    <w:p w14:paraId="5322B2EA" w14:textId="77777777" w:rsidR="0005135A" w:rsidRPr="00DE1882" w:rsidRDefault="0005135A" w:rsidP="00A2122B">
      <w:pPr>
        <w:spacing w:before="240" w:line="360" w:lineRule="auto"/>
        <w:jc w:val="both"/>
        <w:rPr>
          <w:rFonts w:ascii="Avenir Book" w:hAnsi="Avenir Book"/>
          <w:color w:val="333333"/>
          <w:shd w:val="clear" w:color="auto" w:fill="FBFBFB"/>
        </w:rPr>
      </w:pPr>
      <w:r w:rsidRPr="00DE1882">
        <w:rPr>
          <w:rFonts w:ascii="Avenir Book" w:hAnsi="Avenir Book"/>
          <w:color w:val="333333"/>
          <w:shd w:val="clear" w:color="auto" w:fill="FBFBFB"/>
        </w:rPr>
        <w:lastRenderedPageBreak/>
        <w:t>United Nations Educational, Scientific, and Cultural Organisation, (2014)</w:t>
      </w:r>
      <w:r w:rsidRPr="00DE1882">
        <w:rPr>
          <w:rStyle w:val="apple-converted-space"/>
          <w:rFonts w:ascii="Avenir Book" w:hAnsi="Avenir Book"/>
          <w:color w:val="333333"/>
          <w:shd w:val="clear" w:color="auto" w:fill="FBFBFB"/>
        </w:rPr>
        <w:t> </w:t>
      </w:r>
      <w:r w:rsidRPr="00DE1882">
        <w:rPr>
          <w:rFonts w:ascii="Avenir Book" w:hAnsi="Avenir Book"/>
          <w:i/>
          <w:iCs/>
          <w:color w:val="333333"/>
        </w:rPr>
        <w:t>Shaping the future we want: UN Decade of Education for Sustainable Development (2005-2014)</w:t>
      </w:r>
      <w:r w:rsidRPr="00DE1882">
        <w:rPr>
          <w:rFonts w:ascii="Avenir Book" w:hAnsi="Avenir Book"/>
          <w:color w:val="333333"/>
          <w:shd w:val="clear" w:color="auto" w:fill="FBFBFB"/>
        </w:rPr>
        <w:t>. Paris: UNESCO Available at: https://unesdoc.unesco.org/ark:/48223/pf0000230171 (Accessed: 02.02.2023).</w:t>
      </w:r>
    </w:p>
    <w:p w14:paraId="7536A421" w14:textId="77777777" w:rsidR="0005135A" w:rsidRPr="00DE1882" w:rsidRDefault="0005135A" w:rsidP="00A2122B">
      <w:pPr>
        <w:spacing w:before="240" w:line="360" w:lineRule="auto"/>
        <w:jc w:val="both"/>
        <w:rPr>
          <w:rFonts w:ascii="Avenir Book" w:hAnsi="Avenir Book"/>
          <w:color w:val="333333"/>
          <w:shd w:val="clear" w:color="auto" w:fill="FBFBFB"/>
        </w:rPr>
      </w:pPr>
      <w:r w:rsidRPr="00DE1882">
        <w:rPr>
          <w:rFonts w:ascii="Avenir Book" w:hAnsi="Avenir Book"/>
          <w:color w:val="333333"/>
          <w:shd w:val="clear" w:color="auto" w:fill="FBFBFB"/>
        </w:rPr>
        <w:t>United Nations Educational, Scientific and Cultural Organisation (2015)</w:t>
      </w:r>
      <w:r w:rsidRPr="00DE1882">
        <w:rPr>
          <w:rStyle w:val="apple-converted-space"/>
          <w:rFonts w:ascii="Avenir Book" w:hAnsi="Avenir Book"/>
          <w:color w:val="333333"/>
          <w:shd w:val="clear" w:color="auto" w:fill="FBFBFB"/>
        </w:rPr>
        <w:t> </w:t>
      </w:r>
      <w:r w:rsidRPr="00DE1882">
        <w:rPr>
          <w:rFonts w:ascii="Avenir Book" w:hAnsi="Avenir Book"/>
          <w:i/>
          <w:iCs/>
          <w:color w:val="333333"/>
        </w:rPr>
        <w:t>Sustainable Development Goals</w:t>
      </w:r>
      <w:r w:rsidRPr="00DE1882">
        <w:rPr>
          <w:rFonts w:ascii="Avenir Book" w:hAnsi="Avenir Book"/>
          <w:color w:val="333333"/>
          <w:shd w:val="clear" w:color="auto" w:fill="FBFBFB"/>
        </w:rPr>
        <w:t>. Available at: https://en.unesco.org/sustainabledevelopmentgoals (Accessed: 01.02.2023).</w:t>
      </w:r>
    </w:p>
    <w:p w14:paraId="4C43801F" w14:textId="77777777" w:rsidR="0005135A" w:rsidRPr="00DE1882" w:rsidRDefault="0005135A" w:rsidP="00A2122B">
      <w:pPr>
        <w:spacing w:before="240" w:line="360" w:lineRule="auto"/>
        <w:jc w:val="both"/>
        <w:rPr>
          <w:rFonts w:ascii="Avenir Book" w:hAnsi="Avenir Book"/>
        </w:rPr>
      </w:pPr>
      <w:r w:rsidRPr="00DE1882">
        <w:rPr>
          <w:rFonts w:ascii="Avenir Book" w:hAnsi="Avenir Book"/>
          <w:color w:val="333333"/>
          <w:shd w:val="clear" w:color="auto" w:fill="FBFBFB"/>
        </w:rPr>
        <w:t>United Nations Educational, Scientific and Cultural Organisation (2022)</w:t>
      </w:r>
      <w:r w:rsidRPr="00DE1882">
        <w:rPr>
          <w:rStyle w:val="apple-converted-space"/>
          <w:rFonts w:ascii="Avenir Book" w:hAnsi="Avenir Book"/>
          <w:color w:val="333333"/>
          <w:shd w:val="clear" w:color="auto" w:fill="FBFBFB"/>
        </w:rPr>
        <w:t> </w:t>
      </w:r>
      <w:r w:rsidRPr="00DE1882">
        <w:rPr>
          <w:rFonts w:ascii="Avenir Book" w:hAnsi="Avenir Book"/>
          <w:i/>
          <w:iCs/>
          <w:color w:val="333333"/>
        </w:rPr>
        <w:t>Sustainable Development Goal 4: Education</w:t>
      </w:r>
      <w:r w:rsidRPr="00DE1882">
        <w:rPr>
          <w:rFonts w:ascii="Avenir Book" w:hAnsi="Avenir Book"/>
          <w:color w:val="333333"/>
          <w:shd w:val="clear" w:color="auto" w:fill="FBFBFB"/>
        </w:rPr>
        <w:t>. Available at: https://sdgs.un.org/goals/goal4 (Accessed: 03.02.2023).</w:t>
      </w:r>
    </w:p>
    <w:p w14:paraId="54970219" w14:textId="77777777" w:rsidR="0005135A" w:rsidRPr="00DE1882" w:rsidRDefault="0005135A" w:rsidP="00A2122B">
      <w:pPr>
        <w:pStyle w:val="ListParagraph"/>
        <w:jc w:val="both"/>
        <w:rPr>
          <w:rFonts w:ascii="Avenir Book" w:hAnsi="Avenir Book"/>
          <w:color w:val="333333"/>
          <w:shd w:val="clear" w:color="auto" w:fill="FBFBFB"/>
        </w:rPr>
      </w:pPr>
    </w:p>
    <w:p w14:paraId="403854F2" w14:textId="77777777" w:rsidR="0005135A" w:rsidRPr="00DE1882" w:rsidRDefault="0005135A" w:rsidP="00A2122B">
      <w:pPr>
        <w:spacing w:before="240" w:line="360" w:lineRule="auto"/>
        <w:jc w:val="both"/>
        <w:rPr>
          <w:rFonts w:ascii="Avenir Book" w:hAnsi="Avenir Book"/>
        </w:rPr>
      </w:pPr>
      <w:r w:rsidRPr="00DE1882">
        <w:rPr>
          <w:rFonts w:ascii="Avenir Book" w:hAnsi="Avenir Book"/>
          <w:color w:val="333333"/>
          <w:shd w:val="clear" w:color="auto" w:fill="FBFBFB"/>
        </w:rPr>
        <w:t>United Nations Educational, Scientific, and Cultural Organisation (2015) </w:t>
      </w:r>
      <w:r w:rsidRPr="00DE1882">
        <w:rPr>
          <w:rFonts w:ascii="Avenir Book" w:hAnsi="Avenir Book"/>
          <w:i/>
          <w:iCs/>
          <w:color w:val="333333"/>
        </w:rPr>
        <w:t>Transforming our world: the 2030 Agenda for Sustainable Development</w:t>
      </w:r>
      <w:r w:rsidRPr="00DE1882">
        <w:rPr>
          <w:rFonts w:ascii="Avenir Book" w:hAnsi="Avenir Book"/>
          <w:color w:val="333333"/>
          <w:shd w:val="clear" w:color="auto" w:fill="FBFBFB"/>
        </w:rPr>
        <w:t>. A/RES/70/1: UN General Assembly </w:t>
      </w:r>
      <w:r w:rsidRPr="00DE1882">
        <w:rPr>
          <w:rFonts w:ascii="Avenir Book" w:hAnsi="Avenir Book"/>
          <w:i/>
          <w:iCs/>
          <w:color w:val="333333"/>
        </w:rPr>
        <w:t>or</w:t>
      </w:r>
      <w:r w:rsidRPr="00DE1882">
        <w:rPr>
          <w:rFonts w:ascii="Avenir Book" w:hAnsi="Avenir Book"/>
          <w:color w:val="333333"/>
          <w:shd w:val="clear" w:color="auto" w:fill="FBFBFB"/>
        </w:rPr>
        <w:t> Available at: https://documents-dds-ny.un.org/doc/UNDOC/GEN/N15/291/89/PDF/N1529189.pdf?OpenElement (Accessed: 02.02.2023).</w:t>
      </w:r>
    </w:p>
    <w:p w14:paraId="4C1F95EA" w14:textId="77777777" w:rsidR="0005135A" w:rsidRPr="00DE1882" w:rsidRDefault="0005135A" w:rsidP="00A2122B">
      <w:pPr>
        <w:spacing w:before="240" w:line="360" w:lineRule="auto"/>
        <w:jc w:val="both"/>
        <w:rPr>
          <w:rFonts w:ascii="Avenir Book" w:hAnsi="Avenir Book"/>
        </w:rPr>
      </w:pPr>
      <w:r w:rsidRPr="00DE1882">
        <w:rPr>
          <w:rFonts w:ascii="Avenir Book" w:hAnsi="Avenir Book"/>
          <w:color w:val="333333"/>
          <w:shd w:val="clear" w:color="auto" w:fill="FBFBFB"/>
        </w:rPr>
        <w:t>United States Department of State (2017) </w:t>
      </w:r>
      <w:r w:rsidRPr="00DE1882">
        <w:rPr>
          <w:rFonts w:ascii="Avenir Book" w:hAnsi="Avenir Book"/>
          <w:i/>
          <w:iCs/>
          <w:color w:val="333333"/>
        </w:rPr>
        <w:t>Diplomacy in Action</w:t>
      </w:r>
      <w:r w:rsidRPr="00DE1882">
        <w:rPr>
          <w:rFonts w:ascii="Avenir Book" w:hAnsi="Avenir Book"/>
        </w:rPr>
        <w:t xml:space="preserve"> Critically evaluate the implementation of ESDGC through the lens of policy, curriculum, and practice</w:t>
      </w:r>
      <w:r w:rsidRPr="00DE1882">
        <w:rPr>
          <w:rFonts w:ascii="Avenir Book" w:hAnsi="Avenir Book"/>
          <w:i/>
          <w:iCs/>
          <w:color w:val="333333"/>
        </w:rPr>
        <w:t>: Kazakhstan (02/07)</w:t>
      </w:r>
      <w:r w:rsidRPr="00DE1882">
        <w:rPr>
          <w:rFonts w:ascii="Avenir Book" w:hAnsi="Avenir Book"/>
          <w:color w:val="333333"/>
          <w:shd w:val="clear" w:color="auto" w:fill="FBFBFB"/>
        </w:rPr>
        <w:t>. Available at: https://2009-2017.state.gov/outofdate/bgn/kazakhstan/80741.htm (Accessed: 03.02.2023).</w:t>
      </w:r>
    </w:p>
    <w:p w14:paraId="72C70F37" w14:textId="77777777" w:rsidR="0005135A" w:rsidRPr="005828C3" w:rsidRDefault="0005135A" w:rsidP="00A2122B">
      <w:pPr>
        <w:spacing w:before="240" w:line="360" w:lineRule="auto"/>
        <w:jc w:val="both"/>
        <w:rPr>
          <w:rFonts w:ascii="Avenir Book" w:hAnsi="Avenir Book"/>
        </w:rPr>
      </w:pPr>
      <w:r w:rsidRPr="005828C3">
        <w:rPr>
          <w:rFonts w:ascii="Avenir Book" w:hAnsi="Avenir Book"/>
          <w:color w:val="333333"/>
          <w:shd w:val="clear" w:color="auto" w:fill="FBFBFB"/>
        </w:rPr>
        <w:t>Viennet, R. and Point, B. (2017) 'Education Policy Implementation: A literature review and proposed framework',</w:t>
      </w:r>
      <w:r w:rsidRPr="005828C3">
        <w:rPr>
          <w:rStyle w:val="apple-converted-space"/>
          <w:rFonts w:ascii="Avenir Book" w:hAnsi="Avenir Book"/>
          <w:color w:val="333333"/>
          <w:shd w:val="clear" w:color="auto" w:fill="FBFBFB"/>
        </w:rPr>
        <w:t> </w:t>
      </w:r>
      <w:r w:rsidRPr="005828C3">
        <w:rPr>
          <w:rFonts w:ascii="Avenir Book" w:hAnsi="Avenir Book"/>
          <w:i/>
          <w:iCs/>
          <w:color w:val="333333"/>
        </w:rPr>
        <w:t>Organisation for Economic Co-operation and Development: Working Papers</w:t>
      </w:r>
      <w:r w:rsidRPr="005828C3">
        <w:rPr>
          <w:rFonts w:ascii="Avenir Book" w:hAnsi="Avenir Book"/>
          <w:color w:val="333333"/>
          <w:shd w:val="clear" w:color="auto" w:fill="FBFBFB"/>
        </w:rPr>
        <w:t>, Paper no. 162, Available at: https://dx.doi.org/10.1787/fc467a64-en. (Accessed: 04.02.2023)</w:t>
      </w:r>
    </w:p>
    <w:p w14:paraId="599FAFAF" w14:textId="77777777" w:rsidR="0005135A" w:rsidRPr="00DE1882" w:rsidRDefault="0005135A" w:rsidP="00A2122B">
      <w:pPr>
        <w:spacing w:before="240" w:line="360" w:lineRule="auto"/>
        <w:jc w:val="both"/>
        <w:rPr>
          <w:rFonts w:ascii="Avenir Book" w:hAnsi="Avenir Book"/>
        </w:rPr>
      </w:pPr>
      <w:r w:rsidRPr="00DE1882">
        <w:rPr>
          <w:rFonts w:ascii="Avenir Book" w:hAnsi="Avenir Book"/>
          <w:color w:val="333333"/>
          <w:shd w:val="clear" w:color="auto" w:fill="FBFBFB"/>
        </w:rPr>
        <w:lastRenderedPageBreak/>
        <w:t>Welsh Assembly Government (2015)</w:t>
      </w:r>
      <w:r w:rsidRPr="00DE1882">
        <w:rPr>
          <w:rStyle w:val="apple-converted-space"/>
          <w:rFonts w:ascii="Avenir Book" w:hAnsi="Avenir Book"/>
          <w:color w:val="333333"/>
          <w:shd w:val="clear" w:color="auto" w:fill="FBFBFB"/>
        </w:rPr>
        <w:t> </w:t>
      </w:r>
      <w:r w:rsidRPr="00DE1882">
        <w:rPr>
          <w:rFonts w:ascii="Avenir Book" w:hAnsi="Avenir Book"/>
          <w:i/>
          <w:iCs/>
          <w:color w:val="333333"/>
        </w:rPr>
        <w:t>Curriculum for Wales: Foundation Phase Framework. </w:t>
      </w:r>
      <w:r w:rsidRPr="00DE1882">
        <w:rPr>
          <w:rFonts w:ascii="Avenir Book" w:hAnsi="Avenir Book"/>
          <w:color w:val="333333"/>
          <w:shd w:val="clear" w:color="auto" w:fill="FBFBFB"/>
        </w:rPr>
        <w:t>Available at: https://hwb.gov.wales/api/storage/d5d8e39c-b534-40cb-a3f5-7e2e126d8077/foundation-phase-framework.pdf (Accessed: 04.02.2023).</w:t>
      </w:r>
    </w:p>
    <w:p w14:paraId="5E23AC68" w14:textId="77777777" w:rsidR="0005135A" w:rsidRPr="00DE1882" w:rsidRDefault="0005135A" w:rsidP="00A2122B">
      <w:pPr>
        <w:spacing w:before="240" w:line="360" w:lineRule="auto"/>
        <w:jc w:val="both"/>
        <w:rPr>
          <w:rFonts w:ascii="Avenir Book" w:hAnsi="Avenir Book"/>
          <w:color w:val="333333"/>
          <w:shd w:val="clear" w:color="auto" w:fill="FBFBFB"/>
        </w:rPr>
      </w:pPr>
      <w:r w:rsidRPr="00DE1882">
        <w:rPr>
          <w:rFonts w:ascii="Avenir Book" w:hAnsi="Avenir Book"/>
          <w:color w:val="333333"/>
          <w:shd w:val="clear" w:color="auto" w:fill="FBFBFB"/>
        </w:rPr>
        <w:t>Welsh Assembly Government (2008) </w:t>
      </w:r>
      <w:r w:rsidRPr="00DE1882">
        <w:rPr>
          <w:rFonts w:ascii="Avenir Book" w:hAnsi="Avenir Book"/>
          <w:i/>
          <w:iCs/>
          <w:color w:val="333333"/>
        </w:rPr>
        <w:t>Education for Sustainable Development and Global Citizenship: A common understanding for schools</w:t>
      </w:r>
      <w:r w:rsidRPr="00DE1882">
        <w:rPr>
          <w:rFonts w:ascii="Avenir Book" w:hAnsi="Avenir Book"/>
          <w:color w:val="333333"/>
          <w:shd w:val="clear" w:color="auto" w:fill="FBFBFB"/>
        </w:rPr>
        <w:t>. 065/2008. Available at: https://hwb.gov.wales/storage/eaf467e6-30fe-45c9-93ef-cb30f31f1c90/common-understanding-for-school.pdf (Accessed: 02.02.2023).</w:t>
      </w:r>
    </w:p>
    <w:p w14:paraId="1999F7D6" w14:textId="77777777" w:rsidR="0005135A" w:rsidRPr="00DE1882" w:rsidRDefault="0005135A" w:rsidP="00A2122B">
      <w:pPr>
        <w:spacing w:before="240" w:line="360" w:lineRule="auto"/>
        <w:jc w:val="both"/>
        <w:rPr>
          <w:rFonts w:ascii="Avenir Book" w:hAnsi="Avenir Book"/>
          <w:color w:val="333333"/>
          <w:shd w:val="clear" w:color="auto" w:fill="FBFBFB"/>
        </w:rPr>
      </w:pPr>
      <w:r w:rsidRPr="00DE1882">
        <w:rPr>
          <w:rFonts w:ascii="Avenir Book" w:hAnsi="Avenir Book"/>
          <w:color w:val="333333"/>
          <w:shd w:val="clear" w:color="auto" w:fill="FBFBFB"/>
        </w:rPr>
        <w:t>Welsh Assembly Government (2008)</w:t>
      </w:r>
      <w:r w:rsidRPr="00DE1882">
        <w:rPr>
          <w:rStyle w:val="apple-converted-space"/>
          <w:rFonts w:ascii="Avenir Book" w:hAnsi="Avenir Book"/>
          <w:color w:val="333333"/>
          <w:shd w:val="clear" w:color="auto" w:fill="FBFBFB"/>
        </w:rPr>
        <w:t> </w:t>
      </w:r>
      <w:r w:rsidRPr="00DE1882">
        <w:rPr>
          <w:rFonts w:ascii="Avenir Book" w:hAnsi="Avenir Book"/>
          <w:i/>
          <w:iCs/>
          <w:color w:val="333333"/>
        </w:rPr>
        <w:t>Geography: in the National Curriculum for Wales</w:t>
      </w:r>
      <w:r w:rsidRPr="00DE1882">
        <w:rPr>
          <w:rFonts w:ascii="Avenir Book" w:hAnsi="Avenir Book"/>
          <w:color w:val="333333"/>
          <w:shd w:val="clear" w:color="auto" w:fill="FBFBFB"/>
        </w:rPr>
        <w:t>.</w:t>
      </w:r>
      <w:r w:rsidRPr="00DE1882">
        <w:rPr>
          <w:rStyle w:val="apple-converted-space"/>
          <w:rFonts w:ascii="Avenir Book" w:hAnsi="Avenir Book"/>
          <w:color w:val="333333"/>
          <w:shd w:val="clear" w:color="auto" w:fill="FBFBFB"/>
        </w:rPr>
        <w:t> </w:t>
      </w:r>
      <w:r w:rsidRPr="00DE1882">
        <w:rPr>
          <w:rFonts w:ascii="Avenir Book" w:hAnsi="Avenir Book"/>
          <w:color w:val="333333"/>
          <w:shd w:val="clear" w:color="auto" w:fill="FBFBFB"/>
        </w:rPr>
        <w:t>Available at: https://hwb.gov.wales/api/storage/6fce280a-8132-4969-b821-a7313a2be719/geography-in-the-national-curriculum.pdf (Accessed: 04.02.2023).</w:t>
      </w:r>
    </w:p>
    <w:p w14:paraId="42C58F5B" w14:textId="77777777" w:rsidR="0005135A" w:rsidRPr="00DE1882" w:rsidRDefault="0005135A" w:rsidP="00A2122B">
      <w:pPr>
        <w:spacing w:before="240" w:line="360" w:lineRule="auto"/>
        <w:jc w:val="both"/>
        <w:rPr>
          <w:rFonts w:ascii="Avenir Book" w:hAnsi="Avenir Book"/>
        </w:rPr>
      </w:pPr>
      <w:r w:rsidRPr="00DE1882">
        <w:rPr>
          <w:rFonts w:ascii="Avenir Book" w:hAnsi="Avenir Book"/>
          <w:color w:val="333333"/>
          <w:shd w:val="clear" w:color="auto" w:fill="FBFBFB"/>
        </w:rPr>
        <w:t>Welsh Assembly Government (2004)</w:t>
      </w:r>
      <w:r w:rsidRPr="00DE1882">
        <w:rPr>
          <w:rStyle w:val="apple-converted-space"/>
          <w:rFonts w:ascii="Avenir Book" w:hAnsi="Avenir Book"/>
          <w:color w:val="333333"/>
          <w:shd w:val="clear" w:color="auto" w:fill="FBFBFB"/>
        </w:rPr>
        <w:t> </w:t>
      </w:r>
      <w:r w:rsidRPr="00DE1882">
        <w:rPr>
          <w:rFonts w:ascii="Avenir Book" w:hAnsi="Avenir Book"/>
          <w:i/>
          <w:iCs/>
          <w:color w:val="333333"/>
        </w:rPr>
        <w:t>Learning Pathways 14-19 Guidance. </w:t>
      </w:r>
      <w:r w:rsidRPr="00DE1882">
        <w:rPr>
          <w:rFonts w:ascii="Avenir Book" w:hAnsi="Avenir Book"/>
          <w:color w:val="333333"/>
          <w:shd w:val="clear" w:color="auto" w:fill="FBFBFB"/>
        </w:rPr>
        <w:t>Available at: https://hwb.gov.wales/api/storage/47f535b2-72df-4b67-a8e1-f8b7b7c24322/learning-pathways-14-19-guidance.pdf (Accessed: 04.02.2023).</w:t>
      </w:r>
    </w:p>
    <w:p w14:paraId="30195BE5" w14:textId="77777777" w:rsidR="0005135A" w:rsidRPr="00DE1882" w:rsidRDefault="0005135A" w:rsidP="00A2122B">
      <w:pPr>
        <w:spacing w:before="240" w:line="360" w:lineRule="auto"/>
        <w:jc w:val="both"/>
        <w:rPr>
          <w:rFonts w:ascii="Avenir Book" w:hAnsi="Avenir Book"/>
          <w:color w:val="333333"/>
          <w:shd w:val="clear" w:color="auto" w:fill="FBFBFB"/>
        </w:rPr>
      </w:pPr>
      <w:r w:rsidRPr="00DE1882">
        <w:rPr>
          <w:rFonts w:ascii="Avenir Book" w:hAnsi="Avenir Book"/>
          <w:color w:val="333333"/>
          <w:shd w:val="clear" w:color="auto" w:fill="FBFBFB"/>
        </w:rPr>
        <w:t>Welsh Assembly Government (2008)</w:t>
      </w:r>
      <w:r w:rsidRPr="00DE1882">
        <w:rPr>
          <w:rStyle w:val="apple-converted-space"/>
          <w:rFonts w:ascii="Avenir Book" w:hAnsi="Avenir Book"/>
          <w:color w:val="333333"/>
          <w:shd w:val="clear" w:color="auto" w:fill="FBFBFB"/>
        </w:rPr>
        <w:t> </w:t>
      </w:r>
      <w:r w:rsidRPr="00DE1882">
        <w:rPr>
          <w:rFonts w:ascii="Avenir Book" w:hAnsi="Avenir Book"/>
          <w:i/>
          <w:iCs/>
          <w:color w:val="333333"/>
        </w:rPr>
        <w:t>National exemplar framework for religious education for 3 to 19-year-olds in Wales: Guidance for local education authorities and agreed syllabus conferences</w:t>
      </w:r>
      <w:r w:rsidRPr="00DE1882">
        <w:rPr>
          <w:rFonts w:ascii="Avenir Book" w:hAnsi="Avenir Book"/>
          <w:color w:val="333333"/>
          <w:shd w:val="clear" w:color="auto" w:fill="FBFBFB"/>
        </w:rPr>
        <w:t>.</w:t>
      </w:r>
      <w:r w:rsidRPr="00DE1882">
        <w:rPr>
          <w:rStyle w:val="apple-converted-space"/>
          <w:rFonts w:ascii="Avenir Book" w:hAnsi="Avenir Book"/>
          <w:color w:val="333333"/>
          <w:shd w:val="clear" w:color="auto" w:fill="FBFBFB"/>
        </w:rPr>
        <w:t> </w:t>
      </w:r>
      <w:r w:rsidRPr="00DE1882">
        <w:rPr>
          <w:rFonts w:ascii="Avenir Book" w:hAnsi="Avenir Book"/>
          <w:color w:val="333333"/>
          <w:shd w:val="clear" w:color="auto" w:fill="FBFBFB"/>
        </w:rPr>
        <w:t>Available at: https://hwb.gov.wales/api/storage/87d294a8-daf2-40d3-b87b-a9cea5104e79/national-exemplar-framework-for-religious-education-for-3-to-19-year-olds.pdf (Accessed: 04.02.2023).</w:t>
      </w:r>
    </w:p>
    <w:p w14:paraId="57E71EC1" w14:textId="77777777" w:rsidR="0005135A" w:rsidRPr="00DE1882" w:rsidRDefault="0005135A" w:rsidP="00A2122B">
      <w:pPr>
        <w:spacing w:before="240" w:line="360" w:lineRule="auto"/>
        <w:jc w:val="both"/>
        <w:rPr>
          <w:rFonts w:ascii="Avenir Book" w:hAnsi="Avenir Book"/>
          <w:color w:val="333333"/>
          <w:shd w:val="clear" w:color="auto" w:fill="FBFBFB"/>
        </w:rPr>
      </w:pPr>
      <w:r w:rsidRPr="00DE1882">
        <w:rPr>
          <w:rFonts w:ascii="Avenir Book" w:hAnsi="Avenir Book"/>
          <w:color w:val="333333"/>
          <w:shd w:val="clear" w:color="auto" w:fill="FBFBFB"/>
        </w:rPr>
        <w:t>Welsh Assembly Government (2008)</w:t>
      </w:r>
      <w:r w:rsidRPr="00DE1882">
        <w:rPr>
          <w:rStyle w:val="apple-converted-space"/>
          <w:rFonts w:ascii="Avenir Book" w:hAnsi="Avenir Book"/>
          <w:color w:val="333333"/>
          <w:shd w:val="clear" w:color="auto" w:fill="FBFBFB"/>
        </w:rPr>
        <w:t> </w:t>
      </w:r>
      <w:r w:rsidRPr="00DE1882">
        <w:rPr>
          <w:rFonts w:ascii="Avenir Book" w:hAnsi="Avenir Book"/>
          <w:i/>
          <w:iCs/>
          <w:color w:val="333333"/>
        </w:rPr>
        <w:t>Personal and social education framework for 7 to 19-year-olds in Wales</w:t>
      </w:r>
      <w:r w:rsidRPr="00DE1882">
        <w:rPr>
          <w:rFonts w:ascii="Avenir Book" w:hAnsi="Avenir Book"/>
          <w:color w:val="333333"/>
          <w:shd w:val="clear" w:color="auto" w:fill="FBFBFB"/>
        </w:rPr>
        <w:t>.</w:t>
      </w:r>
      <w:r w:rsidRPr="00DE1882">
        <w:rPr>
          <w:rStyle w:val="apple-converted-space"/>
          <w:rFonts w:ascii="Avenir Book" w:hAnsi="Avenir Book"/>
          <w:color w:val="333333"/>
          <w:shd w:val="clear" w:color="auto" w:fill="FBFBFB"/>
        </w:rPr>
        <w:t> </w:t>
      </w:r>
      <w:r w:rsidRPr="00DE1882">
        <w:rPr>
          <w:rFonts w:ascii="Avenir Book" w:hAnsi="Avenir Book"/>
          <w:color w:val="333333"/>
          <w:shd w:val="clear" w:color="auto" w:fill="FBFBFB"/>
        </w:rPr>
        <w:t>Available at: https://hwb.gov.wales/api/storage/35fae761-054b-4e9b-928c-03e86b3e207f/personal-and-social-education-framework.pdf (Accessed: 04.02.2023).</w:t>
      </w:r>
    </w:p>
    <w:p w14:paraId="5893C5A7" w14:textId="77777777" w:rsidR="0005135A" w:rsidRPr="00DE1882" w:rsidRDefault="0005135A" w:rsidP="00A2122B">
      <w:pPr>
        <w:spacing w:before="240" w:line="360" w:lineRule="auto"/>
        <w:jc w:val="both"/>
        <w:rPr>
          <w:rFonts w:ascii="Avenir Book" w:hAnsi="Avenir Book"/>
          <w:color w:val="333333"/>
          <w:shd w:val="clear" w:color="auto" w:fill="FBFBFB"/>
        </w:rPr>
      </w:pPr>
      <w:r w:rsidRPr="00DE1882">
        <w:rPr>
          <w:rFonts w:ascii="Avenir Book" w:hAnsi="Avenir Book"/>
          <w:color w:val="333333"/>
          <w:shd w:val="clear" w:color="auto" w:fill="FBFBFB"/>
        </w:rPr>
        <w:t>Welsh Assembly Government (2008)</w:t>
      </w:r>
      <w:r w:rsidRPr="00DE1882">
        <w:rPr>
          <w:rStyle w:val="apple-converted-space"/>
          <w:rFonts w:ascii="Avenir Book" w:hAnsi="Avenir Book"/>
          <w:color w:val="333333"/>
          <w:shd w:val="clear" w:color="auto" w:fill="FBFBFB"/>
        </w:rPr>
        <w:t> </w:t>
      </w:r>
      <w:r w:rsidRPr="00DE1882">
        <w:rPr>
          <w:rFonts w:ascii="Avenir Book" w:hAnsi="Avenir Book"/>
          <w:i/>
          <w:iCs/>
          <w:color w:val="333333"/>
        </w:rPr>
        <w:t xml:space="preserve">National exemplar framework for religious education for 3 to 19-year-olds in Wales: Guidance for local education authorities and </w:t>
      </w:r>
      <w:r w:rsidRPr="00DE1882">
        <w:rPr>
          <w:rFonts w:ascii="Avenir Book" w:hAnsi="Avenir Book"/>
          <w:i/>
          <w:iCs/>
          <w:color w:val="333333"/>
        </w:rPr>
        <w:lastRenderedPageBreak/>
        <w:t>agreed syllabus conferences</w:t>
      </w:r>
      <w:r w:rsidRPr="00DE1882">
        <w:rPr>
          <w:rFonts w:ascii="Avenir Book" w:hAnsi="Avenir Book"/>
          <w:color w:val="333333"/>
          <w:shd w:val="clear" w:color="auto" w:fill="FBFBFB"/>
        </w:rPr>
        <w:t>.</w:t>
      </w:r>
      <w:r w:rsidRPr="00DE1882">
        <w:rPr>
          <w:rStyle w:val="apple-converted-space"/>
          <w:rFonts w:ascii="Avenir Book" w:hAnsi="Avenir Book"/>
          <w:color w:val="333333"/>
          <w:shd w:val="clear" w:color="auto" w:fill="FBFBFB"/>
        </w:rPr>
        <w:t> </w:t>
      </w:r>
      <w:r w:rsidRPr="00DE1882">
        <w:rPr>
          <w:rFonts w:ascii="Avenir Book" w:hAnsi="Avenir Book"/>
          <w:color w:val="333333"/>
          <w:shd w:val="clear" w:color="auto" w:fill="FBFBFB"/>
        </w:rPr>
        <w:t>Available at: https://hwb.gov.wales/api/storage/87d294a8-daf2-40d3-b87b-a9cea5104e79/national-exemplar-framework-for-religious-education-for-3-to-19-year-olds.pdf (Accessed: 04.02.2023).</w:t>
      </w:r>
    </w:p>
    <w:p w14:paraId="381274F4" w14:textId="77777777" w:rsidR="0005135A" w:rsidRPr="00DE1882" w:rsidRDefault="0005135A" w:rsidP="00A2122B">
      <w:pPr>
        <w:spacing w:before="240" w:line="360" w:lineRule="auto"/>
        <w:jc w:val="both"/>
        <w:rPr>
          <w:rFonts w:ascii="Avenir Book" w:hAnsi="Avenir Book"/>
        </w:rPr>
      </w:pPr>
      <w:r w:rsidRPr="00DE1882">
        <w:rPr>
          <w:rFonts w:ascii="Avenir Book" w:hAnsi="Avenir Book"/>
          <w:color w:val="333333"/>
          <w:shd w:val="clear" w:color="auto" w:fill="FBFBFB"/>
        </w:rPr>
        <w:t>Welsh Government (2017) </w:t>
      </w:r>
      <w:r w:rsidRPr="00DE1882">
        <w:rPr>
          <w:rFonts w:ascii="Avenir Book" w:hAnsi="Avenir Book"/>
          <w:i/>
          <w:iCs/>
          <w:color w:val="333333"/>
        </w:rPr>
        <w:t>Welsh in Education: Action Plan 2017-21</w:t>
      </w:r>
      <w:r w:rsidRPr="00DE1882">
        <w:rPr>
          <w:rFonts w:ascii="Avenir Book" w:hAnsi="Avenir Book"/>
          <w:color w:val="333333"/>
          <w:shd w:val="clear" w:color="auto" w:fill="FBFBFB"/>
        </w:rPr>
        <w:t>. Cardiff: Education Wales Available at: https://www.gov.wales/sites/default/files/publications/2018-02/welsh-in-education-action-plan-2017–21.pdf (Accessed: 03.02.2023).</w:t>
      </w:r>
    </w:p>
    <w:p w14:paraId="371D93F3" w14:textId="77777777" w:rsidR="0005135A" w:rsidRPr="00DE1882" w:rsidRDefault="0005135A" w:rsidP="00A2122B">
      <w:pPr>
        <w:spacing w:before="240" w:line="360" w:lineRule="auto"/>
        <w:jc w:val="both"/>
        <w:rPr>
          <w:rFonts w:ascii="Avenir Book" w:hAnsi="Avenir Book"/>
          <w:color w:val="333333"/>
          <w:shd w:val="clear" w:color="auto" w:fill="FBFBFB"/>
        </w:rPr>
      </w:pPr>
      <w:r w:rsidRPr="00DE1882">
        <w:rPr>
          <w:rFonts w:ascii="Avenir Book" w:hAnsi="Avenir Book"/>
          <w:color w:val="333333"/>
          <w:shd w:val="clear" w:color="auto" w:fill="FBFBFB"/>
        </w:rPr>
        <w:t>Young, M. (2008) </w:t>
      </w:r>
      <w:r w:rsidRPr="00DE1882">
        <w:rPr>
          <w:rFonts w:ascii="Avenir Book" w:hAnsi="Avenir Book"/>
          <w:i/>
          <w:iCs/>
          <w:color w:val="333333"/>
        </w:rPr>
        <w:t>Global Citizenship: The handbook for Primary Teaching</w:t>
      </w:r>
      <w:r w:rsidRPr="00DE1882">
        <w:rPr>
          <w:rFonts w:ascii="Avenir Book" w:hAnsi="Avenir Book"/>
          <w:color w:val="333333"/>
          <w:shd w:val="clear" w:color="auto" w:fill="FBFBFB"/>
        </w:rPr>
        <w:t>. Oxford: Oxfam.</w:t>
      </w:r>
    </w:p>
    <w:p w14:paraId="04C1ACEB" w14:textId="77777777" w:rsidR="0005135A" w:rsidRPr="00D420A3" w:rsidRDefault="0005135A" w:rsidP="00A2122B">
      <w:pPr>
        <w:spacing w:before="240" w:line="360" w:lineRule="auto"/>
        <w:jc w:val="both"/>
        <w:rPr>
          <w:rFonts w:ascii="Avenir Book" w:hAnsi="Avenir Book"/>
          <w:color w:val="333333"/>
          <w:shd w:val="clear" w:color="auto" w:fill="FBFBFB"/>
        </w:rPr>
      </w:pPr>
    </w:p>
    <w:p w14:paraId="1188AA89" w14:textId="77777777" w:rsidR="001F1282" w:rsidRDefault="001F1282" w:rsidP="00C05192"/>
    <w:sectPr w:rsidR="001F12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venir Book">
    <w:panose1 w:val="02000503020000020003"/>
    <w:charset w:val="00"/>
    <w:family w:val="auto"/>
    <w:pitch w:val="variable"/>
    <w:sig w:usb0="800000AF" w:usb1="5000204A" w:usb2="00000000" w:usb3="00000000" w:csb0="0000009B" w:csb1="00000000"/>
  </w:font>
  <w:font w:name="avenir-regular-class">
    <w:altName w:val="Avenir"/>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367CE"/>
    <w:multiLevelType w:val="hybridMultilevel"/>
    <w:tmpl w:val="19F2AE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366BC4"/>
    <w:multiLevelType w:val="hybridMultilevel"/>
    <w:tmpl w:val="26B8CC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5E1F95"/>
    <w:multiLevelType w:val="hybridMultilevel"/>
    <w:tmpl w:val="AB66F488"/>
    <w:lvl w:ilvl="0" w:tplc="A0B83444">
      <w:start w:val="1"/>
      <w:numFmt w:val="bullet"/>
      <w:lvlText w:val="•"/>
      <w:lvlJc w:val="left"/>
      <w:pPr>
        <w:tabs>
          <w:tab w:val="num" w:pos="720"/>
        </w:tabs>
        <w:ind w:left="720" w:hanging="360"/>
      </w:pPr>
      <w:rPr>
        <w:rFonts w:ascii="Arial" w:hAnsi="Arial" w:hint="default"/>
      </w:rPr>
    </w:lvl>
    <w:lvl w:ilvl="1" w:tplc="7302B446" w:tentative="1">
      <w:start w:val="1"/>
      <w:numFmt w:val="bullet"/>
      <w:lvlText w:val="•"/>
      <w:lvlJc w:val="left"/>
      <w:pPr>
        <w:tabs>
          <w:tab w:val="num" w:pos="1440"/>
        </w:tabs>
        <w:ind w:left="1440" w:hanging="360"/>
      </w:pPr>
      <w:rPr>
        <w:rFonts w:ascii="Arial" w:hAnsi="Arial" w:hint="default"/>
      </w:rPr>
    </w:lvl>
    <w:lvl w:ilvl="2" w:tplc="5A60A4F4" w:tentative="1">
      <w:start w:val="1"/>
      <w:numFmt w:val="bullet"/>
      <w:lvlText w:val="•"/>
      <w:lvlJc w:val="left"/>
      <w:pPr>
        <w:tabs>
          <w:tab w:val="num" w:pos="2160"/>
        </w:tabs>
        <w:ind w:left="2160" w:hanging="360"/>
      </w:pPr>
      <w:rPr>
        <w:rFonts w:ascii="Arial" w:hAnsi="Arial" w:hint="default"/>
      </w:rPr>
    </w:lvl>
    <w:lvl w:ilvl="3" w:tplc="C2223B72" w:tentative="1">
      <w:start w:val="1"/>
      <w:numFmt w:val="bullet"/>
      <w:lvlText w:val="•"/>
      <w:lvlJc w:val="left"/>
      <w:pPr>
        <w:tabs>
          <w:tab w:val="num" w:pos="2880"/>
        </w:tabs>
        <w:ind w:left="2880" w:hanging="360"/>
      </w:pPr>
      <w:rPr>
        <w:rFonts w:ascii="Arial" w:hAnsi="Arial" w:hint="default"/>
      </w:rPr>
    </w:lvl>
    <w:lvl w:ilvl="4" w:tplc="D3C00BF6" w:tentative="1">
      <w:start w:val="1"/>
      <w:numFmt w:val="bullet"/>
      <w:lvlText w:val="•"/>
      <w:lvlJc w:val="left"/>
      <w:pPr>
        <w:tabs>
          <w:tab w:val="num" w:pos="3600"/>
        </w:tabs>
        <w:ind w:left="3600" w:hanging="360"/>
      </w:pPr>
      <w:rPr>
        <w:rFonts w:ascii="Arial" w:hAnsi="Arial" w:hint="default"/>
      </w:rPr>
    </w:lvl>
    <w:lvl w:ilvl="5" w:tplc="1EA05378" w:tentative="1">
      <w:start w:val="1"/>
      <w:numFmt w:val="bullet"/>
      <w:lvlText w:val="•"/>
      <w:lvlJc w:val="left"/>
      <w:pPr>
        <w:tabs>
          <w:tab w:val="num" w:pos="4320"/>
        </w:tabs>
        <w:ind w:left="4320" w:hanging="360"/>
      </w:pPr>
      <w:rPr>
        <w:rFonts w:ascii="Arial" w:hAnsi="Arial" w:hint="default"/>
      </w:rPr>
    </w:lvl>
    <w:lvl w:ilvl="6" w:tplc="B5A04CE6" w:tentative="1">
      <w:start w:val="1"/>
      <w:numFmt w:val="bullet"/>
      <w:lvlText w:val="•"/>
      <w:lvlJc w:val="left"/>
      <w:pPr>
        <w:tabs>
          <w:tab w:val="num" w:pos="5040"/>
        </w:tabs>
        <w:ind w:left="5040" w:hanging="360"/>
      </w:pPr>
      <w:rPr>
        <w:rFonts w:ascii="Arial" w:hAnsi="Arial" w:hint="default"/>
      </w:rPr>
    </w:lvl>
    <w:lvl w:ilvl="7" w:tplc="A6940D6C" w:tentative="1">
      <w:start w:val="1"/>
      <w:numFmt w:val="bullet"/>
      <w:lvlText w:val="•"/>
      <w:lvlJc w:val="left"/>
      <w:pPr>
        <w:tabs>
          <w:tab w:val="num" w:pos="5760"/>
        </w:tabs>
        <w:ind w:left="5760" w:hanging="360"/>
      </w:pPr>
      <w:rPr>
        <w:rFonts w:ascii="Arial" w:hAnsi="Arial" w:hint="default"/>
      </w:rPr>
    </w:lvl>
    <w:lvl w:ilvl="8" w:tplc="5344C60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A7044D6"/>
    <w:multiLevelType w:val="hybridMultilevel"/>
    <w:tmpl w:val="33C20A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B211119"/>
    <w:multiLevelType w:val="hybridMultilevel"/>
    <w:tmpl w:val="361AFC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F4913E1"/>
    <w:multiLevelType w:val="hybridMultilevel"/>
    <w:tmpl w:val="AABA12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B3D304F"/>
    <w:multiLevelType w:val="hybridMultilevel"/>
    <w:tmpl w:val="5CE8C2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38512025">
    <w:abstractNumId w:val="1"/>
  </w:num>
  <w:num w:numId="2" w16cid:durableId="854535668">
    <w:abstractNumId w:val="2"/>
  </w:num>
  <w:num w:numId="3" w16cid:durableId="1638340893">
    <w:abstractNumId w:val="3"/>
  </w:num>
  <w:num w:numId="4" w16cid:durableId="1848406061">
    <w:abstractNumId w:val="4"/>
  </w:num>
  <w:num w:numId="5" w16cid:durableId="1313414051">
    <w:abstractNumId w:val="0"/>
  </w:num>
  <w:num w:numId="6" w16cid:durableId="991641812">
    <w:abstractNumId w:val="5"/>
  </w:num>
  <w:num w:numId="7" w16cid:durableId="38522388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B36"/>
    <w:rsid w:val="0000387E"/>
    <w:rsid w:val="00005225"/>
    <w:rsid w:val="000138CA"/>
    <w:rsid w:val="0001636F"/>
    <w:rsid w:val="00017F2A"/>
    <w:rsid w:val="00026F26"/>
    <w:rsid w:val="0005135A"/>
    <w:rsid w:val="00087013"/>
    <w:rsid w:val="00092FA2"/>
    <w:rsid w:val="00094561"/>
    <w:rsid w:val="000972D2"/>
    <w:rsid w:val="00097DA5"/>
    <w:rsid w:val="000B48B5"/>
    <w:rsid w:val="000C4126"/>
    <w:rsid w:val="000E65E3"/>
    <w:rsid w:val="00125F8B"/>
    <w:rsid w:val="001320B9"/>
    <w:rsid w:val="00151D88"/>
    <w:rsid w:val="00155B5C"/>
    <w:rsid w:val="001A5A42"/>
    <w:rsid w:val="001C2C8B"/>
    <w:rsid w:val="001E6ABA"/>
    <w:rsid w:val="001E78EA"/>
    <w:rsid w:val="001F1282"/>
    <w:rsid w:val="002034CC"/>
    <w:rsid w:val="0021331F"/>
    <w:rsid w:val="00232315"/>
    <w:rsid w:val="00245E63"/>
    <w:rsid w:val="002722D3"/>
    <w:rsid w:val="0027273E"/>
    <w:rsid w:val="00284279"/>
    <w:rsid w:val="002A21CA"/>
    <w:rsid w:val="002A41F5"/>
    <w:rsid w:val="002A74E8"/>
    <w:rsid w:val="002B5574"/>
    <w:rsid w:val="002B64ED"/>
    <w:rsid w:val="002C4BBE"/>
    <w:rsid w:val="002E1F98"/>
    <w:rsid w:val="00324EEB"/>
    <w:rsid w:val="0032655B"/>
    <w:rsid w:val="00333737"/>
    <w:rsid w:val="00354FEE"/>
    <w:rsid w:val="00367B98"/>
    <w:rsid w:val="0039467D"/>
    <w:rsid w:val="00394D1E"/>
    <w:rsid w:val="0039777E"/>
    <w:rsid w:val="003E12E3"/>
    <w:rsid w:val="004172EA"/>
    <w:rsid w:val="00442C14"/>
    <w:rsid w:val="0045255E"/>
    <w:rsid w:val="00472B09"/>
    <w:rsid w:val="004735F9"/>
    <w:rsid w:val="004758ED"/>
    <w:rsid w:val="004C3974"/>
    <w:rsid w:val="0052554F"/>
    <w:rsid w:val="00527100"/>
    <w:rsid w:val="00540FC3"/>
    <w:rsid w:val="0054553F"/>
    <w:rsid w:val="005465C0"/>
    <w:rsid w:val="00576318"/>
    <w:rsid w:val="005A05AA"/>
    <w:rsid w:val="005A46C1"/>
    <w:rsid w:val="005B1359"/>
    <w:rsid w:val="005C3C7D"/>
    <w:rsid w:val="005D43D5"/>
    <w:rsid w:val="005D6F6A"/>
    <w:rsid w:val="00605887"/>
    <w:rsid w:val="0061081F"/>
    <w:rsid w:val="00624977"/>
    <w:rsid w:val="00633F55"/>
    <w:rsid w:val="00642FF3"/>
    <w:rsid w:val="0065346C"/>
    <w:rsid w:val="006644A2"/>
    <w:rsid w:val="006663E6"/>
    <w:rsid w:val="0067560D"/>
    <w:rsid w:val="00675F16"/>
    <w:rsid w:val="00690E34"/>
    <w:rsid w:val="006E2681"/>
    <w:rsid w:val="006E32FE"/>
    <w:rsid w:val="006F121C"/>
    <w:rsid w:val="00700A6D"/>
    <w:rsid w:val="00714AAA"/>
    <w:rsid w:val="007457E3"/>
    <w:rsid w:val="007472F9"/>
    <w:rsid w:val="007B361A"/>
    <w:rsid w:val="007C2CFD"/>
    <w:rsid w:val="007C71B8"/>
    <w:rsid w:val="007E44E6"/>
    <w:rsid w:val="007E4636"/>
    <w:rsid w:val="008275F7"/>
    <w:rsid w:val="008415FE"/>
    <w:rsid w:val="00844347"/>
    <w:rsid w:val="00851D24"/>
    <w:rsid w:val="00857B7E"/>
    <w:rsid w:val="0089040F"/>
    <w:rsid w:val="008E1491"/>
    <w:rsid w:val="008F2A52"/>
    <w:rsid w:val="008F4AF6"/>
    <w:rsid w:val="009206CA"/>
    <w:rsid w:val="00933D33"/>
    <w:rsid w:val="009517C5"/>
    <w:rsid w:val="009529A6"/>
    <w:rsid w:val="00991981"/>
    <w:rsid w:val="009969DB"/>
    <w:rsid w:val="009A1634"/>
    <w:rsid w:val="009A558D"/>
    <w:rsid w:val="009A7BA0"/>
    <w:rsid w:val="009B2A01"/>
    <w:rsid w:val="009E6729"/>
    <w:rsid w:val="009F4233"/>
    <w:rsid w:val="00A02342"/>
    <w:rsid w:val="00A2122B"/>
    <w:rsid w:val="00A35A91"/>
    <w:rsid w:val="00A4620C"/>
    <w:rsid w:val="00A52C21"/>
    <w:rsid w:val="00A624A5"/>
    <w:rsid w:val="00A84C30"/>
    <w:rsid w:val="00A97250"/>
    <w:rsid w:val="00AE3B7D"/>
    <w:rsid w:val="00B11867"/>
    <w:rsid w:val="00B23BD1"/>
    <w:rsid w:val="00B305B0"/>
    <w:rsid w:val="00B52B23"/>
    <w:rsid w:val="00B76F57"/>
    <w:rsid w:val="00B970E9"/>
    <w:rsid w:val="00BB5E19"/>
    <w:rsid w:val="00BC1742"/>
    <w:rsid w:val="00BC2E1B"/>
    <w:rsid w:val="00BC7632"/>
    <w:rsid w:val="00BE7B61"/>
    <w:rsid w:val="00C05192"/>
    <w:rsid w:val="00C064CD"/>
    <w:rsid w:val="00C206D2"/>
    <w:rsid w:val="00C721FA"/>
    <w:rsid w:val="00CE4021"/>
    <w:rsid w:val="00CF0622"/>
    <w:rsid w:val="00CF57F4"/>
    <w:rsid w:val="00D232E0"/>
    <w:rsid w:val="00D23B8F"/>
    <w:rsid w:val="00D30B23"/>
    <w:rsid w:val="00D420A3"/>
    <w:rsid w:val="00D51D3D"/>
    <w:rsid w:val="00D61754"/>
    <w:rsid w:val="00D82C98"/>
    <w:rsid w:val="00D87A98"/>
    <w:rsid w:val="00DA7055"/>
    <w:rsid w:val="00DB1B36"/>
    <w:rsid w:val="00DB470A"/>
    <w:rsid w:val="00DC358F"/>
    <w:rsid w:val="00DD43A9"/>
    <w:rsid w:val="00DF119E"/>
    <w:rsid w:val="00E62E28"/>
    <w:rsid w:val="00E75AD7"/>
    <w:rsid w:val="00EB4609"/>
    <w:rsid w:val="00EB6C67"/>
    <w:rsid w:val="00ED0900"/>
    <w:rsid w:val="00F016DD"/>
    <w:rsid w:val="00F0294B"/>
    <w:rsid w:val="00F0673D"/>
    <w:rsid w:val="00F315A1"/>
    <w:rsid w:val="00F31FB9"/>
    <w:rsid w:val="00F329C4"/>
    <w:rsid w:val="00F512F0"/>
    <w:rsid w:val="00F54EB0"/>
    <w:rsid w:val="00F63B5C"/>
    <w:rsid w:val="00F66BF2"/>
    <w:rsid w:val="00F90D76"/>
    <w:rsid w:val="00F91EB0"/>
    <w:rsid w:val="00FA7D58"/>
    <w:rsid w:val="00FB163B"/>
    <w:rsid w:val="00FE09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BFE20EA"/>
  <w15:chartTrackingRefBased/>
  <w15:docId w15:val="{8BCEFCA2-5768-654B-BF85-B58736E79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71B8"/>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7273E"/>
  </w:style>
  <w:style w:type="paragraph" w:styleId="NormalWeb">
    <w:name w:val="Normal (Web)"/>
    <w:basedOn w:val="Normal"/>
    <w:uiPriority w:val="99"/>
    <w:unhideWhenUsed/>
    <w:rsid w:val="0054553F"/>
    <w:pPr>
      <w:spacing w:before="100" w:beforeAutospacing="1" w:after="100" w:afterAutospacing="1"/>
    </w:pPr>
  </w:style>
  <w:style w:type="paragraph" w:styleId="ListParagraph">
    <w:name w:val="List Paragraph"/>
    <w:basedOn w:val="Normal"/>
    <w:uiPriority w:val="34"/>
    <w:qFormat/>
    <w:rsid w:val="00FE0980"/>
    <w:pPr>
      <w:ind w:left="720"/>
      <w:contextualSpacing/>
    </w:pPr>
  </w:style>
  <w:style w:type="character" w:styleId="CommentReference">
    <w:name w:val="annotation reference"/>
    <w:basedOn w:val="DefaultParagraphFont"/>
    <w:uiPriority w:val="99"/>
    <w:semiHidden/>
    <w:unhideWhenUsed/>
    <w:rsid w:val="007C2CFD"/>
    <w:rPr>
      <w:sz w:val="16"/>
      <w:szCs w:val="16"/>
    </w:rPr>
  </w:style>
  <w:style w:type="paragraph" w:styleId="CommentText">
    <w:name w:val="annotation text"/>
    <w:basedOn w:val="Normal"/>
    <w:link w:val="CommentTextChar"/>
    <w:uiPriority w:val="99"/>
    <w:semiHidden/>
    <w:unhideWhenUsed/>
    <w:rsid w:val="007C2CFD"/>
    <w:rPr>
      <w:sz w:val="20"/>
      <w:szCs w:val="20"/>
    </w:rPr>
  </w:style>
  <w:style w:type="character" w:customStyle="1" w:styleId="CommentTextChar">
    <w:name w:val="Comment Text Char"/>
    <w:basedOn w:val="DefaultParagraphFont"/>
    <w:link w:val="CommentText"/>
    <w:uiPriority w:val="99"/>
    <w:semiHidden/>
    <w:rsid w:val="007C2CFD"/>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7C2CFD"/>
    <w:rPr>
      <w:b/>
      <w:bCs/>
    </w:rPr>
  </w:style>
  <w:style w:type="character" w:customStyle="1" w:styleId="CommentSubjectChar">
    <w:name w:val="Comment Subject Char"/>
    <w:basedOn w:val="CommentTextChar"/>
    <w:link w:val="CommentSubject"/>
    <w:uiPriority w:val="99"/>
    <w:semiHidden/>
    <w:rsid w:val="007C2CFD"/>
    <w:rPr>
      <w:rFonts w:ascii="Times New Roman" w:eastAsia="Times New Roman" w:hAnsi="Times New Roman" w:cs="Times New Roman"/>
      <w:b/>
      <w:bCs/>
      <w:sz w:val="20"/>
      <w:szCs w:val="20"/>
      <w:lang w:eastAsia="en-GB"/>
    </w:rPr>
  </w:style>
  <w:style w:type="character" w:styleId="Hyperlink">
    <w:name w:val="Hyperlink"/>
    <w:basedOn w:val="DefaultParagraphFont"/>
    <w:uiPriority w:val="99"/>
    <w:unhideWhenUsed/>
    <w:rsid w:val="00CF0622"/>
    <w:rPr>
      <w:color w:val="0563C1" w:themeColor="hyperlink"/>
      <w:u w:val="single"/>
    </w:rPr>
  </w:style>
  <w:style w:type="character" w:styleId="UnresolvedMention">
    <w:name w:val="Unresolved Mention"/>
    <w:basedOn w:val="DefaultParagraphFont"/>
    <w:uiPriority w:val="99"/>
    <w:semiHidden/>
    <w:unhideWhenUsed/>
    <w:rsid w:val="00CF06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828385">
      <w:bodyDiv w:val="1"/>
      <w:marLeft w:val="0"/>
      <w:marRight w:val="0"/>
      <w:marTop w:val="0"/>
      <w:marBottom w:val="0"/>
      <w:divBdr>
        <w:top w:val="none" w:sz="0" w:space="0" w:color="auto"/>
        <w:left w:val="none" w:sz="0" w:space="0" w:color="auto"/>
        <w:bottom w:val="none" w:sz="0" w:space="0" w:color="auto"/>
        <w:right w:val="none" w:sz="0" w:space="0" w:color="auto"/>
      </w:divBdr>
    </w:div>
    <w:div w:id="86194660">
      <w:bodyDiv w:val="1"/>
      <w:marLeft w:val="0"/>
      <w:marRight w:val="0"/>
      <w:marTop w:val="0"/>
      <w:marBottom w:val="0"/>
      <w:divBdr>
        <w:top w:val="none" w:sz="0" w:space="0" w:color="auto"/>
        <w:left w:val="none" w:sz="0" w:space="0" w:color="auto"/>
        <w:bottom w:val="none" w:sz="0" w:space="0" w:color="auto"/>
        <w:right w:val="none" w:sz="0" w:space="0" w:color="auto"/>
      </w:divBdr>
      <w:divsChild>
        <w:div w:id="1014309941">
          <w:marLeft w:val="0"/>
          <w:marRight w:val="0"/>
          <w:marTop w:val="0"/>
          <w:marBottom w:val="0"/>
          <w:divBdr>
            <w:top w:val="none" w:sz="0" w:space="0" w:color="auto"/>
            <w:left w:val="none" w:sz="0" w:space="0" w:color="auto"/>
            <w:bottom w:val="none" w:sz="0" w:space="0" w:color="auto"/>
            <w:right w:val="none" w:sz="0" w:space="0" w:color="auto"/>
          </w:divBdr>
          <w:divsChild>
            <w:div w:id="874806372">
              <w:marLeft w:val="0"/>
              <w:marRight w:val="0"/>
              <w:marTop w:val="0"/>
              <w:marBottom w:val="0"/>
              <w:divBdr>
                <w:top w:val="none" w:sz="0" w:space="0" w:color="auto"/>
                <w:left w:val="none" w:sz="0" w:space="0" w:color="auto"/>
                <w:bottom w:val="none" w:sz="0" w:space="0" w:color="auto"/>
                <w:right w:val="none" w:sz="0" w:space="0" w:color="auto"/>
              </w:divBdr>
              <w:divsChild>
                <w:div w:id="158210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35786">
      <w:bodyDiv w:val="1"/>
      <w:marLeft w:val="0"/>
      <w:marRight w:val="0"/>
      <w:marTop w:val="0"/>
      <w:marBottom w:val="0"/>
      <w:divBdr>
        <w:top w:val="none" w:sz="0" w:space="0" w:color="auto"/>
        <w:left w:val="none" w:sz="0" w:space="0" w:color="auto"/>
        <w:bottom w:val="none" w:sz="0" w:space="0" w:color="auto"/>
        <w:right w:val="none" w:sz="0" w:space="0" w:color="auto"/>
      </w:divBdr>
    </w:div>
    <w:div w:id="212428422">
      <w:bodyDiv w:val="1"/>
      <w:marLeft w:val="0"/>
      <w:marRight w:val="0"/>
      <w:marTop w:val="0"/>
      <w:marBottom w:val="0"/>
      <w:divBdr>
        <w:top w:val="none" w:sz="0" w:space="0" w:color="auto"/>
        <w:left w:val="none" w:sz="0" w:space="0" w:color="auto"/>
        <w:bottom w:val="none" w:sz="0" w:space="0" w:color="auto"/>
        <w:right w:val="none" w:sz="0" w:space="0" w:color="auto"/>
      </w:divBdr>
    </w:div>
    <w:div w:id="367532273">
      <w:bodyDiv w:val="1"/>
      <w:marLeft w:val="0"/>
      <w:marRight w:val="0"/>
      <w:marTop w:val="0"/>
      <w:marBottom w:val="0"/>
      <w:divBdr>
        <w:top w:val="none" w:sz="0" w:space="0" w:color="auto"/>
        <w:left w:val="none" w:sz="0" w:space="0" w:color="auto"/>
        <w:bottom w:val="none" w:sz="0" w:space="0" w:color="auto"/>
        <w:right w:val="none" w:sz="0" w:space="0" w:color="auto"/>
      </w:divBdr>
    </w:div>
    <w:div w:id="382561432">
      <w:bodyDiv w:val="1"/>
      <w:marLeft w:val="0"/>
      <w:marRight w:val="0"/>
      <w:marTop w:val="0"/>
      <w:marBottom w:val="0"/>
      <w:divBdr>
        <w:top w:val="none" w:sz="0" w:space="0" w:color="auto"/>
        <w:left w:val="none" w:sz="0" w:space="0" w:color="auto"/>
        <w:bottom w:val="none" w:sz="0" w:space="0" w:color="auto"/>
        <w:right w:val="none" w:sz="0" w:space="0" w:color="auto"/>
      </w:divBdr>
    </w:div>
    <w:div w:id="409280207">
      <w:bodyDiv w:val="1"/>
      <w:marLeft w:val="0"/>
      <w:marRight w:val="0"/>
      <w:marTop w:val="0"/>
      <w:marBottom w:val="0"/>
      <w:divBdr>
        <w:top w:val="none" w:sz="0" w:space="0" w:color="auto"/>
        <w:left w:val="none" w:sz="0" w:space="0" w:color="auto"/>
        <w:bottom w:val="none" w:sz="0" w:space="0" w:color="auto"/>
        <w:right w:val="none" w:sz="0" w:space="0" w:color="auto"/>
      </w:divBdr>
    </w:div>
    <w:div w:id="484052726">
      <w:bodyDiv w:val="1"/>
      <w:marLeft w:val="0"/>
      <w:marRight w:val="0"/>
      <w:marTop w:val="0"/>
      <w:marBottom w:val="0"/>
      <w:divBdr>
        <w:top w:val="none" w:sz="0" w:space="0" w:color="auto"/>
        <w:left w:val="none" w:sz="0" w:space="0" w:color="auto"/>
        <w:bottom w:val="none" w:sz="0" w:space="0" w:color="auto"/>
        <w:right w:val="none" w:sz="0" w:space="0" w:color="auto"/>
      </w:divBdr>
    </w:div>
    <w:div w:id="506555629">
      <w:bodyDiv w:val="1"/>
      <w:marLeft w:val="0"/>
      <w:marRight w:val="0"/>
      <w:marTop w:val="0"/>
      <w:marBottom w:val="0"/>
      <w:divBdr>
        <w:top w:val="none" w:sz="0" w:space="0" w:color="auto"/>
        <w:left w:val="none" w:sz="0" w:space="0" w:color="auto"/>
        <w:bottom w:val="none" w:sz="0" w:space="0" w:color="auto"/>
        <w:right w:val="none" w:sz="0" w:space="0" w:color="auto"/>
      </w:divBdr>
      <w:divsChild>
        <w:div w:id="308944739">
          <w:marLeft w:val="0"/>
          <w:marRight w:val="0"/>
          <w:marTop w:val="0"/>
          <w:marBottom w:val="0"/>
          <w:divBdr>
            <w:top w:val="none" w:sz="0" w:space="0" w:color="auto"/>
            <w:left w:val="none" w:sz="0" w:space="0" w:color="auto"/>
            <w:bottom w:val="none" w:sz="0" w:space="0" w:color="auto"/>
            <w:right w:val="none" w:sz="0" w:space="0" w:color="auto"/>
          </w:divBdr>
          <w:divsChild>
            <w:div w:id="1712264004">
              <w:marLeft w:val="0"/>
              <w:marRight w:val="0"/>
              <w:marTop w:val="0"/>
              <w:marBottom w:val="0"/>
              <w:divBdr>
                <w:top w:val="none" w:sz="0" w:space="0" w:color="auto"/>
                <w:left w:val="none" w:sz="0" w:space="0" w:color="auto"/>
                <w:bottom w:val="none" w:sz="0" w:space="0" w:color="auto"/>
                <w:right w:val="none" w:sz="0" w:space="0" w:color="auto"/>
              </w:divBdr>
              <w:divsChild>
                <w:div w:id="1161240657">
                  <w:marLeft w:val="0"/>
                  <w:marRight w:val="0"/>
                  <w:marTop w:val="0"/>
                  <w:marBottom w:val="0"/>
                  <w:divBdr>
                    <w:top w:val="none" w:sz="0" w:space="0" w:color="auto"/>
                    <w:left w:val="none" w:sz="0" w:space="0" w:color="auto"/>
                    <w:bottom w:val="none" w:sz="0" w:space="0" w:color="auto"/>
                    <w:right w:val="none" w:sz="0" w:space="0" w:color="auto"/>
                  </w:divBdr>
                  <w:divsChild>
                    <w:div w:id="1611817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361292">
      <w:bodyDiv w:val="1"/>
      <w:marLeft w:val="0"/>
      <w:marRight w:val="0"/>
      <w:marTop w:val="0"/>
      <w:marBottom w:val="0"/>
      <w:divBdr>
        <w:top w:val="none" w:sz="0" w:space="0" w:color="auto"/>
        <w:left w:val="none" w:sz="0" w:space="0" w:color="auto"/>
        <w:bottom w:val="none" w:sz="0" w:space="0" w:color="auto"/>
        <w:right w:val="none" w:sz="0" w:space="0" w:color="auto"/>
      </w:divBdr>
    </w:div>
    <w:div w:id="714937377">
      <w:bodyDiv w:val="1"/>
      <w:marLeft w:val="0"/>
      <w:marRight w:val="0"/>
      <w:marTop w:val="0"/>
      <w:marBottom w:val="0"/>
      <w:divBdr>
        <w:top w:val="none" w:sz="0" w:space="0" w:color="auto"/>
        <w:left w:val="none" w:sz="0" w:space="0" w:color="auto"/>
        <w:bottom w:val="none" w:sz="0" w:space="0" w:color="auto"/>
        <w:right w:val="none" w:sz="0" w:space="0" w:color="auto"/>
      </w:divBdr>
    </w:div>
    <w:div w:id="720520066">
      <w:bodyDiv w:val="1"/>
      <w:marLeft w:val="0"/>
      <w:marRight w:val="0"/>
      <w:marTop w:val="0"/>
      <w:marBottom w:val="0"/>
      <w:divBdr>
        <w:top w:val="none" w:sz="0" w:space="0" w:color="auto"/>
        <w:left w:val="none" w:sz="0" w:space="0" w:color="auto"/>
        <w:bottom w:val="none" w:sz="0" w:space="0" w:color="auto"/>
        <w:right w:val="none" w:sz="0" w:space="0" w:color="auto"/>
      </w:divBdr>
    </w:div>
    <w:div w:id="808942815">
      <w:bodyDiv w:val="1"/>
      <w:marLeft w:val="0"/>
      <w:marRight w:val="0"/>
      <w:marTop w:val="0"/>
      <w:marBottom w:val="0"/>
      <w:divBdr>
        <w:top w:val="none" w:sz="0" w:space="0" w:color="auto"/>
        <w:left w:val="none" w:sz="0" w:space="0" w:color="auto"/>
        <w:bottom w:val="none" w:sz="0" w:space="0" w:color="auto"/>
        <w:right w:val="none" w:sz="0" w:space="0" w:color="auto"/>
      </w:divBdr>
    </w:div>
    <w:div w:id="828710114">
      <w:bodyDiv w:val="1"/>
      <w:marLeft w:val="0"/>
      <w:marRight w:val="0"/>
      <w:marTop w:val="0"/>
      <w:marBottom w:val="0"/>
      <w:divBdr>
        <w:top w:val="none" w:sz="0" w:space="0" w:color="auto"/>
        <w:left w:val="none" w:sz="0" w:space="0" w:color="auto"/>
        <w:bottom w:val="none" w:sz="0" w:space="0" w:color="auto"/>
        <w:right w:val="none" w:sz="0" w:space="0" w:color="auto"/>
      </w:divBdr>
    </w:div>
    <w:div w:id="877275239">
      <w:bodyDiv w:val="1"/>
      <w:marLeft w:val="0"/>
      <w:marRight w:val="0"/>
      <w:marTop w:val="0"/>
      <w:marBottom w:val="0"/>
      <w:divBdr>
        <w:top w:val="none" w:sz="0" w:space="0" w:color="auto"/>
        <w:left w:val="none" w:sz="0" w:space="0" w:color="auto"/>
        <w:bottom w:val="none" w:sz="0" w:space="0" w:color="auto"/>
        <w:right w:val="none" w:sz="0" w:space="0" w:color="auto"/>
      </w:divBdr>
    </w:div>
    <w:div w:id="896278320">
      <w:bodyDiv w:val="1"/>
      <w:marLeft w:val="0"/>
      <w:marRight w:val="0"/>
      <w:marTop w:val="0"/>
      <w:marBottom w:val="0"/>
      <w:divBdr>
        <w:top w:val="none" w:sz="0" w:space="0" w:color="auto"/>
        <w:left w:val="none" w:sz="0" w:space="0" w:color="auto"/>
        <w:bottom w:val="none" w:sz="0" w:space="0" w:color="auto"/>
        <w:right w:val="none" w:sz="0" w:space="0" w:color="auto"/>
      </w:divBdr>
      <w:divsChild>
        <w:div w:id="513155261">
          <w:marLeft w:val="0"/>
          <w:marRight w:val="0"/>
          <w:marTop w:val="0"/>
          <w:marBottom w:val="0"/>
          <w:divBdr>
            <w:top w:val="none" w:sz="0" w:space="0" w:color="auto"/>
            <w:left w:val="none" w:sz="0" w:space="0" w:color="auto"/>
            <w:bottom w:val="none" w:sz="0" w:space="0" w:color="auto"/>
            <w:right w:val="none" w:sz="0" w:space="0" w:color="auto"/>
          </w:divBdr>
        </w:div>
        <w:div w:id="2090732606">
          <w:marLeft w:val="0"/>
          <w:marRight w:val="0"/>
          <w:marTop w:val="0"/>
          <w:marBottom w:val="0"/>
          <w:divBdr>
            <w:top w:val="none" w:sz="0" w:space="0" w:color="auto"/>
            <w:left w:val="none" w:sz="0" w:space="0" w:color="auto"/>
            <w:bottom w:val="none" w:sz="0" w:space="0" w:color="auto"/>
            <w:right w:val="none" w:sz="0" w:space="0" w:color="auto"/>
          </w:divBdr>
        </w:div>
      </w:divsChild>
    </w:div>
    <w:div w:id="911551341">
      <w:bodyDiv w:val="1"/>
      <w:marLeft w:val="0"/>
      <w:marRight w:val="0"/>
      <w:marTop w:val="0"/>
      <w:marBottom w:val="0"/>
      <w:divBdr>
        <w:top w:val="none" w:sz="0" w:space="0" w:color="auto"/>
        <w:left w:val="none" w:sz="0" w:space="0" w:color="auto"/>
        <w:bottom w:val="none" w:sz="0" w:space="0" w:color="auto"/>
        <w:right w:val="none" w:sz="0" w:space="0" w:color="auto"/>
      </w:divBdr>
    </w:div>
    <w:div w:id="928585165">
      <w:bodyDiv w:val="1"/>
      <w:marLeft w:val="0"/>
      <w:marRight w:val="0"/>
      <w:marTop w:val="0"/>
      <w:marBottom w:val="0"/>
      <w:divBdr>
        <w:top w:val="none" w:sz="0" w:space="0" w:color="auto"/>
        <w:left w:val="none" w:sz="0" w:space="0" w:color="auto"/>
        <w:bottom w:val="none" w:sz="0" w:space="0" w:color="auto"/>
        <w:right w:val="none" w:sz="0" w:space="0" w:color="auto"/>
      </w:divBdr>
      <w:divsChild>
        <w:div w:id="1266763952">
          <w:marLeft w:val="0"/>
          <w:marRight w:val="0"/>
          <w:marTop w:val="0"/>
          <w:marBottom w:val="0"/>
          <w:divBdr>
            <w:top w:val="none" w:sz="0" w:space="0" w:color="auto"/>
            <w:left w:val="none" w:sz="0" w:space="0" w:color="auto"/>
            <w:bottom w:val="none" w:sz="0" w:space="0" w:color="auto"/>
            <w:right w:val="none" w:sz="0" w:space="0" w:color="auto"/>
          </w:divBdr>
          <w:divsChild>
            <w:div w:id="684749967">
              <w:marLeft w:val="0"/>
              <w:marRight w:val="0"/>
              <w:marTop w:val="0"/>
              <w:marBottom w:val="0"/>
              <w:divBdr>
                <w:top w:val="none" w:sz="0" w:space="0" w:color="auto"/>
                <w:left w:val="none" w:sz="0" w:space="0" w:color="auto"/>
                <w:bottom w:val="none" w:sz="0" w:space="0" w:color="auto"/>
                <w:right w:val="none" w:sz="0" w:space="0" w:color="auto"/>
              </w:divBdr>
              <w:divsChild>
                <w:div w:id="189489360">
                  <w:marLeft w:val="0"/>
                  <w:marRight w:val="0"/>
                  <w:marTop w:val="0"/>
                  <w:marBottom w:val="0"/>
                  <w:divBdr>
                    <w:top w:val="none" w:sz="0" w:space="0" w:color="auto"/>
                    <w:left w:val="none" w:sz="0" w:space="0" w:color="auto"/>
                    <w:bottom w:val="none" w:sz="0" w:space="0" w:color="auto"/>
                    <w:right w:val="none" w:sz="0" w:space="0" w:color="auto"/>
                  </w:divBdr>
                  <w:divsChild>
                    <w:div w:id="1091663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9138785">
      <w:bodyDiv w:val="1"/>
      <w:marLeft w:val="0"/>
      <w:marRight w:val="0"/>
      <w:marTop w:val="0"/>
      <w:marBottom w:val="0"/>
      <w:divBdr>
        <w:top w:val="none" w:sz="0" w:space="0" w:color="auto"/>
        <w:left w:val="none" w:sz="0" w:space="0" w:color="auto"/>
        <w:bottom w:val="none" w:sz="0" w:space="0" w:color="auto"/>
        <w:right w:val="none" w:sz="0" w:space="0" w:color="auto"/>
      </w:divBdr>
      <w:divsChild>
        <w:div w:id="2004162560">
          <w:marLeft w:val="0"/>
          <w:marRight w:val="0"/>
          <w:marTop w:val="0"/>
          <w:marBottom w:val="0"/>
          <w:divBdr>
            <w:top w:val="none" w:sz="0" w:space="0" w:color="auto"/>
            <w:left w:val="none" w:sz="0" w:space="0" w:color="auto"/>
            <w:bottom w:val="none" w:sz="0" w:space="0" w:color="auto"/>
            <w:right w:val="none" w:sz="0" w:space="0" w:color="auto"/>
          </w:divBdr>
          <w:divsChild>
            <w:div w:id="1829902144">
              <w:marLeft w:val="0"/>
              <w:marRight w:val="0"/>
              <w:marTop w:val="0"/>
              <w:marBottom w:val="0"/>
              <w:divBdr>
                <w:top w:val="none" w:sz="0" w:space="0" w:color="auto"/>
                <w:left w:val="none" w:sz="0" w:space="0" w:color="auto"/>
                <w:bottom w:val="none" w:sz="0" w:space="0" w:color="auto"/>
                <w:right w:val="none" w:sz="0" w:space="0" w:color="auto"/>
              </w:divBdr>
              <w:divsChild>
                <w:div w:id="1349212399">
                  <w:marLeft w:val="0"/>
                  <w:marRight w:val="0"/>
                  <w:marTop w:val="0"/>
                  <w:marBottom w:val="0"/>
                  <w:divBdr>
                    <w:top w:val="none" w:sz="0" w:space="0" w:color="auto"/>
                    <w:left w:val="none" w:sz="0" w:space="0" w:color="auto"/>
                    <w:bottom w:val="none" w:sz="0" w:space="0" w:color="auto"/>
                    <w:right w:val="none" w:sz="0" w:space="0" w:color="auto"/>
                  </w:divBdr>
                  <w:divsChild>
                    <w:div w:id="1159350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0283788">
      <w:bodyDiv w:val="1"/>
      <w:marLeft w:val="0"/>
      <w:marRight w:val="0"/>
      <w:marTop w:val="0"/>
      <w:marBottom w:val="0"/>
      <w:divBdr>
        <w:top w:val="none" w:sz="0" w:space="0" w:color="auto"/>
        <w:left w:val="none" w:sz="0" w:space="0" w:color="auto"/>
        <w:bottom w:val="none" w:sz="0" w:space="0" w:color="auto"/>
        <w:right w:val="none" w:sz="0" w:space="0" w:color="auto"/>
      </w:divBdr>
    </w:div>
    <w:div w:id="957641673">
      <w:bodyDiv w:val="1"/>
      <w:marLeft w:val="0"/>
      <w:marRight w:val="0"/>
      <w:marTop w:val="0"/>
      <w:marBottom w:val="0"/>
      <w:divBdr>
        <w:top w:val="none" w:sz="0" w:space="0" w:color="auto"/>
        <w:left w:val="none" w:sz="0" w:space="0" w:color="auto"/>
        <w:bottom w:val="none" w:sz="0" w:space="0" w:color="auto"/>
        <w:right w:val="none" w:sz="0" w:space="0" w:color="auto"/>
      </w:divBdr>
    </w:div>
    <w:div w:id="964114227">
      <w:bodyDiv w:val="1"/>
      <w:marLeft w:val="0"/>
      <w:marRight w:val="0"/>
      <w:marTop w:val="0"/>
      <w:marBottom w:val="0"/>
      <w:divBdr>
        <w:top w:val="none" w:sz="0" w:space="0" w:color="auto"/>
        <w:left w:val="none" w:sz="0" w:space="0" w:color="auto"/>
        <w:bottom w:val="none" w:sz="0" w:space="0" w:color="auto"/>
        <w:right w:val="none" w:sz="0" w:space="0" w:color="auto"/>
      </w:divBdr>
    </w:div>
    <w:div w:id="1025524789">
      <w:bodyDiv w:val="1"/>
      <w:marLeft w:val="0"/>
      <w:marRight w:val="0"/>
      <w:marTop w:val="0"/>
      <w:marBottom w:val="0"/>
      <w:divBdr>
        <w:top w:val="none" w:sz="0" w:space="0" w:color="auto"/>
        <w:left w:val="none" w:sz="0" w:space="0" w:color="auto"/>
        <w:bottom w:val="none" w:sz="0" w:space="0" w:color="auto"/>
        <w:right w:val="none" w:sz="0" w:space="0" w:color="auto"/>
      </w:divBdr>
    </w:div>
    <w:div w:id="1133592914">
      <w:bodyDiv w:val="1"/>
      <w:marLeft w:val="0"/>
      <w:marRight w:val="0"/>
      <w:marTop w:val="0"/>
      <w:marBottom w:val="0"/>
      <w:divBdr>
        <w:top w:val="none" w:sz="0" w:space="0" w:color="auto"/>
        <w:left w:val="none" w:sz="0" w:space="0" w:color="auto"/>
        <w:bottom w:val="none" w:sz="0" w:space="0" w:color="auto"/>
        <w:right w:val="none" w:sz="0" w:space="0" w:color="auto"/>
      </w:divBdr>
    </w:div>
    <w:div w:id="1136145085">
      <w:bodyDiv w:val="1"/>
      <w:marLeft w:val="0"/>
      <w:marRight w:val="0"/>
      <w:marTop w:val="0"/>
      <w:marBottom w:val="0"/>
      <w:divBdr>
        <w:top w:val="none" w:sz="0" w:space="0" w:color="auto"/>
        <w:left w:val="none" w:sz="0" w:space="0" w:color="auto"/>
        <w:bottom w:val="none" w:sz="0" w:space="0" w:color="auto"/>
        <w:right w:val="none" w:sz="0" w:space="0" w:color="auto"/>
      </w:divBdr>
    </w:div>
    <w:div w:id="1230919089">
      <w:bodyDiv w:val="1"/>
      <w:marLeft w:val="0"/>
      <w:marRight w:val="0"/>
      <w:marTop w:val="0"/>
      <w:marBottom w:val="0"/>
      <w:divBdr>
        <w:top w:val="none" w:sz="0" w:space="0" w:color="auto"/>
        <w:left w:val="none" w:sz="0" w:space="0" w:color="auto"/>
        <w:bottom w:val="none" w:sz="0" w:space="0" w:color="auto"/>
        <w:right w:val="none" w:sz="0" w:space="0" w:color="auto"/>
      </w:divBdr>
    </w:div>
    <w:div w:id="1352411180">
      <w:bodyDiv w:val="1"/>
      <w:marLeft w:val="0"/>
      <w:marRight w:val="0"/>
      <w:marTop w:val="0"/>
      <w:marBottom w:val="0"/>
      <w:divBdr>
        <w:top w:val="none" w:sz="0" w:space="0" w:color="auto"/>
        <w:left w:val="none" w:sz="0" w:space="0" w:color="auto"/>
        <w:bottom w:val="none" w:sz="0" w:space="0" w:color="auto"/>
        <w:right w:val="none" w:sz="0" w:space="0" w:color="auto"/>
      </w:divBdr>
    </w:div>
    <w:div w:id="1379939430">
      <w:bodyDiv w:val="1"/>
      <w:marLeft w:val="0"/>
      <w:marRight w:val="0"/>
      <w:marTop w:val="0"/>
      <w:marBottom w:val="0"/>
      <w:divBdr>
        <w:top w:val="none" w:sz="0" w:space="0" w:color="auto"/>
        <w:left w:val="none" w:sz="0" w:space="0" w:color="auto"/>
        <w:bottom w:val="none" w:sz="0" w:space="0" w:color="auto"/>
        <w:right w:val="none" w:sz="0" w:space="0" w:color="auto"/>
      </w:divBdr>
    </w:div>
    <w:div w:id="1419015632">
      <w:bodyDiv w:val="1"/>
      <w:marLeft w:val="0"/>
      <w:marRight w:val="0"/>
      <w:marTop w:val="0"/>
      <w:marBottom w:val="0"/>
      <w:divBdr>
        <w:top w:val="none" w:sz="0" w:space="0" w:color="auto"/>
        <w:left w:val="none" w:sz="0" w:space="0" w:color="auto"/>
        <w:bottom w:val="none" w:sz="0" w:space="0" w:color="auto"/>
        <w:right w:val="none" w:sz="0" w:space="0" w:color="auto"/>
      </w:divBdr>
    </w:div>
    <w:div w:id="1428889107">
      <w:bodyDiv w:val="1"/>
      <w:marLeft w:val="0"/>
      <w:marRight w:val="0"/>
      <w:marTop w:val="0"/>
      <w:marBottom w:val="0"/>
      <w:divBdr>
        <w:top w:val="none" w:sz="0" w:space="0" w:color="auto"/>
        <w:left w:val="none" w:sz="0" w:space="0" w:color="auto"/>
        <w:bottom w:val="none" w:sz="0" w:space="0" w:color="auto"/>
        <w:right w:val="none" w:sz="0" w:space="0" w:color="auto"/>
      </w:divBdr>
    </w:div>
    <w:div w:id="1523200475">
      <w:bodyDiv w:val="1"/>
      <w:marLeft w:val="0"/>
      <w:marRight w:val="0"/>
      <w:marTop w:val="0"/>
      <w:marBottom w:val="0"/>
      <w:divBdr>
        <w:top w:val="none" w:sz="0" w:space="0" w:color="auto"/>
        <w:left w:val="none" w:sz="0" w:space="0" w:color="auto"/>
        <w:bottom w:val="none" w:sz="0" w:space="0" w:color="auto"/>
        <w:right w:val="none" w:sz="0" w:space="0" w:color="auto"/>
      </w:divBdr>
    </w:div>
    <w:div w:id="1527669612">
      <w:bodyDiv w:val="1"/>
      <w:marLeft w:val="0"/>
      <w:marRight w:val="0"/>
      <w:marTop w:val="0"/>
      <w:marBottom w:val="0"/>
      <w:divBdr>
        <w:top w:val="none" w:sz="0" w:space="0" w:color="auto"/>
        <w:left w:val="none" w:sz="0" w:space="0" w:color="auto"/>
        <w:bottom w:val="none" w:sz="0" w:space="0" w:color="auto"/>
        <w:right w:val="none" w:sz="0" w:space="0" w:color="auto"/>
      </w:divBdr>
      <w:divsChild>
        <w:div w:id="2104912989">
          <w:marLeft w:val="360"/>
          <w:marRight w:val="0"/>
          <w:marTop w:val="240"/>
          <w:marBottom w:val="0"/>
          <w:divBdr>
            <w:top w:val="none" w:sz="0" w:space="0" w:color="auto"/>
            <w:left w:val="none" w:sz="0" w:space="0" w:color="auto"/>
            <w:bottom w:val="none" w:sz="0" w:space="0" w:color="auto"/>
            <w:right w:val="none" w:sz="0" w:space="0" w:color="auto"/>
          </w:divBdr>
        </w:div>
      </w:divsChild>
    </w:div>
    <w:div w:id="1596136875">
      <w:bodyDiv w:val="1"/>
      <w:marLeft w:val="0"/>
      <w:marRight w:val="0"/>
      <w:marTop w:val="0"/>
      <w:marBottom w:val="0"/>
      <w:divBdr>
        <w:top w:val="none" w:sz="0" w:space="0" w:color="auto"/>
        <w:left w:val="none" w:sz="0" w:space="0" w:color="auto"/>
        <w:bottom w:val="none" w:sz="0" w:space="0" w:color="auto"/>
        <w:right w:val="none" w:sz="0" w:space="0" w:color="auto"/>
      </w:divBdr>
    </w:div>
    <w:div w:id="1647196237">
      <w:bodyDiv w:val="1"/>
      <w:marLeft w:val="0"/>
      <w:marRight w:val="0"/>
      <w:marTop w:val="0"/>
      <w:marBottom w:val="0"/>
      <w:divBdr>
        <w:top w:val="none" w:sz="0" w:space="0" w:color="auto"/>
        <w:left w:val="none" w:sz="0" w:space="0" w:color="auto"/>
        <w:bottom w:val="none" w:sz="0" w:space="0" w:color="auto"/>
        <w:right w:val="none" w:sz="0" w:space="0" w:color="auto"/>
      </w:divBdr>
      <w:divsChild>
        <w:div w:id="1516729481">
          <w:marLeft w:val="0"/>
          <w:marRight w:val="0"/>
          <w:marTop w:val="0"/>
          <w:marBottom w:val="0"/>
          <w:divBdr>
            <w:top w:val="none" w:sz="0" w:space="0" w:color="auto"/>
            <w:left w:val="none" w:sz="0" w:space="0" w:color="auto"/>
            <w:bottom w:val="none" w:sz="0" w:space="0" w:color="auto"/>
            <w:right w:val="none" w:sz="0" w:space="0" w:color="auto"/>
          </w:divBdr>
          <w:divsChild>
            <w:div w:id="1969504553">
              <w:marLeft w:val="0"/>
              <w:marRight w:val="0"/>
              <w:marTop w:val="0"/>
              <w:marBottom w:val="0"/>
              <w:divBdr>
                <w:top w:val="none" w:sz="0" w:space="0" w:color="auto"/>
                <w:left w:val="none" w:sz="0" w:space="0" w:color="auto"/>
                <w:bottom w:val="none" w:sz="0" w:space="0" w:color="auto"/>
                <w:right w:val="none" w:sz="0" w:space="0" w:color="auto"/>
              </w:divBdr>
              <w:divsChild>
                <w:div w:id="2030986804">
                  <w:marLeft w:val="0"/>
                  <w:marRight w:val="0"/>
                  <w:marTop w:val="0"/>
                  <w:marBottom w:val="0"/>
                  <w:divBdr>
                    <w:top w:val="none" w:sz="0" w:space="0" w:color="auto"/>
                    <w:left w:val="none" w:sz="0" w:space="0" w:color="auto"/>
                    <w:bottom w:val="none" w:sz="0" w:space="0" w:color="auto"/>
                    <w:right w:val="none" w:sz="0" w:space="0" w:color="auto"/>
                  </w:divBdr>
                  <w:divsChild>
                    <w:div w:id="34105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6461019">
      <w:bodyDiv w:val="1"/>
      <w:marLeft w:val="0"/>
      <w:marRight w:val="0"/>
      <w:marTop w:val="0"/>
      <w:marBottom w:val="0"/>
      <w:divBdr>
        <w:top w:val="none" w:sz="0" w:space="0" w:color="auto"/>
        <w:left w:val="none" w:sz="0" w:space="0" w:color="auto"/>
        <w:bottom w:val="none" w:sz="0" w:space="0" w:color="auto"/>
        <w:right w:val="none" w:sz="0" w:space="0" w:color="auto"/>
      </w:divBdr>
      <w:divsChild>
        <w:div w:id="665788574">
          <w:marLeft w:val="0"/>
          <w:marRight w:val="0"/>
          <w:marTop w:val="0"/>
          <w:marBottom w:val="0"/>
          <w:divBdr>
            <w:top w:val="none" w:sz="0" w:space="0" w:color="auto"/>
            <w:left w:val="none" w:sz="0" w:space="0" w:color="auto"/>
            <w:bottom w:val="none" w:sz="0" w:space="0" w:color="auto"/>
            <w:right w:val="none" w:sz="0" w:space="0" w:color="auto"/>
          </w:divBdr>
        </w:div>
        <w:div w:id="1277250698">
          <w:marLeft w:val="0"/>
          <w:marRight w:val="0"/>
          <w:marTop w:val="0"/>
          <w:marBottom w:val="0"/>
          <w:divBdr>
            <w:top w:val="none" w:sz="0" w:space="0" w:color="auto"/>
            <w:left w:val="none" w:sz="0" w:space="0" w:color="auto"/>
            <w:bottom w:val="none" w:sz="0" w:space="0" w:color="auto"/>
            <w:right w:val="none" w:sz="0" w:space="0" w:color="auto"/>
          </w:divBdr>
        </w:div>
      </w:divsChild>
    </w:div>
    <w:div w:id="1851261946">
      <w:bodyDiv w:val="1"/>
      <w:marLeft w:val="0"/>
      <w:marRight w:val="0"/>
      <w:marTop w:val="0"/>
      <w:marBottom w:val="0"/>
      <w:divBdr>
        <w:top w:val="none" w:sz="0" w:space="0" w:color="auto"/>
        <w:left w:val="none" w:sz="0" w:space="0" w:color="auto"/>
        <w:bottom w:val="none" w:sz="0" w:space="0" w:color="auto"/>
        <w:right w:val="none" w:sz="0" w:space="0" w:color="auto"/>
      </w:divBdr>
    </w:div>
    <w:div w:id="1857845791">
      <w:bodyDiv w:val="1"/>
      <w:marLeft w:val="0"/>
      <w:marRight w:val="0"/>
      <w:marTop w:val="0"/>
      <w:marBottom w:val="0"/>
      <w:divBdr>
        <w:top w:val="none" w:sz="0" w:space="0" w:color="auto"/>
        <w:left w:val="none" w:sz="0" w:space="0" w:color="auto"/>
        <w:bottom w:val="none" w:sz="0" w:space="0" w:color="auto"/>
        <w:right w:val="none" w:sz="0" w:space="0" w:color="auto"/>
      </w:divBdr>
      <w:divsChild>
        <w:div w:id="336005547">
          <w:marLeft w:val="0"/>
          <w:marRight w:val="0"/>
          <w:marTop w:val="0"/>
          <w:marBottom w:val="0"/>
          <w:divBdr>
            <w:top w:val="none" w:sz="0" w:space="0" w:color="auto"/>
            <w:left w:val="none" w:sz="0" w:space="0" w:color="auto"/>
            <w:bottom w:val="none" w:sz="0" w:space="0" w:color="auto"/>
            <w:right w:val="none" w:sz="0" w:space="0" w:color="auto"/>
          </w:divBdr>
          <w:divsChild>
            <w:div w:id="837768622">
              <w:marLeft w:val="0"/>
              <w:marRight w:val="0"/>
              <w:marTop w:val="0"/>
              <w:marBottom w:val="0"/>
              <w:divBdr>
                <w:top w:val="none" w:sz="0" w:space="0" w:color="auto"/>
                <w:left w:val="none" w:sz="0" w:space="0" w:color="auto"/>
                <w:bottom w:val="none" w:sz="0" w:space="0" w:color="auto"/>
                <w:right w:val="none" w:sz="0" w:space="0" w:color="auto"/>
              </w:divBdr>
              <w:divsChild>
                <w:div w:id="1174494132">
                  <w:marLeft w:val="0"/>
                  <w:marRight w:val="0"/>
                  <w:marTop w:val="0"/>
                  <w:marBottom w:val="0"/>
                  <w:divBdr>
                    <w:top w:val="none" w:sz="0" w:space="0" w:color="auto"/>
                    <w:left w:val="none" w:sz="0" w:space="0" w:color="auto"/>
                    <w:bottom w:val="none" w:sz="0" w:space="0" w:color="auto"/>
                    <w:right w:val="none" w:sz="0" w:space="0" w:color="auto"/>
                  </w:divBdr>
                  <w:divsChild>
                    <w:div w:id="2052142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142051">
      <w:bodyDiv w:val="1"/>
      <w:marLeft w:val="0"/>
      <w:marRight w:val="0"/>
      <w:marTop w:val="0"/>
      <w:marBottom w:val="0"/>
      <w:divBdr>
        <w:top w:val="none" w:sz="0" w:space="0" w:color="auto"/>
        <w:left w:val="none" w:sz="0" w:space="0" w:color="auto"/>
        <w:bottom w:val="none" w:sz="0" w:space="0" w:color="auto"/>
        <w:right w:val="none" w:sz="0" w:space="0" w:color="auto"/>
      </w:divBdr>
    </w:div>
    <w:div w:id="1954747798">
      <w:bodyDiv w:val="1"/>
      <w:marLeft w:val="0"/>
      <w:marRight w:val="0"/>
      <w:marTop w:val="0"/>
      <w:marBottom w:val="0"/>
      <w:divBdr>
        <w:top w:val="none" w:sz="0" w:space="0" w:color="auto"/>
        <w:left w:val="none" w:sz="0" w:space="0" w:color="auto"/>
        <w:bottom w:val="none" w:sz="0" w:space="0" w:color="auto"/>
        <w:right w:val="none" w:sz="0" w:space="0" w:color="auto"/>
      </w:divBdr>
    </w:div>
    <w:div w:id="1993825982">
      <w:bodyDiv w:val="1"/>
      <w:marLeft w:val="0"/>
      <w:marRight w:val="0"/>
      <w:marTop w:val="0"/>
      <w:marBottom w:val="0"/>
      <w:divBdr>
        <w:top w:val="none" w:sz="0" w:space="0" w:color="auto"/>
        <w:left w:val="none" w:sz="0" w:space="0" w:color="auto"/>
        <w:bottom w:val="none" w:sz="0" w:space="0" w:color="auto"/>
        <w:right w:val="none" w:sz="0" w:space="0" w:color="auto"/>
      </w:divBdr>
    </w:div>
    <w:div w:id="2025206598">
      <w:bodyDiv w:val="1"/>
      <w:marLeft w:val="0"/>
      <w:marRight w:val="0"/>
      <w:marTop w:val="0"/>
      <w:marBottom w:val="0"/>
      <w:divBdr>
        <w:top w:val="none" w:sz="0" w:space="0" w:color="auto"/>
        <w:left w:val="none" w:sz="0" w:space="0" w:color="auto"/>
        <w:bottom w:val="none" w:sz="0" w:space="0" w:color="auto"/>
        <w:right w:val="none" w:sz="0" w:space="0" w:color="auto"/>
      </w:divBdr>
    </w:div>
    <w:div w:id="2062052643">
      <w:bodyDiv w:val="1"/>
      <w:marLeft w:val="0"/>
      <w:marRight w:val="0"/>
      <w:marTop w:val="0"/>
      <w:marBottom w:val="0"/>
      <w:divBdr>
        <w:top w:val="none" w:sz="0" w:space="0" w:color="auto"/>
        <w:left w:val="none" w:sz="0" w:space="0" w:color="auto"/>
        <w:bottom w:val="none" w:sz="0" w:space="0" w:color="auto"/>
        <w:right w:val="none" w:sz="0" w:space="0" w:color="auto"/>
      </w:divBdr>
    </w:div>
    <w:div w:id="210962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80/03054985.2020.184218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gislation.gov.uk/asc/2021/4/data.pdf" TargetMode="External"/><Relationship Id="rId5" Type="http://schemas.openxmlformats.org/officeDocument/2006/relationships/hyperlink" Target="https://hwb.gov.wales/curriculum-for-wale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719</TotalTime>
  <Pages>19</Pages>
  <Words>5127</Words>
  <Characters>29228</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Thomas (St Marys RC Primary School (Carmarthen))</dc:creator>
  <cp:keywords/>
  <dc:description/>
  <cp:lastModifiedBy>M Thomas (St Marys RC Primary School (Carmarthen))</cp:lastModifiedBy>
  <cp:revision>7</cp:revision>
  <dcterms:created xsi:type="dcterms:W3CDTF">2023-02-01T18:07:00Z</dcterms:created>
  <dcterms:modified xsi:type="dcterms:W3CDTF">2023-02-04T18:50:00Z</dcterms:modified>
</cp:coreProperties>
</file>