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77777777" w:rsidR="00ED1049" w:rsidRPr="00ED1049" w:rsidRDefault="00ED1049" w:rsidP="00ED1049">
      <w:pPr>
        <w:ind w:left="426"/>
        <w:rPr>
          <w:rFonts w:ascii="Arial" w:hAnsi="Arial" w:cs="Arial"/>
        </w:rPr>
      </w:pPr>
    </w:p>
    <w:p w14:paraId="3A253CFB" w14:textId="77777777" w:rsidR="00ED1049" w:rsidRPr="00074402" w:rsidRDefault="00ED1049" w:rsidP="00ED1049">
      <w:pPr>
        <w:spacing w:line="360" w:lineRule="auto"/>
        <w:ind w:left="426"/>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1AB0C790" wp14:editId="6280C588">
            <wp:simplePos x="0" y="0"/>
            <wp:positionH relativeFrom="margin">
              <wp:posOffset>-635</wp:posOffset>
            </wp:positionH>
            <wp:positionV relativeFrom="paragraph">
              <wp:posOffset>289560</wp:posOffset>
            </wp:positionV>
            <wp:extent cx="2600325" cy="9144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07D80CAD" w14:textId="77777777" w:rsidR="00ED1049" w:rsidRPr="00074402" w:rsidRDefault="00ED1049" w:rsidP="00ED1049">
      <w:pPr>
        <w:spacing w:line="360" w:lineRule="auto"/>
        <w:ind w:left="426"/>
        <w:rPr>
          <w:rFonts w:ascii="Arial" w:hAnsi="Arial" w:cs="Arial"/>
          <w:szCs w:val="24"/>
        </w:rPr>
      </w:pPr>
    </w:p>
    <w:p w14:paraId="066AF1C3" w14:textId="77777777" w:rsidR="00ED1049" w:rsidRDefault="00ED1049" w:rsidP="00ED1049">
      <w:pPr>
        <w:tabs>
          <w:tab w:val="left" w:pos="6540"/>
        </w:tabs>
        <w:spacing w:line="360" w:lineRule="auto"/>
        <w:ind w:left="426"/>
        <w:rPr>
          <w:rFonts w:ascii="Arial" w:hAnsi="Arial" w:cs="Arial"/>
          <w:sz w:val="28"/>
          <w:szCs w:val="28"/>
        </w:rPr>
      </w:pPr>
    </w:p>
    <w:p w14:paraId="4FC9800F" w14:textId="3ECE507E"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Student name</w:t>
      </w:r>
      <w:r w:rsidRPr="00814A9E">
        <w:rPr>
          <w:rFonts w:ascii="Arial" w:hAnsi="Arial" w:cs="Arial"/>
          <w:sz w:val="28"/>
          <w:szCs w:val="28"/>
          <w:lang w:val="nl-NL"/>
        </w:rPr>
        <w:t>:</w:t>
      </w:r>
      <w:r w:rsidR="00626A39">
        <w:rPr>
          <w:rFonts w:ascii="Arial" w:hAnsi="Arial" w:cs="Arial"/>
          <w:sz w:val="28"/>
          <w:szCs w:val="28"/>
          <w:lang w:val="nl-NL"/>
        </w:rPr>
        <w:t xml:space="preserve"> Andrea </w:t>
      </w:r>
      <w:r w:rsidR="00C25E74">
        <w:rPr>
          <w:rFonts w:ascii="Arial" w:hAnsi="Arial" w:cs="Arial"/>
          <w:sz w:val="28"/>
          <w:szCs w:val="28"/>
          <w:lang w:val="nl-NL"/>
        </w:rPr>
        <w:t xml:space="preserve">Ramona </w:t>
      </w:r>
      <w:r w:rsidR="00626A39">
        <w:rPr>
          <w:rFonts w:ascii="Arial" w:hAnsi="Arial" w:cs="Arial"/>
          <w:sz w:val="28"/>
          <w:szCs w:val="28"/>
          <w:lang w:val="nl-NL"/>
        </w:rPr>
        <w:t>Polac</w:t>
      </w:r>
    </w:p>
    <w:p w14:paraId="00429E76" w14:textId="21A1FCF4"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Student ID</w:t>
      </w:r>
      <w:r w:rsidRPr="00814A9E">
        <w:rPr>
          <w:rFonts w:ascii="Arial" w:hAnsi="Arial" w:cs="Arial"/>
          <w:sz w:val="28"/>
          <w:szCs w:val="28"/>
          <w:lang w:val="nl-NL"/>
        </w:rPr>
        <w:t>:</w:t>
      </w:r>
      <w:r w:rsidR="00C25E74" w:rsidRPr="00C25E74">
        <w:t xml:space="preserve"> </w:t>
      </w:r>
      <w:r w:rsidR="00C25E74" w:rsidRPr="00C25E74">
        <w:rPr>
          <w:rFonts w:ascii="Arial" w:hAnsi="Arial" w:cs="Arial"/>
          <w:sz w:val="28"/>
          <w:szCs w:val="28"/>
          <w:lang w:val="nl-NL"/>
        </w:rPr>
        <w:t>2130206</w:t>
      </w:r>
    </w:p>
    <w:p w14:paraId="16C5D4A2" w14:textId="77777777" w:rsidR="00ED1049" w:rsidRPr="00814A9E" w:rsidRDefault="00ED1049" w:rsidP="00ED1049">
      <w:pPr>
        <w:tabs>
          <w:tab w:val="left" w:pos="6540"/>
        </w:tabs>
        <w:spacing w:line="360" w:lineRule="auto"/>
        <w:ind w:left="426"/>
        <w:rPr>
          <w:rFonts w:ascii="Arial" w:hAnsi="Arial" w:cs="Arial"/>
          <w:sz w:val="28"/>
          <w:szCs w:val="28"/>
          <w:lang w:val="nl-NL"/>
        </w:rPr>
      </w:pPr>
    </w:p>
    <w:p w14:paraId="3E7B146F" w14:textId="480A909E"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Module name</w:t>
      </w:r>
      <w:r w:rsidRPr="00814A9E">
        <w:rPr>
          <w:rFonts w:ascii="Arial" w:hAnsi="Arial" w:cs="Arial"/>
          <w:sz w:val="28"/>
          <w:szCs w:val="28"/>
          <w:lang w:val="nl-NL"/>
        </w:rPr>
        <w:t xml:space="preserve">: </w:t>
      </w:r>
      <w:r w:rsidR="004C4041">
        <w:rPr>
          <w:rFonts w:ascii="Arial" w:hAnsi="Arial" w:cs="Arial"/>
          <w:sz w:val="28"/>
          <w:szCs w:val="28"/>
          <w:lang w:val="nl-NL"/>
        </w:rPr>
        <w:t>Empowering</w:t>
      </w:r>
      <w:r w:rsidR="00626A39">
        <w:rPr>
          <w:rFonts w:ascii="Arial" w:hAnsi="Arial" w:cs="Arial"/>
          <w:sz w:val="28"/>
          <w:szCs w:val="28"/>
          <w:lang w:val="nl-NL"/>
        </w:rPr>
        <w:t xml:space="preserve"> the Older Person</w:t>
      </w:r>
    </w:p>
    <w:p w14:paraId="12CBB668" w14:textId="711F4E8B" w:rsidR="00ED1049" w:rsidRDefault="00ED1049" w:rsidP="00ED1049">
      <w:pPr>
        <w:tabs>
          <w:tab w:val="left" w:pos="6540"/>
        </w:tabs>
        <w:spacing w:line="360" w:lineRule="auto"/>
        <w:ind w:left="426"/>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6A08CA" w:rsidRPr="006A08CA">
        <w:rPr>
          <w:rFonts w:ascii="Arial" w:hAnsi="Arial" w:cs="Arial"/>
          <w:sz w:val="28"/>
          <w:szCs w:val="28"/>
        </w:rPr>
        <w:t xml:space="preserve"> BMHP6027</w:t>
      </w:r>
    </w:p>
    <w:p w14:paraId="2C2175CB" w14:textId="69FAB1EC" w:rsidR="00ED1049" w:rsidRDefault="00FB49B9" w:rsidP="00ED1049">
      <w:pPr>
        <w:tabs>
          <w:tab w:val="left" w:pos="6540"/>
        </w:tabs>
        <w:spacing w:line="360" w:lineRule="auto"/>
        <w:ind w:left="426"/>
        <w:rPr>
          <w:rFonts w:ascii="Arial" w:hAnsi="Arial" w:cs="Arial"/>
          <w:sz w:val="28"/>
          <w:szCs w:val="28"/>
        </w:rPr>
      </w:pPr>
      <w:r>
        <w:rPr>
          <w:rFonts w:ascii="Arial" w:hAnsi="Arial" w:cs="Arial"/>
          <w:b/>
          <w:bCs/>
          <w:sz w:val="28"/>
          <w:szCs w:val="28"/>
        </w:rPr>
        <w:t>Lecturer</w:t>
      </w:r>
      <w:r w:rsidR="006D2642">
        <w:rPr>
          <w:rFonts w:ascii="Arial" w:hAnsi="Arial" w:cs="Arial"/>
          <w:b/>
          <w:bCs/>
          <w:sz w:val="28"/>
          <w:szCs w:val="28"/>
        </w:rPr>
        <w:t>’s</w:t>
      </w:r>
      <w:r w:rsidR="00ED1049" w:rsidRPr="00074402">
        <w:rPr>
          <w:rFonts w:ascii="Arial" w:hAnsi="Arial" w:cs="Arial"/>
          <w:b/>
          <w:bCs/>
          <w:sz w:val="28"/>
          <w:szCs w:val="28"/>
        </w:rPr>
        <w:t xml:space="preserve"> name</w:t>
      </w:r>
      <w:r w:rsidR="00ED1049">
        <w:rPr>
          <w:rFonts w:ascii="Arial" w:hAnsi="Arial" w:cs="Arial"/>
          <w:sz w:val="28"/>
          <w:szCs w:val="28"/>
        </w:rPr>
        <w:t>:</w:t>
      </w:r>
      <w:r w:rsidR="006A08CA" w:rsidRPr="006A08CA">
        <w:t xml:space="preserve"> </w:t>
      </w:r>
      <w:r w:rsidR="006A08CA" w:rsidRPr="006A08CA">
        <w:rPr>
          <w:rFonts w:ascii="Arial" w:hAnsi="Arial" w:cs="Arial"/>
          <w:sz w:val="28"/>
          <w:szCs w:val="28"/>
        </w:rPr>
        <w:t>Laila Surani</w:t>
      </w:r>
    </w:p>
    <w:p w14:paraId="543861DF" w14:textId="77777777" w:rsidR="00ED1049" w:rsidRPr="00ED1049" w:rsidRDefault="00ED1049">
      <w:pPr>
        <w:rPr>
          <w:rFonts w:ascii="Arial" w:hAnsi="Arial" w:cs="Arial"/>
        </w:rPr>
      </w:pPr>
    </w:p>
    <w:p w14:paraId="160FF05C" w14:textId="77777777" w:rsidR="00CC0A8F" w:rsidRPr="00CC0A8F" w:rsidRDefault="00CC0A8F" w:rsidP="00C46111">
      <w:r w:rsidRPr="00CC0A8F">
        <w:br w:type="page"/>
      </w:r>
    </w:p>
    <w:tbl>
      <w:tblPr>
        <w:tblW w:w="52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Description w:val="Layout table"/>
      </w:tblPr>
      <w:tblGrid>
        <w:gridCol w:w="4577"/>
        <w:gridCol w:w="286"/>
        <w:gridCol w:w="4896"/>
        <w:gridCol w:w="257"/>
        <w:gridCol w:w="5013"/>
      </w:tblGrid>
      <w:tr w:rsidR="00346FFA" w:rsidRPr="00EB6F36" w14:paraId="600B3A42" w14:textId="77777777" w:rsidTr="003A306E">
        <w:trPr>
          <w:trHeight w:val="1266"/>
          <w:jc w:val="center"/>
        </w:trPr>
        <w:tc>
          <w:tcPr>
            <w:tcW w:w="4577" w:type="dxa"/>
          </w:tcPr>
          <w:p w14:paraId="7C84B224" w14:textId="5FA308ED" w:rsidR="00346FFA" w:rsidRPr="00EB6F36" w:rsidRDefault="00445E49" w:rsidP="007300B1">
            <w:pPr>
              <w:spacing w:after="0"/>
              <w:rPr>
                <w:rFonts w:ascii="Arial" w:hAnsi="Arial" w:cs="Arial"/>
                <w:noProof/>
              </w:rPr>
            </w:pPr>
            <w:r>
              <w:rPr>
                <w:rFonts w:ascii="Arial" w:hAnsi="Arial" w:cs="Arial"/>
                <w:noProof/>
              </w:rPr>
              <w:lastRenderedPageBreak/>
              <w:drawing>
                <wp:inline distT="0" distB="0" distL="0" distR="0" wp14:anchorId="0B6871A0" wp14:editId="511034A0">
                  <wp:extent cx="2819043" cy="1645920"/>
                  <wp:effectExtent l="0" t="0" r="635" b="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41998" cy="1659323"/>
                          </a:xfrm>
                          <a:prstGeom prst="rect">
                            <a:avLst/>
                          </a:prstGeom>
                          <a:noFill/>
                        </pic:spPr>
                      </pic:pic>
                    </a:graphicData>
                  </a:graphic>
                </wp:inline>
              </w:drawing>
            </w:r>
          </w:p>
        </w:tc>
        <w:tc>
          <w:tcPr>
            <w:tcW w:w="286" w:type="dxa"/>
            <w:vMerge w:val="restart"/>
          </w:tcPr>
          <w:p w14:paraId="09B2FC2D" w14:textId="77777777" w:rsidR="00346FFA" w:rsidRPr="00EB6F36" w:rsidRDefault="00346FFA" w:rsidP="007300B1">
            <w:pPr>
              <w:spacing w:after="0"/>
              <w:rPr>
                <w:rFonts w:ascii="Arial" w:hAnsi="Arial" w:cs="Arial"/>
                <w:noProof/>
              </w:rPr>
            </w:pPr>
          </w:p>
        </w:tc>
        <w:tc>
          <w:tcPr>
            <w:tcW w:w="4896" w:type="dxa"/>
            <w:vMerge w:val="restart"/>
          </w:tcPr>
          <w:p w14:paraId="2542DA3A" w14:textId="56000C71" w:rsidR="00EB6F36" w:rsidRPr="006A08CA" w:rsidRDefault="0013383F" w:rsidP="007300B1">
            <w:pPr>
              <w:pStyle w:val="Heading1"/>
              <w:spacing w:after="0"/>
              <w:rPr>
                <w:rFonts w:ascii="Arial" w:hAnsi="Arial" w:cs="Arial"/>
                <w:sz w:val="24"/>
                <w:szCs w:val="24"/>
              </w:rPr>
            </w:pPr>
            <w:r w:rsidRPr="006A08CA">
              <w:rPr>
                <w:rFonts w:ascii="Arial" w:hAnsi="Arial" w:cs="Arial"/>
                <w:sz w:val="24"/>
                <w:szCs w:val="24"/>
              </w:rPr>
              <w:t>Introduction</w:t>
            </w:r>
          </w:p>
          <w:p w14:paraId="646D5584" w14:textId="566E1BA6" w:rsidR="002A1018" w:rsidRPr="0024440C" w:rsidRDefault="00445E49" w:rsidP="007300B1">
            <w:pPr>
              <w:spacing w:after="0"/>
              <w:jc w:val="both"/>
              <w:rPr>
                <w:rFonts w:ascii="Times New Roman" w:hAnsi="Times New Roman" w:cs="Times New Roman"/>
                <w:sz w:val="18"/>
                <w:szCs w:val="18"/>
              </w:rPr>
            </w:pPr>
            <w:r w:rsidRPr="0024440C">
              <w:rPr>
                <w:rFonts w:ascii="Times New Roman" w:hAnsi="Times New Roman" w:cs="Times New Roman"/>
              </w:rPr>
              <w:t>Promoting health and wellbeing among older people is a priority, one that encourages them to feel empowered and be part of the decision-making process rather than being at the end of receiving health and care services (Shearer et al., 2010). The NHS Long Term Plan (2019) shows a major increase in the older population across the country, as people tend to live longer due to improved health and social care services.</w:t>
            </w:r>
            <w:r w:rsidR="0024440C">
              <w:rPr>
                <w:rFonts w:ascii="Times New Roman" w:hAnsi="Times New Roman" w:cs="Times New Roman"/>
              </w:rPr>
              <w:t xml:space="preserve"> </w:t>
            </w:r>
            <w:r w:rsidRPr="0024440C">
              <w:rPr>
                <w:rFonts w:ascii="Times New Roman" w:hAnsi="Times New Roman" w:cs="Times New Roman"/>
              </w:rPr>
              <w:t>Whether this should be treated as a national concern or a call for change is still debated. Care planning, service delivery, and the many interventions available to the older populations have definitely improved over the years, but there are still many challenges that older people face in accessing care that must be addressed.</w:t>
            </w:r>
          </w:p>
        </w:tc>
        <w:tc>
          <w:tcPr>
            <w:tcW w:w="257" w:type="dxa"/>
            <w:vMerge w:val="restart"/>
          </w:tcPr>
          <w:p w14:paraId="51769EE4" w14:textId="2A4984C5" w:rsidR="00346FFA" w:rsidRPr="00EB6F36" w:rsidRDefault="00346FFA" w:rsidP="007300B1">
            <w:pPr>
              <w:spacing w:after="0"/>
              <w:rPr>
                <w:rFonts w:ascii="Arial" w:hAnsi="Arial" w:cs="Arial"/>
                <w:noProof/>
              </w:rPr>
            </w:pPr>
          </w:p>
        </w:tc>
        <w:tc>
          <w:tcPr>
            <w:tcW w:w="5013" w:type="dxa"/>
            <w:vAlign w:val="center"/>
          </w:tcPr>
          <w:p w14:paraId="4EBA66EC" w14:textId="7BCD5495" w:rsidR="00346FFA" w:rsidRPr="00F726C6" w:rsidRDefault="00F726C6" w:rsidP="00F726C6">
            <w:r>
              <w:rPr>
                <w:noProof/>
              </w:rPr>
              <w:drawing>
                <wp:inline distT="0" distB="0" distL="0" distR="0" wp14:anchorId="0A9C1B48" wp14:editId="49F3C671">
                  <wp:extent cx="3093720" cy="1511300"/>
                  <wp:effectExtent l="0" t="0" r="0" b="0"/>
                  <wp:docPr id="7" name="Imagine 7" descr="Image result for interventions for older people in teh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interventions for older people in teh u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17228" cy="1522784"/>
                          </a:xfrm>
                          <a:prstGeom prst="rect">
                            <a:avLst/>
                          </a:prstGeom>
                          <a:noFill/>
                          <a:ln>
                            <a:noFill/>
                          </a:ln>
                        </pic:spPr>
                      </pic:pic>
                    </a:graphicData>
                  </a:graphic>
                </wp:inline>
              </w:drawing>
            </w:r>
          </w:p>
        </w:tc>
      </w:tr>
      <w:tr w:rsidR="004642F0" w:rsidRPr="00EB6F36" w14:paraId="6C436F7A" w14:textId="77777777" w:rsidTr="003A306E">
        <w:trPr>
          <w:trHeight w:val="474"/>
          <w:jc w:val="center"/>
        </w:trPr>
        <w:tc>
          <w:tcPr>
            <w:tcW w:w="4577" w:type="dxa"/>
            <w:vMerge w:val="restart"/>
          </w:tcPr>
          <w:p w14:paraId="5A3495BF" w14:textId="785713EC" w:rsidR="0013383F" w:rsidRPr="006A08CA" w:rsidRDefault="009C6651" w:rsidP="003B71EE">
            <w:pPr>
              <w:pStyle w:val="Heading1"/>
              <w:spacing w:after="0"/>
              <w:rPr>
                <w:rFonts w:ascii="Arial" w:hAnsi="Arial" w:cs="Arial"/>
                <w:sz w:val="24"/>
                <w:szCs w:val="24"/>
              </w:rPr>
            </w:pPr>
            <w:r w:rsidRPr="006A08CA">
              <w:rPr>
                <w:rFonts w:ascii="Arial" w:hAnsi="Arial" w:cs="Arial"/>
                <w:sz w:val="24"/>
                <w:szCs w:val="24"/>
              </w:rPr>
              <w:t>Care, E</w:t>
            </w:r>
            <w:r w:rsidR="0013383F" w:rsidRPr="006A08CA">
              <w:rPr>
                <w:rFonts w:ascii="Arial" w:hAnsi="Arial" w:cs="Arial"/>
                <w:sz w:val="24"/>
                <w:szCs w:val="24"/>
              </w:rPr>
              <w:t>mpowerment and Support Needs of Older People</w:t>
            </w:r>
          </w:p>
          <w:p w14:paraId="78CE74E6" w14:textId="6DBEF09D" w:rsidR="0097678C" w:rsidRDefault="0097678C" w:rsidP="0097678C">
            <w:pPr>
              <w:spacing w:after="0"/>
              <w:rPr>
                <w:rFonts w:ascii="Times New Roman" w:eastAsia="Times New Roman" w:hAnsi="Times New Roman" w:cs="Times New Roman"/>
                <w:lang w:val="en-GB" w:eastAsia="en-GB"/>
              </w:rPr>
            </w:pPr>
            <w:r w:rsidRPr="0097678C">
              <w:rPr>
                <w:rFonts w:ascii="Times New Roman" w:eastAsia="Times New Roman" w:hAnsi="Times New Roman" w:cs="Times New Roman"/>
                <w:sz w:val="24"/>
                <w:szCs w:val="24"/>
                <w:lang w:val="en-GB" w:eastAsia="en-GB"/>
              </w:rPr>
              <w:t xml:space="preserve">• </w:t>
            </w:r>
            <w:r w:rsidRPr="0059590A">
              <w:rPr>
                <w:rFonts w:ascii="Times New Roman" w:eastAsia="Times New Roman" w:hAnsi="Times New Roman" w:cs="Times New Roman"/>
                <w:lang w:val="en-GB" w:eastAsia="en-GB"/>
              </w:rPr>
              <w:t>Older people face challenges such as frailty and lower quality of life, which should not define them; health and social care must adapt to their needs.</w:t>
            </w:r>
            <w:r w:rsidRPr="0059590A">
              <w:rPr>
                <w:rFonts w:ascii="Times New Roman" w:eastAsia="Times New Roman" w:hAnsi="Times New Roman" w:cs="Times New Roman"/>
                <w:lang w:val="en-GB" w:eastAsia="en-GB"/>
              </w:rPr>
              <w:br/>
              <w:t xml:space="preserve">• </w:t>
            </w:r>
            <w:r w:rsidR="0059590A" w:rsidRPr="0059590A">
              <w:rPr>
                <w:rFonts w:ascii="Times New Roman" w:eastAsia="Times New Roman" w:hAnsi="Times New Roman" w:cs="Times New Roman"/>
                <w:lang w:val="en-GB" w:eastAsia="en-GB"/>
              </w:rPr>
              <w:t>Older people need to keep their independence as long as possible. Wakefield et al., (2018) state that patient empowerment is key towards improving global health and social care strategies.</w:t>
            </w:r>
            <w:r w:rsidRPr="0059590A">
              <w:rPr>
                <w:rFonts w:ascii="Times New Roman" w:eastAsia="Times New Roman" w:hAnsi="Times New Roman" w:cs="Times New Roman"/>
                <w:lang w:val="en-GB" w:eastAsia="en-GB"/>
              </w:rPr>
              <w:br/>
              <w:t xml:space="preserve">• </w:t>
            </w:r>
            <w:r w:rsidR="0059590A" w:rsidRPr="0059590A">
              <w:rPr>
                <w:rFonts w:ascii="Times New Roman" w:eastAsia="Times New Roman" w:hAnsi="Times New Roman" w:cs="Times New Roman"/>
                <w:lang w:val="en-GB" w:eastAsia="en-GB"/>
              </w:rPr>
              <w:t>Beales (2012) explains that moving from independence to depending on someone can be extremely traumatic for older people, and adequate tools and resources are required.</w:t>
            </w:r>
            <w:r w:rsidRPr="0059590A">
              <w:rPr>
                <w:rFonts w:ascii="Times New Roman" w:eastAsia="Times New Roman" w:hAnsi="Times New Roman" w:cs="Times New Roman"/>
                <w:lang w:val="en-GB" w:eastAsia="en-GB"/>
              </w:rPr>
              <w:br/>
              <w:t xml:space="preserve">• </w:t>
            </w:r>
            <w:r w:rsidR="0059590A" w:rsidRPr="0059590A">
              <w:rPr>
                <w:rFonts w:ascii="Times New Roman" w:eastAsia="Times New Roman" w:hAnsi="Times New Roman" w:cs="Times New Roman"/>
                <w:lang w:val="en-GB" w:eastAsia="en-GB"/>
              </w:rPr>
              <w:t>According to NHS (2015), older people over the age of 65 are physiologically different, as frailty becomes more present. However, the concept of frailty is different for each individual.</w:t>
            </w:r>
            <w:r w:rsidRPr="0059590A">
              <w:rPr>
                <w:rFonts w:ascii="Times New Roman" w:eastAsia="Times New Roman" w:hAnsi="Times New Roman" w:cs="Times New Roman"/>
                <w:lang w:val="en-GB" w:eastAsia="en-GB"/>
              </w:rPr>
              <w:br/>
              <w:t>•</w:t>
            </w:r>
            <w:r w:rsidR="0059590A" w:rsidRPr="0059590A">
              <w:rPr>
                <w:sz w:val="20"/>
                <w:szCs w:val="20"/>
              </w:rPr>
              <w:t xml:space="preserve"> </w:t>
            </w:r>
            <w:r w:rsidR="0059590A" w:rsidRPr="0059590A">
              <w:rPr>
                <w:rFonts w:ascii="Times New Roman" w:eastAsia="Times New Roman" w:hAnsi="Times New Roman" w:cs="Times New Roman"/>
                <w:lang w:val="en-GB" w:eastAsia="en-GB"/>
              </w:rPr>
              <w:t>When certain abilities are affected, people tend to socially isolate, which can further lead to depression, anxiety, and other psychological or cognitive impairments (Kim and Rockwood, 2024).</w:t>
            </w:r>
            <w:r w:rsidRPr="0059590A">
              <w:rPr>
                <w:rFonts w:ascii="Times New Roman" w:eastAsia="Times New Roman" w:hAnsi="Times New Roman" w:cs="Times New Roman"/>
                <w:lang w:val="en-GB" w:eastAsia="en-GB"/>
              </w:rPr>
              <w:br/>
              <w:t>• Older adults may experience cognitive decline, chronic illnesses, and disabilities that hinder their ability to engage in their own care, necessitating empowerment and support</w:t>
            </w:r>
            <w:r w:rsidR="0059590A">
              <w:rPr>
                <w:rFonts w:ascii="Times New Roman" w:eastAsia="Times New Roman" w:hAnsi="Times New Roman" w:cs="Times New Roman"/>
                <w:lang w:val="en-GB" w:eastAsia="en-GB"/>
              </w:rPr>
              <w:t>.</w:t>
            </w:r>
          </w:p>
          <w:p w14:paraId="2DF072C4" w14:textId="6175F956" w:rsidR="0059590A" w:rsidRPr="0059590A" w:rsidRDefault="0059590A" w:rsidP="0097678C">
            <w:pPr>
              <w:spacing w:after="0"/>
              <w:rPr>
                <w:rFonts w:ascii="Times New Roman" w:eastAsia="Times New Roman" w:hAnsi="Times New Roman" w:cs="Times New Roman"/>
                <w:lang w:val="en-GB" w:eastAsia="en-GB"/>
              </w:rPr>
            </w:pPr>
            <w:r w:rsidRPr="0059590A">
              <w:rPr>
                <w:rFonts w:ascii="Times New Roman" w:eastAsia="Times New Roman" w:hAnsi="Times New Roman" w:cs="Times New Roman"/>
                <w:lang w:val="en-GB" w:eastAsia="en-GB"/>
              </w:rPr>
              <w:t>•</w:t>
            </w:r>
            <w:r>
              <w:rPr>
                <w:rFonts w:ascii="Times New Roman" w:eastAsia="Times New Roman" w:hAnsi="Times New Roman" w:cs="Times New Roman"/>
                <w:lang w:val="en-GB" w:eastAsia="en-GB"/>
              </w:rPr>
              <w:t xml:space="preserve"> </w:t>
            </w:r>
            <w:r w:rsidRPr="0059590A">
              <w:rPr>
                <w:rFonts w:ascii="Times New Roman" w:eastAsia="Times New Roman" w:hAnsi="Times New Roman" w:cs="Times New Roman"/>
                <w:lang w:val="en-GB" w:eastAsia="en-GB"/>
              </w:rPr>
              <w:t>Choice is linked to dignity and respect; older adults deserve autonomy, and safeguarding practices emphasi</w:t>
            </w:r>
            <w:r>
              <w:rPr>
                <w:rFonts w:ascii="Times New Roman" w:eastAsia="Times New Roman" w:hAnsi="Times New Roman" w:cs="Times New Roman"/>
                <w:lang w:val="en-GB" w:eastAsia="en-GB"/>
              </w:rPr>
              <w:t>s</w:t>
            </w:r>
            <w:r w:rsidRPr="0059590A">
              <w:rPr>
                <w:rFonts w:ascii="Times New Roman" w:eastAsia="Times New Roman" w:hAnsi="Times New Roman" w:cs="Times New Roman"/>
                <w:lang w:val="en-GB" w:eastAsia="en-GB"/>
              </w:rPr>
              <w:t>e the importance of maintaining choices (GOV UK, 2015).</w:t>
            </w:r>
          </w:p>
          <w:p w14:paraId="766CB3C2" w14:textId="4B07CC89" w:rsidR="00824C1D" w:rsidRPr="004429C5" w:rsidRDefault="00824C1D" w:rsidP="004429C5">
            <w:pPr>
              <w:spacing w:after="0"/>
              <w:jc w:val="both"/>
              <w:rPr>
                <w:rFonts w:ascii="Arial" w:hAnsi="Arial" w:cs="Arial"/>
                <w:sz w:val="18"/>
                <w:szCs w:val="18"/>
              </w:rPr>
            </w:pPr>
          </w:p>
        </w:tc>
        <w:tc>
          <w:tcPr>
            <w:tcW w:w="286" w:type="dxa"/>
            <w:vMerge/>
            <w:tcMar>
              <w:top w:w="29" w:type="dxa"/>
              <w:left w:w="29" w:type="dxa"/>
              <w:bottom w:w="29" w:type="dxa"/>
              <w:right w:w="29" w:type="dxa"/>
            </w:tcMar>
            <w:vAlign w:val="center"/>
          </w:tcPr>
          <w:p w14:paraId="433904C6" w14:textId="77777777" w:rsidR="004642F0" w:rsidRPr="00EB6F36" w:rsidRDefault="004642F0" w:rsidP="00B67824">
            <w:pPr>
              <w:pStyle w:val="NoSpacing"/>
              <w:jc w:val="center"/>
              <w:rPr>
                <w:rFonts w:ascii="Arial" w:hAnsi="Arial" w:cs="Arial"/>
                <w:noProof/>
              </w:rPr>
            </w:pPr>
          </w:p>
        </w:tc>
        <w:tc>
          <w:tcPr>
            <w:tcW w:w="4896" w:type="dxa"/>
            <w:vMerge/>
            <w:vAlign w:val="center"/>
          </w:tcPr>
          <w:p w14:paraId="7D78FDF6" w14:textId="77777777" w:rsidR="004642F0" w:rsidRPr="00EB6F36" w:rsidRDefault="004642F0" w:rsidP="00B67824">
            <w:pPr>
              <w:pStyle w:val="NoSpacing"/>
              <w:jc w:val="center"/>
              <w:rPr>
                <w:rFonts w:ascii="Arial" w:hAnsi="Arial" w:cs="Arial"/>
                <w:noProof/>
              </w:rPr>
            </w:pPr>
          </w:p>
        </w:tc>
        <w:tc>
          <w:tcPr>
            <w:tcW w:w="257" w:type="dxa"/>
            <w:vMerge/>
            <w:vAlign w:val="center"/>
          </w:tcPr>
          <w:p w14:paraId="25B3C4FF" w14:textId="77777777" w:rsidR="004642F0" w:rsidRPr="00EB6F36" w:rsidRDefault="004642F0" w:rsidP="00B67824">
            <w:pPr>
              <w:pStyle w:val="NoSpacing"/>
              <w:jc w:val="center"/>
              <w:rPr>
                <w:rFonts w:ascii="Arial" w:hAnsi="Arial" w:cs="Arial"/>
                <w:noProof/>
              </w:rPr>
            </w:pPr>
          </w:p>
        </w:tc>
        <w:tc>
          <w:tcPr>
            <w:tcW w:w="5013" w:type="dxa"/>
            <w:vMerge w:val="restart"/>
          </w:tcPr>
          <w:p w14:paraId="5E922376" w14:textId="27675463" w:rsidR="003A306E" w:rsidRPr="006A08CA" w:rsidRDefault="003A306E" w:rsidP="003A306E">
            <w:pPr>
              <w:pStyle w:val="Heading1"/>
              <w:spacing w:after="0"/>
              <w:jc w:val="both"/>
              <w:rPr>
                <w:rFonts w:ascii="Arial" w:hAnsi="Arial" w:cs="Arial"/>
                <w:sz w:val="24"/>
                <w:szCs w:val="24"/>
              </w:rPr>
            </w:pPr>
            <w:r w:rsidRPr="006A08CA">
              <w:rPr>
                <w:rFonts w:ascii="Arial" w:hAnsi="Arial" w:cs="Arial"/>
                <w:sz w:val="24"/>
                <w:szCs w:val="24"/>
              </w:rPr>
              <w:t>Challenges</w:t>
            </w:r>
          </w:p>
          <w:p w14:paraId="55296AF6" w14:textId="6875319D" w:rsidR="0059590A" w:rsidRPr="0059590A" w:rsidRDefault="0097678C" w:rsidP="0059590A">
            <w:pPr>
              <w:spacing w:after="0"/>
              <w:rPr>
                <w:rFonts w:ascii="Arial" w:hAnsi="Arial" w:cs="Arial"/>
                <w:sz w:val="16"/>
                <w:szCs w:val="16"/>
              </w:rPr>
            </w:pPr>
            <w:r w:rsidRPr="0059590A">
              <w:rPr>
                <w:rFonts w:ascii="Times New Roman" w:eastAsia="Times New Roman" w:hAnsi="Times New Roman" w:cs="Times New Roman"/>
                <w:lang w:val="en-GB" w:eastAsia="en-GB"/>
              </w:rPr>
              <w:t xml:space="preserve">• </w:t>
            </w:r>
            <w:r w:rsidR="0059590A" w:rsidRPr="0059590A">
              <w:rPr>
                <w:rFonts w:ascii="Times New Roman" w:hAnsi="Times New Roman" w:cs="Times New Roman"/>
              </w:rPr>
              <w:t>If the elderly are financially dependent on someone or are unable to make their own spending decisions, financial restraints may classify as a form of abuse (Hafemeister, 2014).</w:t>
            </w:r>
            <w:r w:rsidRPr="0059590A">
              <w:rPr>
                <w:rFonts w:ascii="Times New Roman" w:eastAsia="Times New Roman" w:hAnsi="Times New Roman" w:cs="Times New Roman"/>
                <w:lang w:val="en-GB" w:eastAsia="en-GB"/>
              </w:rPr>
              <w:br/>
              <w:t>• Old age comes with challenges such as illness and incapacity affecting quality of life.</w:t>
            </w:r>
            <w:r w:rsidRPr="0059590A">
              <w:rPr>
                <w:rFonts w:ascii="Times New Roman" w:eastAsia="Times New Roman" w:hAnsi="Times New Roman" w:cs="Times New Roman"/>
                <w:lang w:val="en-GB" w:eastAsia="en-GB"/>
              </w:rPr>
              <w:br/>
              <w:t>• Social factors, including ageism and loneliness, negatively impact older individuals.</w:t>
            </w:r>
            <w:r w:rsidRPr="0059590A">
              <w:rPr>
                <w:rFonts w:ascii="Times New Roman" w:eastAsia="Times New Roman" w:hAnsi="Times New Roman" w:cs="Times New Roman"/>
                <w:lang w:val="en-GB" w:eastAsia="en-GB"/>
              </w:rPr>
              <w:br/>
              <w:t xml:space="preserve">• </w:t>
            </w:r>
            <w:r w:rsidR="0059590A" w:rsidRPr="0059590A">
              <w:rPr>
                <w:rFonts w:ascii="Times New Roman" w:hAnsi="Times New Roman" w:cs="Times New Roman"/>
              </w:rPr>
              <w:t xml:space="preserve">According to the Equality Act 2010, individuals cannot be subjected to age discrimination, particularly while </w:t>
            </w:r>
            <w:r w:rsidR="006A08CA" w:rsidRPr="0059590A">
              <w:rPr>
                <w:rFonts w:ascii="Times New Roman" w:hAnsi="Times New Roman" w:cs="Times New Roman"/>
              </w:rPr>
              <w:t>utilizing</w:t>
            </w:r>
            <w:r w:rsidR="0059590A" w:rsidRPr="0059590A">
              <w:rPr>
                <w:rFonts w:ascii="Times New Roman" w:hAnsi="Times New Roman" w:cs="Times New Roman"/>
              </w:rPr>
              <w:t xml:space="preserve"> public services such as healthcare, employment, transportation, local government, joining a club, etc. (Equality and Human Rights Commission, 2020).</w:t>
            </w:r>
            <w:r w:rsidR="0059590A" w:rsidRPr="0059590A">
              <w:rPr>
                <w:rFonts w:ascii="Arial" w:hAnsi="Arial" w:cs="Arial"/>
              </w:rPr>
              <w:t xml:space="preserve"> </w:t>
            </w:r>
          </w:p>
          <w:p w14:paraId="4D6472C7" w14:textId="1EAE1D10" w:rsidR="0097678C" w:rsidRPr="0059590A" w:rsidRDefault="0097678C" w:rsidP="0059590A">
            <w:pPr>
              <w:spacing w:after="0"/>
              <w:rPr>
                <w:rFonts w:ascii="Times New Roman" w:eastAsia="Times New Roman" w:hAnsi="Times New Roman" w:cs="Times New Roman"/>
                <w:lang w:val="en-GB" w:eastAsia="en-GB"/>
              </w:rPr>
            </w:pPr>
            <w:r w:rsidRPr="0059590A">
              <w:rPr>
                <w:rFonts w:ascii="Times New Roman" w:eastAsia="Times New Roman" w:hAnsi="Times New Roman" w:cs="Times New Roman"/>
                <w:lang w:val="en-GB" w:eastAsia="en-GB"/>
              </w:rPr>
              <w:t>• Limited choices for older adults may manifest in their care and living arrangements.</w:t>
            </w:r>
            <w:r w:rsidRPr="0059590A">
              <w:rPr>
                <w:rFonts w:ascii="Times New Roman" w:eastAsia="Times New Roman" w:hAnsi="Times New Roman" w:cs="Times New Roman"/>
                <w:lang w:val="en-GB" w:eastAsia="en-GB"/>
              </w:rPr>
              <w:br/>
              <w:t xml:space="preserve">• </w:t>
            </w:r>
            <w:r w:rsidR="0059590A" w:rsidRPr="0059590A">
              <w:rPr>
                <w:rFonts w:ascii="Times New Roman" w:eastAsia="Times New Roman" w:hAnsi="Times New Roman" w:cs="Times New Roman"/>
                <w:lang w:val="en-GB" w:eastAsia="en-GB"/>
              </w:rPr>
              <w:t>Having the mental capacity to decide is naturally important, but even in situation when they are not able to make decisions, care givers should decide in their best interests according to the Mental Capacity Act 2005 (SCIE, 2022).</w:t>
            </w:r>
          </w:p>
          <w:p w14:paraId="7C994393" w14:textId="1FC1158D" w:rsidR="00B67824" w:rsidRPr="006A08CA" w:rsidRDefault="003A306E" w:rsidP="00781054">
            <w:pPr>
              <w:pStyle w:val="Heading1"/>
              <w:spacing w:after="0"/>
              <w:jc w:val="both"/>
              <w:rPr>
                <w:rStyle w:val="Heading1Char"/>
                <w:rFonts w:ascii="Arial" w:hAnsi="Arial" w:cs="Arial"/>
                <w:b/>
                <w:sz w:val="24"/>
                <w:szCs w:val="24"/>
              </w:rPr>
            </w:pPr>
            <w:r w:rsidRPr="006A08CA">
              <w:rPr>
                <w:rFonts w:ascii="Arial" w:hAnsi="Arial" w:cs="Arial"/>
                <w:sz w:val="24"/>
                <w:szCs w:val="24"/>
              </w:rPr>
              <w:t>Recommendations and Conclusion</w:t>
            </w:r>
          </w:p>
          <w:p w14:paraId="4D4507A7" w14:textId="7B5BFC6A" w:rsidR="00F726C6" w:rsidRPr="0024440C" w:rsidRDefault="0059590A" w:rsidP="0059590A">
            <w:pPr>
              <w:spacing w:after="0"/>
              <w:rPr>
                <w:rFonts w:ascii="Times New Roman" w:hAnsi="Times New Roman" w:cs="Times New Roman"/>
                <w:sz w:val="18"/>
                <w:szCs w:val="18"/>
              </w:rPr>
            </w:pPr>
            <w:r w:rsidRPr="0024440C">
              <w:rPr>
                <w:rFonts w:ascii="Times New Roman" w:hAnsi="Times New Roman" w:cs="Times New Roman"/>
              </w:rPr>
              <w:t xml:space="preserve">The focus </w:t>
            </w:r>
            <w:r w:rsidR="0024440C">
              <w:rPr>
                <w:rFonts w:ascii="Times New Roman" w:hAnsi="Times New Roman" w:cs="Times New Roman"/>
              </w:rPr>
              <w:t xml:space="preserve">should be on </w:t>
            </w:r>
            <w:r w:rsidR="0024440C" w:rsidRPr="0024440C">
              <w:rPr>
                <w:rFonts w:ascii="Times New Roman" w:hAnsi="Times New Roman" w:cs="Times New Roman"/>
              </w:rPr>
              <w:t xml:space="preserve">safeguarding </w:t>
            </w:r>
            <w:r w:rsidR="0024440C">
              <w:rPr>
                <w:rFonts w:ascii="Times New Roman" w:hAnsi="Times New Roman" w:cs="Times New Roman"/>
              </w:rPr>
              <w:t>older</w:t>
            </w:r>
            <w:r w:rsidR="0024440C" w:rsidRPr="0024440C">
              <w:rPr>
                <w:rFonts w:ascii="Times New Roman" w:hAnsi="Times New Roman" w:cs="Times New Roman"/>
              </w:rPr>
              <w:t xml:space="preserve"> individuals and empowering them to maintain their independence, freedom, autonomy, and involve them in the decision-making process. The standards of care should be improved across the system, better collaboration between multidisciplinary teams is necessary, while barriers should be </w:t>
            </w:r>
            <w:r w:rsidR="006A08CA">
              <w:rPr>
                <w:rFonts w:ascii="Times New Roman" w:hAnsi="Times New Roman" w:cs="Times New Roman"/>
              </w:rPr>
              <w:t>minimized</w:t>
            </w:r>
            <w:r w:rsidR="0024440C">
              <w:rPr>
                <w:rFonts w:ascii="Times New Roman" w:hAnsi="Times New Roman" w:cs="Times New Roman"/>
              </w:rPr>
              <w:t>. Also,</w:t>
            </w:r>
            <w:r w:rsidR="0024440C" w:rsidRPr="0024440C">
              <w:rPr>
                <w:rFonts w:ascii="Times New Roman" w:hAnsi="Times New Roman" w:cs="Times New Roman"/>
              </w:rPr>
              <w:t xml:space="preserve"> ensur</w:t>
            </w:r>
            <w:r w:rsidR="0024440C">
              <w:rPr>
                <w:rFonts w:ascii="Times New Roman" w:hAnsi="Times New Roman" w:cs="Times New Roman"/>
              </w:rPr>
              <w:t>ing</w:t>
            </w:r>
            <w:r w:rsidR="0024440C" w:rsidRPr="0024440C">
              <w:rPr>
                <w:rFonts w:ascii="Times New Roman" w:hAnsi="Times New Roman" w:cs="Times New Roman"/>
              </w:rPr>
              <w:t xml:space="preserve"> better funding plans are </w:t>
            </w:r>
            <w:r w:rsidR="0024440C">
              <w:rPr>
                <w:rFonts w:ascii="Times New Roman" w:hAnsi="Times New Roman" w:cs="Times New Roman"/>
              </w:rPr>
              <w:t>available</w:t>
            </w:r>
            <w:r w:rsidR="0024440C" w:rsidRPr="0024440C">
              <w:rPr>
                <w:rFonts w:ascii="Times New Roman" w:hAnsi="Times New Roman" w:cs="Times New Roman"/>
              </w:rPr>
              <w:t xml:space="preserve">, </w:t>
            </w:r>
            <w:r w:rsidR="0024440C">
              <w:rPr>
                <w:rFonts w:ascii="Times New Roman" w:hAnsi="Times New Roman" w:cs="Times New Roman"/>
              </w:rPr>
              <w:t xml:space="preserve">and </w:t>
            </w:r>
            <w:r w:rsidR="0024440C" w:rsidRPr="0024440C">
              <w:rPr>
                <w:rFonts w:ascii="Times New Roman" w:hAnsi="Times New Roman" w:cs="Times New Roman"/>
              </w:rPr>
              <w:t>support independent living as long as possible</w:t>
            </w:r>
            <w:r w:rsidR="0024440C">
              <w:rPr>
                <w:rFonts w:ascii="Times New Roman" w:hAnsi="Times New Roman" w:cs="Times New Roman"/>
              </w:rPr>
              <w:t>.</w:t>
            </w:r>
          </w:p>
        </w:tc>
      </w:tr>
      <w:tr w:rsidR="004642F0" w:rsidRPr="00EB6F36" w14:paraId="6FE6E81E" w14:textId="77777777" w:rsidTr="003A306E">
        <w:trPr>
          <w:trHeight w:val="6470"/>
          <w:jc w:val="center"/>
        </w:trPr>
        <w:tc>
          <w:tcPr>
            <w:tcW w:w="4577" w:type="dxa"/>
            <w:vMerge/>
          </w:tcPr>
          <w:p w14:paraId="795D7C90" w14:textId="77777777" w:rsidR="004642F0" w:rsidRPr="00EB6F36" w:rsidRDefault="004642F0" w:rsidP="00B67824">
            <w:pPr>
              <w:rPr>
                <w:rFonts w:ascii="Arial" w:hAnsi="Arial" w:cs="Arial"/>
                <w:noProof/>
              </w:rPr>
            </w:pPr>
          </w:p>
        </w:tc>
        <w:tc>
          <w:tcPr>
            <w:tcW w:w="286" w:type="dxa"/>
            <w:vMerge/>
          </w:tcPr>
          <w:p w14:paraId="1280A41D" w14:textId="77777777" w:rsidR="004642F0" w:rsidRPr="00EB6F36" w:rsidRDefault="004642F0" w:rsidP="00B67824">
            <w:pPr>
              <w:rPr>
                <w:rFonts w:ascii="Arial" w:hAnsi="Arial" w:cs="Arial"/>
                <w:noProof/>
              </w:rPr>
            </w:pPr>
          </w:p>
        </w:tc>
        <w:tc>
          <w:tcPr>
            <w:tcW w:w="4896" w:type="dxa"/>
          </w:tcPr>
          <w:p w14:paraId="1F9B8F03" w14:textId="703830A2" w:rsidR="00EB6F36" w:rsidRPr="006A08CA" w:rsidRDefault="0013383F" w:rsidP="00CE6CA9">
            <w:pPr>
              <w:pStyle w:val="Heading1"/>
              <w:spacing w:after="0"/>
              <w:rPr>
                <w:rStyle w:val="Heading1Char"/>
                <w:rFonts w:ascii="Arial" w:hAnsi="Arial" w:cs="Arial"/>
                <w:b/>
                <w:sz w:val="24"/>
                <w:szCs w:val="24"/>
              </w:rPr>
            </w:pPr>
            <w:r w:rsidRPr="006A08CA">
              <w:rPr>
                <w:rStyle w:val="Heading1Char"/>
                <w:rFonts w:ascii="Arial" w:hAnsi="Arial" w:cs="Arial"/>
                <w:b/>
                <w:sz w:val="24"/>
                <w:szCs w:val="24"/>
              </w:rPr>
              <w:t>Approaches and Interventions in the UK</w:t>
            </w:r>
          </w:p>
          <w:p w14:paraId="1874600C" w14:textId="77777777" w:rsidR="007275C3" w:rsidRDefault="0097678C" w:rsidP="0097678C">
            <w:pPr>
              <w:spacing w:after="0"/>
              <w:rPr>
                <w:rFonts w:ascii="Times New Roman" w:eastAsia="Times New Roman" w:hAnsi="Times New Roman" w:cs="Times New Roman"/>
                <w:lang w:val="en-GB" w:eastAsia="en-GB"/>
              </w:rPr>
            </w:pPr>
            <w:r w:rsidRPr="0024440C">
              <w:rPr>
                <w:rFonts w:ascii="Times New Roman" w:eastAsia="Times New Roman" w:hAnsi="Times New Roman" w:cs="Times New Roman"/>
                <w:lang w:val="en-GB" w:eastAsia="en-GB"/>
              </w:rPr>
              <w:t>• UK law and policy aim to enhance the wellbeing and quality of life of older people, recognizing their societal value.</w:t>
            </w:r>
            <w:r w:rsidRPr="0024440C">
              <w:rPr>
                <w:rFonts w:ascii="Times New Roman" w:eastAsia="Times New Roman" w:hAnsi="Times New Roman" w:cs="Times New Roman"/>
                <w:lang w:val="en-GB" w:eastAsia="en-GB"/>
              </w:rPr>
              <w:br/>
              <w:t>• Despite this focus, there are significant shortcomings in care, such as inconsistencies in multidisciplinary teams, care planning, and long waiting lists.</w:t>
            </w:r>
            <w:r w:rsidR="0024440C">
              <w:t xml:space="preserve"> </w:t>
            </w:r>
            <w:r w:rsidR="0024440C">
              <w:rPr>
                <w:rFonts w:ascii="Times New Roman" w:eastAsia="Times New Roman" w:hAnsi="Times New Roman" w:cs="Times New Roman"/>
                <w:lang w:val="en-GB" w:eastAsia="en-GB"/>
              </w:rPr>
              <w:t>S</w:t>
            </w:r>
            <w:r w:rsidR="0024440C" w:rsidRPr="0024440C">
              <w:rPr>
                <w:rFonts w:ascii="Times New Roman" w:eastAsia="Times New Roman" w:hAnsi="Times New Roman" w:cs="Times New Roman"/>
                <w:lang w:val="en-GB" w:eastAsia="en-GB"/>
              </w:rPr>
              <w:t>afeguarding practices clearly state that ‘’all adults have the right to be safe and to live a life free from abuse’’ (HSE, 2022).</w:t>
            </w:r>
            <w:r w:rsidRPr="0024440C">
              <w:rPr>
                <w:rFonts w:ascii="Times New Roman" w:eastAsia="Times New Roman" w:hAnsi="Times New Roman" w:cs="Times New Roman"/>
                <w:lang w:val="en-GB" w:eastAsia="en-GB"/>
              </w:rPr>
              <w:br/>
              <w:t xml:space="preserve">• </w:t>
            </w:r>
            <w:r w:rsidR="007275C3" w:rsidRPr="007275C3">
              <w:rPr>
                <w:rFonts w:ascii="Times New Roman" w:eastAsia="Times New Roman" w:hAnsi="Times New Roman" w:cs="Times New Roman"/>
                <w:lang w:val="en-GB" w:eastAsia="en-GB"/>
              </w:rPr>
              <w:t>One major goal of the NHS is to build a strong bridge between care provision in care homes and GPs, due to the high number of residents in care homes and their advanced level of frailty, disability, or impairment. Over 360,000 older people in England reside in care homes currently, according to Michas (2023).</w:t>
            </w:r>
          </w:p>
          <w:p w14:paraId="34C8070E" w14:textId="13049DA2" w:rsidR="0097678C" w:rsidRPr="0024440C" w:rsidRDefault="007275C3" w:rsidP="0097678C">
            <w:pPr>
              <w:spacing w:after="0"/>
              <w:rPr>
                <w:rFonts w:ascii="Times New Roman" w:eastAsia="Times New Roman" w:hAnsi="Times New Roman" w:cs="Times New Roman"/>
                <w:lang w:val="en-GB" w:eastAsia="en-GB"/>
              </w:rPr>
            </w:pPr>
            <w:r w:rsidRPr="007275C3">
              <w:rPr>
                <w:rFonts w:ascii="Times New Roman" w:eastAsia="Times New Roman" w:hAnsi="Times New Roman" w:cs="Times New Roman"/>
                <w:u w:val="single"/>
                <w:lang w:val="en-GB" w:eastAsia="en-GB"/>
              </w:rPr>
              <w:t>Theories</w:t>
            </w:r>
            <w:r w:rsidR="0097678C" w:rsidRPr="0024440C">
              <w:rPr>
                <w:rFonts w:ascii="Times New Roman" w:eastAsia="Times New Roman" w:hAnsi="Times New Roman" w:cs="Times New Roman"/>
                <w:lang w:val="en-GB" w:eastAsia="en-GB"/>
              </w:rPr>
              <w:br/>
              <w:t xml:space="preserve">• </w:t>
            </w:r>
            <w:r>
              <w:rPr>
                <w:rFonts w:ascii="Times New Roman" w:eastAsia="Times New Roman" w:hAnsi="Times New Roman" w:cs="Times New Roman"/>
                <w:lang w:val="en-GB" w:eastAsia="en-GB"/>
              </w:rPr>
              <w:t xml:space="preserve">The Theory of Ageing explains that physiological processes come in response to old age symptoms, </w:t>
            </w:r>
            <w:r w:rsidRPr="007275C3">
              <w:rPr>
                <w:rFonts w:ascii="Times New Roman" w:eastAsia="Times New Roman" w:hAnsi="Times New Roman" w:cs="Times New Roman"/>
                <w:lang w:val="en-GB" w:eastAsia="en-GB"/>
              </w:rPr>
              <w:t>a</w:t>
            </w:r>
            <w:r>
              <w:rPr>
                <w:rFonts w:ascii="Times New Roman" w:eastAsia="Times New Roman" w:hAnsi="Times New Roman" w:cs="Times New Roman"/>
                <w:lang w:val="en-GB" w:eastAsia="en-GB"/>
              </w:rPr>
              <w:t>nd a</w:t>
            </w:r>
            <w:r w:rsidRPr="007275C3">
              <w:rPr>
                <w:rFonts w:ascii="Times New Roman" w:eastAsia="Times New Roman" w:hAnsi="Times New Roman" w:cs="Times New Roman"/>
                <w:lang w:val="en-GB" w:eastAsia="en-GB"/>
              </w:rPr>
              <w:t>rise independent of any external or pathologic effects</w:t>
            </w:r>
            <w:r>
              <w:rPr>
                <w:rFonts w:ascii="Times New Roman" w:eastAsia="Times New Roman" w:hAnsi="Times New Roman" w:cs="Times New Roman"/>
                <w:lang w:val="en-GB" w:eastAsia="en-GB"/>
              </w:rPr>
              <w:t xml:space="preserve"> (da Costa et al., 2016).</w:t>
            </w:r>
            <w:r w:rsidR="0097678C" w:rsidRPr="0024440C">
              <w:rPr>
                <w:rFonts w:ascii="Times New Roman" w:eastAsia="Times New Roman" w:hAnsi="Times New Roman" w:cs="Times New Roman"/>
                <w:lang w:val="en-GB" w:eastAsia="en-GB"/>
              </w:rPr>
              <w:br/>
              <w:t xml:space="preserve">• </w:t>
            </w:r>
            <w:r>
              <w:rPr>
                <w:rFonts w:ascii="Times New Roman" w:eastAsia="Times New Roman" w:hAnsi="Times New Roman" w:cs="Times New Roman"/>
                <w:lang w:val="en-GB" w:eastAsia="en-GB"/>
              </w:rPr>
              <w:t xml:space="preserve">The Activity Theory is a psychological concept that explains the roles a person holds in society are defining their self-concept </w:t>
            </w:r>
            <w:r w:rsidRPr="007275C3">
              <w:rPr>
                <w:rFonts w:ascii="Times New Roman" w:eastAsia="Times New Roman" w:hAnsi="Times New Roman" w:cs="Times New Roman"/>
                <w:lang w:val="en-GB" w:eastAsia="en-GB"/>
              </w:rPr>
              <w:t>(Ungvarsky, 2025)</w:t>
            </w:r>
            <w:r>
              <w:rPr>
                <w:rFonts w:ascii="Times New Roman" w:eastAsia="Times New Roman" w:hAnsi="Times New Roman" w:cs="Times New Roman"/>
                <w:lang w:val="en-GB" w:eastAsia="en-GB"/>
              </w:rPr>
              <w:t>.</w:t>
            </w:r>
          </w:p>
          <w:p w14:paraId="6C24B37D" w14:textId="7F32C1F2" w:rsidR="004D51B2" w:rsidRPr="00CE6CA9" w:rsidRDefault="004D51B2" w:rsidP="00CE6CA9">
            <w:pPr>
              <w:spacing w:after="0"/>
              <w:jc w:val="both"/>
              <w:rPr>
                <w:rFonts w:ascii="Arial" w:hAnsi="Arial" w:cs="Arial"/>
                <w:sz w:val="18"/>
                <w:szCs w:val="18"/>
              </w:rPr>
            </w:pPr>
          </w:p>
        </w:tc>
        <w:tc>
          <w:tcPr>
            <w:tcW w:w="257" w:type="dxa"/>
            <w:vMerge/>
          </w:tcPr>
          <w:p w14:paraId="5706C323" w14:textId="77777777" w:rsidR="004642F0" w:rsidRPr="00EB6F36" w:rsidRDefault="004642F0" w:rsidP="00B67824">
            <w:pPr>
              <w:rPr>
                <w:rFonts w:ascii="Arial" w:hAnsi="Arial" w:cs="Arial"/>
                <w:noProof/>
              </w:rPr>
            </w:pPr>
          </w:p>
        </w:tc>
        <w:tc>
          <w:tcPr>
            <w:tcW w:w="5013" w:type="dxa"/>
            <w:vMerge/>
          </w:tcPr>
          <w:p w14:paraId="3978F1F4" w14:textId="77777777" w:rsidR="004642F0" w:rsidRPr="00EB6F36" w:rsidRDefault="004642F0" w:rsidP="004642F0">
            <w:pPr>
              <w:rPr>
                <w:rFonts w:ascii="Arial" w:hAnsi="Arial" w:cs="Arial"/>
                <w:sz w:val="21"/>
              </w:rPr>
            </w:pPr>
          </w:p>
        </w:tc>
      </w:tr>
    </w:tbl>
    <w:p w14:paraId="489BBCE1" w14:textId="479B6478" w:rsidR="00ED1049" w:rsidRDefault="00ED1049" w:rsidP="00C46111">
      <w:pPr>
        <w:rPr>
          <w:rFonts w:ascii="Arial" w:hAnsi="Arial" w:cs="Arial"/>
          <w:b/>
          <w:bCs/>
          <w:sz w:val="28"/>
          <w:szCs w:val="28"/>
        </w:rPr>
      </w:pPr>
      <w:r w:rsidRPr="00ED1049">
        <w:rPr>
          <w:rFonts w:ascii="Arial" w:hAnsi="Arial" w:cs="Arial"/>
          <w:b/>
          <w:bCs/>
          <w:sz w:val="28"/>
          <w:szCs w:val="28"/>
        </w:rPr>
        <w:t>References</w:t>
      </w:r>
    </w:p>
    <w:p w14:paraId="448EE7AF" w14:textId="06FC4D98" w:rsidR="009E310F" w:rsidRPr="009E310F" w:rsidRDefault="009E310F" w:rsidP="009E310F">
      <w:pPr>
        <w:rPr>
          <w:rFonts w:ascii="Arial" w:hAnsi="Arial" w:cs="Arial"/>
          <w:sz w:val="24"/>
          <w:szCs w:val="24"/>
        </w:rPr>
      </w:pPr>
      <w:r w:rsidRPr="009E310F">
        <w:rPr>
          <w:rFonts w:ascii="Arial" w:hAnsi="Arial" w:cs="Arial"/>
          <w:sz w:val="24"/>
          <w:szCs w:val="24"/>
        </w:rPr>
        <w:t>Beales, S. (2012). Expert Group Meeting on ‘Promoting people’s empowerment in achieving poverty eradication, social integration and productive and decent work for all’. [online] Available at: https://www.un.org/esa/socdev/egms/docs/2012/SylviaBeales.pdf [Accessed 14 Mar. 2025].</w:t>
      </w:r>
    </w:p>
    <w:p w14:paraId="751260D4" w14:textId="35B54A9E" w:rsidR="009E310F" w:rsidRPr="009E310F" w:rsidRDefault="009E310F" w:rsidP="009E310F">
      <w:pPr>
        <w:rPr>
          <w:rFonts w:ascii="Arial" w:hAnsi="Arial" w:cs="Arial"/>
          <w:sz w:val="24"/>
          <w:szCs w:val="24"/>
        </w:rPr>
      </w:pPr>
      <w:r w:rsidRPr="009E310F">
        <w:rPr>
          <w:rFonts w:ascii="Arial" w:hAnsi="Arial" w:cs="Arial"/>
          <w:sz w:val="24"/>
          <w:szCs w:val="24"/>
        </w:rPr>
        <w:t>Berg, V. (2023). Care Home stats: Number of settings, Population &amp; Workforce. [online] Carehome.co.uk. Available at: https://www.carehome.co.uk/advice/care-home-stats-number-of-settings-population-workforce [Accessed 16 Mar. 2025].</w:t>
      </w:r>
    </w:p>
    <w:p w14:paraId="3B826B7D" w14:textId="59DE06BC" w:rsidR="009E310F" w:rsidRPr="009E310F" w:rsidRDefault="009E310F" w:rsidP="009E310F">
      <w:pPr>
        <w:rPr>
          <w:rFonts w:ascii="Arial" w:hAnsi="Arial" w:cs="Arial"/>
          <w:sz w:val="24"/>
          <w:szCs w:val="24"/>
        </w:rPr>
      </w:pPr>
      <w:r w:rsidRPr="009E310F">
        <w:rPr>
          <w:rFonts w:ascii="Arial" w:hAnsi="Arial" w:cs="Arial"/>
          <w:sz w:val="24"/>
          <w:szCs w:val="24"/>
        </w:rPr>
        <w:t>Centre for Ageing Better (2024). Society | The State of Ageing 2023-24 | Centre for Ageing Better. [online] ageing-better.org.uk. Available at: https://ageing-better.org.uk/society-state-ageing-2023-4?_gl=1 [Accessed 15 Mar. 2025].</w:t>
      </w:r>
    </w:p>
    <w:p w14:paraId="14EFD4B1" w14:textId="7EFBEE70" w:rsidR="009E310F" w:rsidRDefault="009E310F" w:rsidP="009E310F">
      <w:pPr>
        <w:rPr>
          <w:rFonts w:ascii="Arial" w:hAnsi="Arial" w:cs="Arial"/>
          <w:sz w:val="24"/>
          <w:szCs w:val="24"/>
        </w:rPr>
      </w:pPr>
      <w:r w:rsidRPr="009E310F">
        <w:rPr>
          <w:rFonts w:ascii="Arial" w:hAnsi="Arial" w:cs="Arial"/>
          <w:sz w:val="24"/>
          <w:szCs w:val="24"/>
        </w:rPr>
        <w:t>Crocker, T., F., Lam, N., Ensor, J., Jordão, M., Bajpai, R., Bond, M., Forster, A., Riley, R., Gladman, J. and Clegg, A. (2023). Community-based complex interventions to sustain independence in older people: systematic review and network meta-analysis. British Geriatrics Society.</w:t>
      </w:r>
    </w:p>
    <w:p w14:paraId="21F7306E" w14:textId="18F98C6D" w:rsidR="0081082E" w:rsidRDefault="0081082E" w:rsidP="009E310F">
      <w:pPr>
        <w:rPr>
          <w:rFonts w:ascii="Arial" w:hAnsi="Arial" w:cs="Arial"/>
          <w:sz w:val="24"/>
          <w:szCs w:val="24"/>
        </w:rPr>
      </w:pPr>
      <w:r w:rsidRPr="0081082E">
        <w:rPr>
          <w:rFonts w:ascii="Arial" w:hAnsi="Arial" w:cs="Arial"/>
          <w:sz w:val="24"/>
          <w:szCs w:val="24"/>
        </w:rPr>
        <w:lastRenderedPageBreak/>
        <w:t xml:space="preserve">da Costa, J.P., Vitorino, R., Silva, G.M., Vogel, C., Duarte, A.C. and Rocha-Santos, T. (2016). A synopsis on aging—Theories, mechanisms and future prospects. Ageing Research Reviews, 29, pp.90–112. </w:t>
      </w:r>
      <w:proofErr w:type="spellStart"/>
      <w:proofErr w:type="gramStart"/>
      <w:r w:rsidRPr="0081082E">
        <w:rPr>
          <w:rFonts w:ascii="Arial" w:hAnsi="Arial" w:cs="Arial"/>
          <w:sz w:val="24"/>
          <w:szCs w:val="24"/>
        </w:rPr>
        <w:t>doi:https</w:t>
      </w:r>
      <w:proofErr w:type="spellEnd"/>
      <w:r w:rsidRPr="0081082E">
        <w:rPr>
          <w:rFonts w:ascii="Arial" w:hAnsi="Arial" w:cs="Arial"/>
          <w:sz w:val="24"/>
          <w:szCs w:val="24"/>
        </w:rPr>
        <w:t>://doi.org/10.1016/j.arr.2016.06.005</w:t>
      </w:r>
      <w:proofErr w:type="gramEnd"/>
      <w:r w:rsidRPr="0081082E">
        <w:rPr>
          <w:rFonts w:ascii="Arial" w:hAnsi="Arial" w:cs="Arial"/>
          <w:sz w:val="24"/>
          <w:szCs w:val="24"/>
        </w:rPr>
        <w:t>.</w:t>
      </w:r>
    </w:p>
    <w:p w14:paraId="23D8D843" w14:textId="6219D621" w:rsidR="009E310F" w:rsidRPr="009E310F" w:rsidRDefault="009E310F" w:rsidP="009E310F">
      <w:pPr>
        <w:rPr>
          <w:rFonts w:ascii="Arial" w:hAnsi="Arial" w:cs="Arial"/>
          <w:sz w:val="24"/>
          <w:szCs w:val="24"/>
        </w:rPr>
      </w:pPr>
      <w:r w:rsidRPr="009E310F">
        <w:rPr>
          <w:rFonts w:ascii="Arial" w:hAnsi="Arial" w:cs="Arial"/>
          <w:sz w:val="24"/>
          <w:szCs w:val="24"/>
        </w:rPr>
        <w:t>Equality and Human Rights Commission (2020). Age discrimination | EHRC. [online] www.equalityhumanrights.com. Available at: https://www.equalityhumanrights.com/equality/equality-act-2010/your-rights-under-equality-act-2010/age-discrimination [Accessed 16 Mar. 2025].</w:t>
      </w:r>
    </w:p>
    <w:p w14:paraId="50ED507D" w14:textId="77777777" w:rsidR="009E310F" w:rsidRPr="009E310F" w:rsidRDefault="009E310F" w:rsidP="009E310F">
      <w:pPr>
        <w:rPr>
          <w:rFonts w:ascii="Arial" w:hAnsi="Arial" w:cs="Arial"/>
          <w:sz w:val="24"/>
          <w:szCs w:val="24"/>
        </w:rPr>
      </w:pPr>
      <w:r w:rsidRPr="009E310F">
        <w:rPr>
          <w:rFonts w:ascii="Arial" w:hAnsi="Arial" w:cs="Arial"/>
          <w:sz w:val="24"/>
          <w:szCs w:val="24"/>
        </w:rPr>
        <w:t>GOV UK (2015). Safeguarding policy: Protecting Vulnerable Adults. [online] GOV.UK. Available at: https://www.gov.uk/government/publications/safeguarding-policy-protecting-vulnerable-adults [Accessed 16 Sep. 2025].</w:t>
      </w:r>
    </w:p>
    <w:p w14:paraId="3B35B68F" w14:textId="77777777" w:rsidR="009E310F" w:rsidRPr="009E310F" w:rsidRDefault="009E310F" w:rsidP="009E310F">
      <w:pPr>
        <w:rPr>
          <w:rFonts w:ascii="Arial" w:hAnsi="Arial" w:cs="Arial"/>
          <w:sz w:val="24"/>
          <w:szCs w:val="24"/>
        </w:rPr>
      </w:pPr>
      <w:r w:rsidRPr="009E310F">
        <w:rPr>
          <w:rFonts w:ascii="Arial" w:hAnsi="Arial" w:cs="Arial"/>
          <w:sz w:val="24"/>
          <w:szCs w:val="24"/>
        </w:rPr>
        <w:t>Haviland, L. (2025). Meals on Wheels UK: Supporting Better Nutrition in Social Care - NIHR SSCR. [online] NIHR SSCR. Available at: https://sscr.nihr.ac.uk/meals-on-wheels-map/ [Accessed 11 Sep. 2025].</w:t>
      </w:r>
    </w:p>
    <w:p w14:paraId="792A3083" w14:textId="18396A8E" w:rsidR="009E310F" w:rsidRDefault="009E310F" w:rsidP="009E310F">
      <w:pPr>
        <w:rPr>
          <w:rFonts w:ascii="Arial" w:hAnsi="Arial" w:cs="Arial"/>
          <w:sz w:val="24"/>
          <w:szCs w:val="24"/>
        </w:rPr>
      </w:pPr>
      <w:r w:rsidRPr="009E310F">
        <w:rPr>
          <w:rFonts w:ascii="Arial" w:hAnsi="Arial" w:cs="Arial"/>
          <w:sz w:val="24"/>
          <w:szCs w:val="24"/>
        </w:rPr>
        <w:t>Hafemeister, T.L. (2014). Financial Abuse of the Elderly in Domestic Setting. [online] Nih.gov. Available at: https://www.ncbi.nlm.nih.gov/books/NBK98784/ [Accessed 11 Mar. 2025].</w:t>
      </w:r>
    </w:p>
    <w:p w14:paraId="631E13FA" w14:textId="77777777" w:rsidR="009E310F" w:rsidRPr="009E310F" w:rsidRDefault="009E310F" w:rsidP="009E310F">
      <w:pPr>
        <w:rPr>
          <w:rFonts w:ascii="Arial" w:hAnsi="Arial" w:cs="Arial"/>
          <w:sz w:val="24"/>
          <w:szCs w:val="24"/>
        </w:rPr>
      </w:pPr>
      <w:r w:rsidRPr="009E310F">
        <w:rPr>
          <w:rFonts w:ascii="Arial" w:hAnsi="Arial" w:cs="Arial"/>
          <w:sz w:val="24"/>
          <w:szCs w:val="24"/>
        </w:rPr>
        <w:t>HSE (2022). Safeguarding Vulnerable Adults. [online] HSE.ie. Available at: https://www.hse.ie/eng/about/who/socialcare/safeguardingvulnerableadults/safeguardingvuladts.html [Accessed 12 Mar. 2025].</w:t>
      </w:r>
    </w:p>
    <w:p w14:paraId="4E19F658" w14:textId="29A961CE" w:rsidR="009E310F" w:rsidRDefault="009E310F" w:rsidP="009E310F">
      <w:pPr>
        <w:rPr>
          <w:rFonts w:ascii="Arial" w:hAnsi="Arial" w:cs="Arial"/>
          <w:sz w:val="24"/>
          <w:szCs w:val="24"/>
        </w:rPr>
      </w:pPr>
      <w:r w:rsidRPr="009E310F">
        <w:rPr>
          <w:rFonts w:ascii="Arial" w:hAnsi="Arial" w:cs="Arial"/>
          <w:sz w:val="24"/>
          <w:szCs w:val="24"/>
        </w:rPr>
        <w:t xml:space="preserve">Kim, D.H. and Rockwood, K. (2024). Frailty in Older Adults. New England Journal of Medicine, [online] 391(6), pp.538–548. </w:t>
      </w:r>
      <w:proofErr w:type="spellStart"/>
      <w:proofErr w:type="gramStart"/>
      <w:r w:rsidRPr="009E310F">
        <w:rPr>
          <w:rFonts w:ascii="Arial" w:hAnsi="Arial" w:cs="Arial"/>
          <w:sz w:val="24"/>
          <w:szCs w:val="24"/>
        </w:rPr>
        <w:t>doi:https</w:t>
      </w:r>
      <w:proofErr w:type="spellEnd"/>
      <w:r w:rsidRPr="009E310F">
        <w:rPr>
          <w:rFonts w:ascii="Arial" w:hAnsi="Arial" w:cs="Arial"/>
          <w:sz w:val="24"/>
          <w:szCs w:val="24"/>
        </w:rPr>
        <w:t>://doi.org/10.1056/nejmra2301292</w:t>
      </w:r>
      <w:proofErr w:type="gramEnd"/>
      <w:r w:rsidRPr="009E310F">
        <w:rPr>
          <w:rFonts w:ascii="Arial" w:hAnsi="Arial" w:cs="Arial"/>
          <w:sz w:val="24"/>
          <w:szCs w:val="24"/>
        </w:rPr>
        <w:t>.</w:t>
      </w:r>
    </w:p>
    <w:p w14:paraId="013F6075" w14:textId="77777777" w:rsidR="009E310F" w:rsidRPr="009E310F" w:rsidRDefault="009E310F" w:rsidP="009E310F">
      <w:pPr>
        <w:rPr>
          <w:rFonts w:ascii="Arial" w:hAnsi="Arial" w:cs="Arial"/>
          <w:sz w:val="24"/>
          <w:szCs w:val="24"/>
        </w:rPr>
      </w:pPr>
      <w:r w:rsidRPr="009E310F">
        <w:rPr>
          <w:rFonts w:ascii="Arial" w:hAnsi="Arial" w:cs="Arial"/>
          <w:sz w:val="24"/>
          <w:szCs w:val="24"/>
        </w:rPr>
        <w:t>Michas, F. (2023). UK: care home population 2020. [online] Statista. Available at: https://www.statista.com/statistics/1082379/number-of-people-living-in-care-homes-in-the-united-kingdom/ [Accessed 14 Mar. 2025].</w:t>
      </w:r>
    </w:p>
    <w:p w14:paraId="77641FDF" w14:textId="77777777" w:rsidR="009E310F" w:rsidRPr="009E310F" w:rsidRDefault="009E310F" w:rsidP="009E310F">
      <w:pPr>
        <w:rPr>
          <w:rFonts w:ascii="Arial" w:hAnsi="Arial" w:cs="Arial"/>
          <w:sz w:val="24"/>
          <w:szCs w:val="24"/>
        </w:rPr>
      </w:pPr>
      <w:r w:rsidRPr="009E310F">
        <w:rPr>
          <w:rFonts w:ascii="Arial" w:hAnsi="Arial" w:cs="Arial"/>
          <w:sz w:val="24"/>
          <w:szCs w:val="24"/>
        </w:rPr>
        <w:t xml:space="preserve">NHS (2015). Empowering Older People’s Care </w:t>
      </w:r>
      <w:proofErr w:type="gramStart"/>
      <w:r w:rsidRPr="009E310F">
        <w:rPr>
          <w:rFonts w:ascii="Arial" w:hAnsi="Arial" w:cs="Arial"/>
          <w:sz w:val="24"/>
          <w:szCs w:val="24"/>
        </w:rPr>
        <w:t>Summit :</w:t>
      </w:r>
      <w:proofErr w:type="gramEnd"/>
      <w:r w:rsidRPr="009E310F">
        <w:rPr>
          <w:rFonts w:ascii="Arial" w:hAnsi="Arial" w:cs="Arial"/>
          <w:sz w:val="24"/>
          <w:szCs w:val="24"/>
        </w:rPr>
        <w:t xml:space="preserve"> Raising Awareness of Frailty #frailtysummit. [online] Available at: https://www.england.nhs.uk/6cs/wp-content/uploads/sites/25/2015/03/older-peoples-summit.pdf [Accessed 13 Mar. 2025].</w:t>
      </w:r>
    </w:p>
    <w:p w14:paraId="5A24E8C8" w14:textId="6DB9951C" w:rsidR="009E310F" w:rsidRDefault="009E310F" w:rsidP="009E310F">
      <w:pPr>
        <w:rPr>
          <w:rFonts w:ascii="Arial" w:hAnsi="Arial" w:cs="Arial"/>
          <w:sz w:val="24"/>
          <w:szCs w:val="24"/>
        </w:rPr>
      </w:pPr>
      <w:r w:rsidRPr="009E310F">
        <w:rPr>
          <w:rFonts w:ascii="Arial" w:hAnsi="Arial" w:cs="Arial"/>
          <w:sz w:val="24"/>
          <w:szCs w:val="24"/>
        </w:rPr>
        <w:t>Office for Health Improvement and Disparities (2022). Healthy ageing: applying all our health. [online] GOV.UK. Available at: https://www.gov.uk/government/publications/healthy-ageing/healthy-ageing-applying-all-our-health [Accessed 13 Sep. 2025].</w:t>
      </w:r>
    </w:p>
    <w:p w14:paraId="4586010D" w14:textId="77777777" w:rsidR="009E310F" w:rsidRPr="009E310F" w:rsidRDefault="009E310F" w:rsidP="009E310F">
      <w:pPr>
        <w:rPr>
          <w:rFonts w:ascii="Arial" w:hAnsi="Arial" w:cs="Arial"/>
          <w:sz w:val="24"/>
          <w:szCs w:val="24"/>
        </w:rPr>
      </w:pPr>
      <w:r w:rsidRPr="009E310F">
        <w:rPr>
          <w:rFonts w:ascii="Arial" w:hAnsi="Arial" w:cs="Arial"/>
          <w:sz w:val="24"/>
          <w:szCs w:val="24"/>
        </w:rPr>
        <w:t>SCIE (2022). Mental Capacity Act 2005 at a Glance. [online] Social Care Institute for Excellence. Available at: https://www.scie.org.uk/mca/introduction/mental-capacity-act-2005-at-a-glance/ [Accessed 16 Mar. 2025].</w:t>
      </w:r>
    </w:p>
    <w:p w14:paraId="40E33866" w14:textId="7541A9D6" w:rsidR="009E310F" w:rsidRDefault="009E310F" w:rsidP="009E310F">
      <w:pPr>
        <w:rPr>
          <w:rFonts w:ascii="Arial" w:hAnsi="Arial" w:cs="Arial"/>
          <w:sz w:val="24"/>
          <w:szCs w:val="24"/>
        </w:rPr>
      </w:pPr>
      <w:r w:rsidRPr="009E310F">
        <w:rPr>
          <w:rFonts w:ascii="Arial" w:hAnsi="Arial" w:cs="Arial"/>
          <w:sz w:val="24"/>
          <w:szCs w:val="24"/>
        </w:rPr>
        <w:t>Shearer, N., C., Fleury, J., Ward, K., A. and O'Brien West, A-M. (2010). Empowerment Interventions for Older Adults. Western Journal of Nursing Research, SAGE.</w:t>
      </w:r>
    </w:p>
    <w:p w14:paraId="731D7C30" w14:textId="571CA9E4" w:rsidR="00DB526D" w:rsidRPr="009E310F" w:rsidRDefault="00DB526D" w:rsidP="009E310F">
      <w:pPr>
        <w:rPr>
          <w:rFonts w:ascii="Arial" w:hAnsi="Arial" w:cs="Arial"/>
          <w:sz w:val="24"/>
          <w:szCs w:val="24"/>
        </w:rPr>
      </w:pPr>
      <w:r w:rsidRPr="00DB526D">
        <w:rPr>
          <w:rFonts w:ascii="Arial" w:hAnsi="Arial" w:cs="Arial"/>
          <w:sz w:val="24"/>
          <w:szCs w:val="24"/>
        </w:rPr>
        <w:t>Ungvarsky, J. (2025). Activity theory (aging) | EBSCO. [online] EBSCO Information Services, Inc. | www.ebsco.com. Available at: https://www.ebsco.com/research-starters/sociology/activity-theory-aging [Accessed 10 Nov. 2025].</w:t>
      </w:r>
    </w:p>
    <w:p w14:paraId="039A56FA" w14:textId="67F77160" w:rsidR="009E310F" w:rsidRDefault="009E310F" w:rsidP="009E310F">
      <w:pPr>
        <w:rPr>
          <w:rFonts w:ascii="Arial" w:hAnsi="Arial" w:cs="Arial"/>
          <w:sz w:val="24"/>
          <w:szCs w:val="24"/>
        </w:rPr>
      </w:pPr>
      <w:r w:rsidRPr="009E310F">
        <w:rPr>
          <w:rFonts w:ascii="Arial" w:hAnsi="Arial" w:cs="Arial"/>
          <w:sz w:val="24"/>
          <w:szCs w:val="24"/>
        </w:rPr>
        <w:lastRenderedPageBreak/>
        <w:t xml:space="preserve">Wakefield, D., Bayly, J., Selman, L.E., Firth, A.M., Higginson, I.J. and Murtagh, F.E. (2018). Patient empowerment, what does it mean for adults in the advanced stages of a life-limiting illness: A systematic review using critical interpretive synthesis. Palliative Medicine, [online] 32(8), pp.1288–1304. </w:t>
      </w:r>
      <w:proofErr w:type="spellStart"/>
      <w:proofErr w:type="gramStart"/>
      <w:r w:rsidRPr="009E310F">
        <w:rPr>
          <w:rFonts w:ascii="Arial" w:hAnsi="Arial" w:cs="Arial"/>
          <w:sz w:val="24"/>
          <w:szCs w:val="24"/>
        </w:rPr>
        <w:t>doi:https</w:t>
      </w:r>
      <w:proofErr w:type="spellEnd"/>
      <w:r w:rsidRPr="009E310F">
        <w:rPr>
          <w:rFonts w:ascii="Arial" w:hAnsi="Arial" w:cs="Arial"/>
          <w:sz w:val="24"/>
          <w:szCs w:val="24"/>
        </w:rPr>
        <w:t>://doi.org/10.1177/0269216318783919</w:t>
      </w:r>
      <w:proofErr w:type="gramEnd"/>
      <w:r w:rsidRPr="009E310F">
        <w:rPr>
          <w:rFonts w:ascii="Arial" w:hAnsi="Arial" w:cs="Arial"/>
          <w:sz w:val="24"/>
          <w:szCs w:val="24"/>
        </w:rPr>
        <w:t>.</w:t>
      </w:r>
    </w:p>
    <w:p w14:paraId="7F54281B" w14:textId="77777777" w:rsidR="009E310F" w:rsidRPr="00EB6F36" w:rsidRDefault="009E310F" w:rsidP="009E310F">
      <w:pPr>
        <w:rPr>
          <w:rFonts w:ascii="Arial" w:hAnsi="Arial" w:cs="Arial"/>
          <w:sz w:val="24"/>
          <w:szCs w:val="24"/>
        </w:rPr>
      </w:pPr>
    </w:p>
    <w:sectPr w:rsidR="009E310F" w:rsidRPr="00EB6F36" w:rsidSect="00C46111">
      <w:headerReference w:type="default" r:id="rId15"/>
      <w:headerReference w:type="first" r:id="rId16"/>
      <w:pgSz w:w="15840" w:h="12240" w:orient="landscape" w:code="1"/>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02994C" w14:textId="77777777" w:rsidR="00F04F40" w:rsidRDefault="00F04F40" w:rsidP="00D210FA">
      <w:pPr>
        <w:spacing w:after="0"/>
      </w:pPr>
      <w:r>
        <w:separator/>
      </w:r>
    </w:p>
  </w:endnote>
  <w:endnote w:type="continuationSeparator" w:id="0">
    <w:p w14:paraId="0853217C" w14:textId="77777777" w:rsidR="00F04F40" w:rsidRDefault="00F04F40"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AD4A53" w14:textId="77777777" w:rsidR="00F04F40" w:rsidRDefault="00F04F40" w:rsidP="00D210FA">
      <w:pPr>
        <w:spacing w:after="0"/>
      </w:pPr>
      <w:r>
        <w:separator/>
      </w:r>
    </w:p>
  </w:footnote>
  <w:footnote w:type="continuationSeparator" w:id="0">
    <w:p w14:paraId="0093F2DF" w14:textId="77777777" w:rsidR="00F04F40" w:rsidRDefault="00F04F40"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02E2D97"/>
    <w:multiLevelType w:val="hybridMultilevel"/>
    <w:tmpl w:val="52EA3A8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6D35560A"/>
    <w:multiLevelType w:val="hybridMultilevel"/>
    <w:tmpl w:val="285C947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6E05173D"/>
    <w:multiLevelType w:val="hybridMultilevel"/>
    <w:tmpl w:val="8E86130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6F850DA6"/>
    <w:multiLevelType w:val="hybridMultilevel"/>
    <w:tmpl w:val="B950DC9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712B4ED4"/>
    <w:multiLevelType w:val="hybridMultilevel"/>
    <w:tmpl w:val="A84AAE6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98679987">
    <w:abstractNumId w:val="1"/>
  </w:num>
  <w:num w:numId="2" w16cid:durableId="364718780">
    <w:abstractNumId w:val="0"/>
  </w:num>
  <w:num w:numId="3" w16cid:durableId="1499155188">
    <w:abstractNumId w:val="10"/>
  </w:num>
  <w:num w:numId="4" w16cid:durableId="901526783">
    <w:abstractNumId w:val="11"/>
  </w:num>
  <w:num w:numId="5" w16cid:durableId="33502274">
    <w:abstractNumId w:val="4"/>
  </w:num>
  <w:num w:numId="6" w16cid:durableId="474447735">
    <w:abstractNumId w:val="3"/>
  </w:num>
  <w:num w:numId="7" w16cid:durableId="1120416483">
    <w:abstractNumId w:val="5"/>
  </w:num>
  <w:num w:numId="8" w16cid:durableId="1470315947">
    <w:abstractNumId w:val="6"/>
  </w:num>
  <w:num w:numId="9" w16cid:durableId="592322956">
    <w:abstractNumId w:val="9"/>
  </w:num>
  <w:num w:numId="10" w16cid:durableId="1086998040">
    <w:abstractNumId w:val="8"/>
  </w:num>
  <w:num w:numId="11" w16cid:durableId="1060397926">
    <w:abstractNumId w:val="2"/>
  </w:num>
  <w:num w:numId="12" w16cid:durableId="10710817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hyphenationZone w:val="425"/>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23293"/>
    <w:rsid w:val="00061977"/>
    <w:rsid w:val="00073A5E"/>
    <w:rsid w:val="0007422D"/>
    <w:rsid w:val="00083686"/>
    <w:rsid w:val="0008782A"/>
    <w:rsid w:val="000A065A"/>
    <w:rsid w:val="000F0727"/>
    <w:rsid w:val="00106FC5"/>
    <w:rsid w:val="00120DEC"/>
    <w:rsid w:val="00123C19"/>
    <w:rsid w:val="00127F31"/>
    <w:rsid w:val="0013383F"/>
    <w:rsid w:val="001A672F"/>
    <w:rsid w:val="001C55B6"/>
    <w:rsid w:val="001D6CC4"/>
    <w:rsid w:val="00206405"/>
    <w:rsid w:val="0024440C"/>
    <w:rsid w:val="00253267"/>
    <w:rsid w:val="002569C0"/>
    <w:rsid w:val="00267189"/>
    <w:rsid w:val="002823CD"/>
    <w:rsid w:val="00287787"/>
    <w:rsid w:val="00291685"/>
    <w:rsid w:val="002A1018"/>
    <w:rsid w:val="002B0A3D"/>
    <w:rsid w:val="003007A7"/>
    <w:rsid w:val="003257E1"/>
    <w:rsid w:val="00325DEC"/>
    <w:rsid w:val="0033499C"/>
    <w:rsid w:val="00346FFA"/>
    <w:rsid w:val="0036750B"/>
    <w:rsid w:val="00392CF6"/>
    <w:rsid w:val="003A3069"/>
    <w:rsid w:val="003A306E"/>
    <w:rsid w:val="003B71EE"/>
    <w:rsid w:val="003C20B5"/>
    <w:rsid w:val="003E545F"/>
    <w:rsid w:val="003F03D2"/>
    <w:rsid w:val="003F1E1A"/>
    <w:rsid w:val="003F6978"/>
    <w:rsid w:val="004045E5"/>
    <w:rsid w:val="00421496"/>
    <w:rsid w:val="00422C27"/>
    <w:rsid w:val="004429C5"/>
    <w:rsid w:val="0044367C"/>
    <w:rsid w:val="00445E49"/>
    <w:rsid w:val="004642F0"/>
    <w:rsid w:val="004645F8"/>
    <w:rsid w:val="004C4041"/>
    <w:rsid w:val="004D51B2"/>
    <w:rsid w:val="004F5917"/>
    <w:rsid w:val="00500564"/>
    <w:rsid w:val="0051102B"/>
    <w:rsid w:val="00512E89"/>
    <w:rsid w:val="00517812"/>
    <w:rsid w:val="005838BC"/>
    <w:rsid w:val="0059590A"/>
    <w:rsid w:val="005B57E1"/>
    <w:rsid w:val="005C2103"/>
    <w:rsid w:val="005E61E0"/>
    <w:rsid w:val="005F0F31"/>
    <w:rsid w:val="006024ED"/>
    <w:rsid w:val="0061237E"/>
    <w:rsid w:val="0061793F"/>
    <w:rsid w:val="0062123A"/>
    <w:rsid w:val="00626A39"/>
    <w:rsid w:val="00634071"/>
    <w:rsid w:val="0065635A"/>
    <w:rsid w:val="006605F8"/>
    <w:rsid w:val="006676A1"/>
    <w:rsid w:val="006833BD"/>
    <w:rsid w:val="006A08CA"/>
    <w:rsid w:val="006D2642"/>
    <w:rsid w:val="006E2D42"/>
    <w:rsid w:val="00720FEE"/>
    <w:rsid w:val="007275C3"/>
    <w:rsid w:val="007300B1"/>
    <w:rsid w:val="00764B6F"/>
    <w:rsid w:val="00781054"/>
    <w:rsid w:val="007C7319"/>
    <w:rsid w:val="007D43B3"/>
    <w:rsid w:val="007E7754"/>
    <w:rsid w:val="007F20B4"/>
    <w:rsid w:val="007F525E"/>
    <w:rsid w:val="0081082E"/>
    <w:rsid w:val="00824C1D"/>
    <w:rsid w:val="0082695D"/>
    <w:rsid w:val="0083044C"/>
    <w:rsid w:val="00847CFA"/>
    <w:rsid w:val="0085182D"/>
    <w:rsid w:val="0086192C"/>
    <w:rsid w:val="00867E5F"/>
    <w:rsid w:val="008709F5"/>
    <w:rsid w:val="00877A91"/>
    <w:rsid w:val="00884E86"/>
    <w:rsid w:val="00887CE3"/>
    <w:rsid w:val="008927FF"/>
    <w:rsid w:val="008A5FA5"/>
    <w:rsid w:val="008B0F18"/>
    <w:rsid w:val="008D6C80"/>
    <w:rsid w:val="008E3921"/>
    <w:rsid w:val="0090027B"/>
    <w:rsid w:val="00905238"/>
    <w:rsid w:val="0094702A"/>
    <w:rsid w:val="00967DAB"/>
    <w:rsid w:val="0097678C"/>
    <w:rsid w:val="00990E76"/>
    <w:rsid w:val="00991A53"/>
    <w:rsid w:val="00996F4E"/>
    <w:rsid w:val="009A7970"/>
    <w:rsid w:val="009C6651"/>
    <w:rsid w:val="009E310F"/>
    <w:rsid w:val="009F71FE"/>
    <w:rsid w:val="00A31F33"/>
    <w:rsid w:val="00A70A62"/>
    <w:rsid w:val="00A71DA8"/>
    <w:rsid w:val="00A844D6"/>
    <w:rsid w:val="00AB1210"/>
    <w:rsid w:val="00AB770D"/>
    <w:rsid w:val="00AC1C7F"/>
    <w:rsid w:val="00AF2088"/>
    <w:rsid w:val="00AF5FB0"/>
    <w:rsid w:val="00B0080A"/>
    <w:rsid w:val="00B0538C"/>
    <w:rsid w:val="00B37AB8"/>
    <w:rsid w:val="00B418DE"/>
    <w:rsid w:val="00B47FE7"/>
    <w:rsid w:val="00B67824"/>
    <w:rsid w:val="00BB055B"/>
    <w:rsid w:val="00BE15BA"/>
    <w:rsid w:val="00C20ED0"/>
    <w:rsid w:val="00C25E74"/>
    <w:rsid w:val="00C348A8"/>
    <w:rsid w:val="00C46111"/>
    <w:rsid w:val="00C54E50"/>
    <w:rsid w:val="00C83332"/>
    <w:rsid w:val="00C95E04"/>
    <w:rsid w:val="00CC0A8F"/>
    <w:rsid w:val="00CC24B6"/>
    <w:rsid w:val="00CD3A64"/>
    <w:rsid w:val="00CE08CD"/>
    <w:rsid w:val="00CE6CA9"/>
    <w:rsid w:val="00D05B4C"/>
    <w:rsid w:val="00D0664A"/>
    <w:rsid w:val="00D210FA"/>
    <w:rsid w:val="00D30F1D"/>
    <w:rsid w:val="00D57231"/>
    <w:rsid w:val="00D62DF6"/>
    <w:rsid w:val="00D87B48"/>
    <w:rsid w:val="00D91203"/>
    <w:rsid w:val="00D94FD1"/>
    <w:rsid w:val="00DB526D"/>
    <w:rsid w:val="00DC00BD"/>
    <w:rsid w:val="00DD6F63"/>
    <w:rsid w:val="00E41692"/>
    <w:rsid w:val="00E55D74"/>
    <w:rsid w:val="00E81234"/>
    <w:rsid w:val="00E9037E"/>
    <w:rsid w:val="00EA120D"/>
    <w:rsid w:val="00EA49C3"/>
    <w:rsid w:val="00EB5E14"/>
    <w:rsid w:val="00EB6F36"/>
    <w:rsid w:val="00ED1049"/>
    <w:rsid w:val="00EE19D9"/>
    <w:rsid w:val="00EF26FC"/>
    <w:rsid w:val="00F029C4"/>
    <w:rsid w:val="00F04F40"/>
    <w:rsid w:val="00F37523"/>
    <w:rsid w:val="00F42ED0"/>
    <w:rsid w:val="00F50168"/>
    <w:rsid w:val="00F50D34"/>
    <w:rsid w:val="00F61360"/>
    <w:rsid w:val="00F726C6"/>
    <w:rsid w:val="00FB49B9"/>
    <w:rsid w:val="00FC538A"/>
    <w:rsid w:val="00FE2B9F"/>
    <w:rsid w:val="00FF3C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14:defaultImageDpi w14:val="32767"/>
  <w15:chartTrackingRefBased/>
  <w15:docId w15:val="{72B1A063-1C3E-40A7-A6EE-AFA62CF83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semiHidden/>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288429">
      <w:bodyDiv w:val="1"/>
      <w:marLeft w:val="0"/>
      <w:marRight w:val="0"/>
      <w:marTop w:val="0"/>
      <w:marBottom w:val="0"/>
      <w:divBdr>
        <w:top w:val="none" w:sz="0" w:space="0" w:color="auto"/>
        <w:left w:val="none" w:sz="0" w:space="0" w:color="auto"/>
        <w:bottom w:val="none" w:sz="0" w:space="0" w:color="auto"/>
        <w:right w:val="none" w:sz="0" w:space="0" w:color="auto"/>
      </w:divBdr>
    </w:div>
    <w:div w:id="1162240338">
      <w:bodyDiv w:val="1"/>
      <w:marLeft w:val="0"/>
      <w:marRight w:val="0"/>
      <w:marTop w:val="0"/>
      <w:marBottom w:val="0"/>
      <w:divBdr>
        <w:top w:val="none" w:sz="0" w:space="0" w:color="auto"/>
        <w:left w:val="none" w:sz="0" w:space="0" w:color="auto"/>
        <w:bottom w:val="none" w:sz="0" w:space="0" w:color="auto"/>
        <w:right w:val="none" w:sz="0" w:space="0" w:color="auto"/>
      </w:divBdr>
      <w:divsChild>
        <w:div w:id="955217223">
          <w:marLeft w:val="0"/>
          <w:marRight w:val="0"/>
          <w:marTop w:val="0"/>
          <w:marBottom w:val="0"/>
          <w:divBdr>
            <w:top w:val="none" w:sz="0" w:space="0" w:color="auto"/>
            <w:left w:val="none" w:sz="0" w:space="0" w:color="auto"/>
            <w:bottom w:val="none" w:sz="0" w:space="0" w:color="auto"/>
            <w:right w:val="none" w:sz="0" w:space="0" w:color="auto"/>
          </w:divBdr>
        </w:div>
      </w:divsChild>
    </w:div>
    <w:div w:id="1214341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Props1.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2.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4.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Education brochure</Template>
  <TotalTime>1</TotalTime>
  <Pages>5</Pages>
  <Words>1331</Words>
  <Characters>7593</Characters>
  <Application>Microsoft Office Word</Application>
  <DocSecurity>0</DocSecurity>
  <Lines>63</Lines>
  <Paragraphs>17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Polac</dc:creator>
  <cp:keywords/>
  <dc:description/>
  <cp:lastModifiedBy>Andrea-Ramona Polac (2130206)</cp:lastModifiedBy>
  <cp:revision>2</cp:revision>
  <dcterms:created xsi:type="dcterms:W3CDTF">2025-11-12T09:11:00Z</dcterms:created>
  <dcterms:modified xsi:type="dcterms:W3CDTF">2025-11-12T09:11:00Z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