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09C" w:rsidRPr="00EE4546" w:rsidRDefault="000E709C" w:rsidP="00D8042F">
      <w:pPr>
        <w:jc w:val="center"/>
        <w:rPr>
          <w:rStyle w:val="BookTitle"/>
          <w:sz w:val="28"/>
        </w:rPr>
      </w:pPr>
      <w:r w:rsidRPr="00EE4546">
        <w:rPr>
          <w:rStyle w:val="BookTitle"/>
          <w:sz w:val="28"/>
        </w:rPr>
        <w:t>AHSK6004: dissertation</w:t>
      </w:r>
    </w:p>
    <w:p w:rsidR="000E709C" w:rsidRPr="00EE4546" w:rsidRDefault="000E709C" w:rsidP="00D8042F">
      <w:pPr>
        <w:rPr>
          <w:rStyle w:val="BookTitle"/>
        </w:rPr>
      </w:pPr>
      <w:r w:rsidRPr="00EE4546">
        <w:rPr>
          <w:rStyle w:val="BookTitle"/>
        </w:rPr>
        <w:t>“common ground: tracing the developm</w:t>
      </w:r>
      <w:r>
        <w:rPr>
          <w:rStyle w:val="BookTitle"/>
        </w:rPr>
        <w:t>ent of a scandinavian identity in the late medieval period 1300 – 1453”</w:t>
      </w:r>
    </w:p>
    <w:p w:rsidR="000E709C" w:rsidRDefault="000E709C">
      <w:pPr>
        <w:rPr>
          <w:rStyle w:val="BookTitle"/>
        </w:rPr>
      </w:pPr>
      <w:r>
        <w:rPr>
          <w:b/>
          <w:bCs/>
          <w:smallCaps/>
          <w:noProof/>
          <w:spacing w:val="5"/>
          <w:lang w:eastAsia="en-GB"/>
        </w:rPr>
        <w:drawing>
          <wp:anchor distT="0" distB="0" distL="114300" distR="114300" simplePos="0" relativeHeight="251659264" behindDoc="0" locked="0" layoutInCell="1" allowOverlap="1" wp14:anchorId="79BC7BBF" wp14:editId="4EE438DC">
            <wp:simplePos x="0" y="0"/>
            <wp:positionH relativeFrom="column">
              <wp:posOffset>120650</wp:posOffset>
            </wp:positionH>
            <wp:positionV relativeFrom="paragraph">
              <wp:posOffset>24765</wp:posOffset>
            </wp:positionV>
            <wp:extent cx="4218305" cy="632079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lre_Folio_55v.jpg"/>
                    <pic:cNvPicPr/>
                  </pic:nvPicPr>
                  <pic:blipFill>
                    <a:blip r:embed="rId9">
                      <a:extLst>
                        <a:ext uri="{28A0092B-C50C-407E-A947-70E740481C1C}">
                          <a14:useLocalDpi xmlns:a14="http://schemas.microsoft.com/office/drawing/2010/main" val="0"/>
                        </a:ext>
                      </a:extLst>
                    </a:blip>
                    <a:stretch>
                      <a:fillRect/>
                    </a:stretch>
                  </pic:blipFill>
                  <pic:spPr>
                    <a:xfrm>
                      <a:off x="0" y="0"/>
                      <a:ext cx="4218305" cy="6320790"/>
                    </a:xfrm>
                    <a:prstGeom prst="rect">
                      <a:avLst/>
                    </a:prstGeom>
                  </pic:spPr>
                </pic:pic>
              </a:graphicData>
            </a:graphic>
            <wp14:sizeRelH relativeFrom="page">
              <wp14:pctWidth>0</wp14:pctWidth>
            </wp14:sizeRelH>
            <wp14:sizeRelV relativeFrom="page">
              <wp14:pctHeight>0</wp14:pctHeight>
            </wp14:sizeRelV>
          </wp:anchor>
        </w:drawing>
      </w:r>
    </w:p>
    <w:p w:rsidR="000E709C" w:rsidRPr="001D5E62" w:rsidRDefault="000E709C">
      <w:pPr>
        <w:rPr>
          <w:rStyle w:val="Emphasis"/>
          <w:b/>
        </w:rPr>
      </w:pPr>
      <w:r w:rsidRPr="001D5E62">
        <w:rPr>
          <w:rStyle w:val="Emphasis"/>
          <w:b/>
        </w:rPr>
        <w:t>Written and submitted by Vincent Gary Hingley (1501141) in partial fulfilment of a Bachelor’s degree, Single Honours in Ancient &amp; Medieval History, At University of Wales Trinity Saint David, Lampeter, May 2018</w:t>
      </w:r>
    </w:p>
    <w:p w:rsidR="000E709C" w:rsidRDefault="000E709C" w:rsidP="00D8042F">
      <w:pPr>
        <w:rPr>
          <w:rStyle w:val="BookTitle"/>
        </w:rPr>
      </w:pPr>
    </w:p>
    <w:p w:rsidR="000E709C" w:rsidRDefault="000E709C" w:rsidP="00D8042F">
      <w:pPr>
        <w:rPr>
          <w:rStyle w:val="BookTitle"/>
        </w:rPr>
      </w:pPr>
    </w:p>
    <w:p w:rsidR="000E709C" w:rsidRDefault="000E709C" w:rsidP="00D8042F">
      <w:pPr>
        <w:rPr>
          <w:rStyle w:val="Emphasis"/>
        </w:rPr>
      </w:pPr>
      <w:r w:rsidRPr="00AF3624">
        <w:rPr>
          <w:rStyle w:val="Emphasis"/>
        </w:rPr>
        <w:lastRenderedPageBreak/>
        <w:t xml:space="preserve">Cover image: the </w:t>
      </w:r>
      <w:r>
        <w:rPr>
          <w:rStyle w:val="Emphasis"/>
        </w:rPr>
        <w:t>coat of arms of Valdemar IV Atterdag (1320 – 1375)</w:t>
      </w:r>
      <w:r w:rsidRPr="00AF3624">
        <w:rPr>
          <w:rStyle w:val="Emphasis"/>
        </w:rPr>
        <w:t xml:space="preserve"> as depicted in the </w:t>
      </w:r>
      <w:r>
        <w:rPr>
          <w:rStyle w:val="Emphasis"/>
        </w:rPr>
        <w:t>Gelre A</w:t>
      </w:r>
      <w:r w:rsidRPr="00AF3624">
        <w:rPr>
          <w:rStyle w:val="Emphasis"/>
        </w:rPr>
        <w:t>rmorial</w:t>
      </w:r>
      <w:r>
        <w:rPr>
          <w:rStyle w:val="Emphasis"/>
        </w:rPr>
        <w:t>, c. 1370-96, compiled by Caes Heinezoon (1335 – 1414)</w:t>
      </w:r>
      <w:r w:rsidRPr="00AF3624">
        <w:rPr>
          <w:rStyle w:val="Emphasis"/>
        </w:rPr>
        <w:t xml:space="preserve"> on behalf of William</w:t>
      </w:r>
      <w:r>
        <w:rPr>
          <w:rStyle w:val="Emphasis"/>
        </w:rPr>
        <w:t>, duke of Gelders and J</w:t>
      </w:r>
      <w:r w:rsidRPr="00AF3624">
        <w:rPr>
          <w:rStyle w:val="Emphasis"/>
        </w:rPr>
        <w:t xml:space="preserve">ülich (1365 – 1402); this is the earliest depiction of the Danish flag known to scholars. </w:t>
      </w:r>
      <w:r>
        <w:rPr>
          <w:rStyle w:val="Emphasis"/>
        </w:rPr>
        <w:t>Folio 55v.</w:t>
      </w:r>
    </w:p>
    <w:p w:rsidR="000E709C" w:rsidRDefault="000E709C" w:rsidP="00D8042F">
      <w:pPr>
        <w:rPr>
          <w:rStyle w:val="Emphasis"/>
        </w:rPr>
      </w:pPr>
    </w:p>
    <w:p w:rsidR="000E709C" w:rsidRDefault="000E709C" w:rsidP="00D8042F">
      <w:pPr>
        <w:rPr>
          <w:rStyle w:val="Emphasis"/>
        </w:rPr>
      </w:pPr>
    </w:p>
    <w:p w:rsidR="000E709C" w:rsidRDefault="000E709C">
      <w:pPr>
        <w:rPr>
          <w:rStyle w:val="Emphasis"/>
        </w:rPr>
      </w:pPr>
      <w:r>
        <w:rPr>
          <w:rStyle w:val="Emphasis"/>
        </w:rPr>
        <w:br w:type="page"/>
      </w:r>
    </w:p>
    <w:p w:rsidR="000E709C" w:rsidRDefault="000E709C" w:rsidP="00D8042F">
      <w:pPr>
        <w:pStyle w:val="NormalWeb"/>
        <w:spacing w:before="0" w:beforeAutospacing="0" w:after="0" w:afterAutospacing="0"/>
        <w:ind w:left="-180" w:right="-334"/>
        <w:rPr>
          <w:rFonts w:ascii="Trebuchet MS" w:hAnsi="Trebuchet MS" w:cs="Tahoma"/>
          <w:sz w:val="24"/>
          <w:szCs w:val="24"/>
        </w:rPr>
      </w:pPr>
      <w:r>
        <w:rPr>
          <w:noProof/>
          <w:lang w:eastAsia="en-GB"/>
        </w:rPr>
        <w:lastRenderedPageBreak/>
        <w:drawing>
          <wp:inline distT="0" distB="0" distL="0" distR="0" wp14:anchorId="68817877" wp14:editId="49F7671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0E709C" w:rsidRDefault="000E709C" w:rsidP="00D8042F">
      <w:pPr>
        <w:pStyle w:val="Heading1"/>
        <w:rPr>
          <w:lang w:val="cy-GB"/>
        </w:rPr>
      </w:pPr>
      <w:bookmarkStart w:id="0" w:name="_Toc513795177"/>
      <w:r>
        <w:rPr>
          <w:lang w:val="cy-GB"/>
        </w:rPr>
        <w:t xml:space="preserve">Undergraduate Dissertation </w:t>
      </w:r>
      <w:r w:rsidRPr="0065654E">
        <w:rPr>
          <w:lang w:val="cy-GB"/>
        </w:rPr>
        <w:t>coversheet</w:t>
      </w:r>
      <w:r>
        <w:rPr>
          <w:lang w:val="cy-GB"/>
        </w:rPr>
        <w:t xml:space="preserve"> &amp; </w:t>
      </w:r>
      <w:r w:rsidRPr="0065654E">
        <w:rPr>
          <w:lang w:val="cy-GB"/>
        </w:rPr>
        <w:t>feedback form</w:t>
      </w:r>
      <w:bookmarkEnd w:id="0"/>
    </w:p>
    <w:p w:rsidR="000E709C" w:rsidRPr="002E67CE" w:rsidRDefault="000E709C" w:rsidP="00D8042F">
      <w:pPr>
        <w:rPr>
          <w:lang w:val="cy-GB"/>
        </w:rPr>
      </w:pPr>
    </w:p>
    <w:p w:rsidR="000E709C" w:rsidRDefault="000E709C" w:rsidP="00D8042F">
      <w:pPr>
        <w:pStyle w:val="Heading3"/>
        <w:ind w:left="0"/>
        <w:rPr>
          <w:rFonts w:ascii="Trebuchet MS" w:hAnsi="Trebuchet MS"/>
        </w:rPr>
      </w:pPr>
      <w:bookmarkStart w:id="1" w:name="_Toc513795178"/>
      <w:r>
        <w:rPr>
          <w:lang w:val="cy-GB"/>
        </w:rPr>
        <w:t>PLEASE COMPLETE THE TOP SECTION OF THIS FORM  AND SUBMIT ONE COPY WITH YOUR DISSERTATION</w:t>
      </w:r>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0E709C" w:rsidRPr="002F467C" w:rsidTr="00D8042F">
        <w:trPr>
          <w:gridAfter w:val="1"/>
          <w:wAfter w:w="101" w:type="dxa"/>
          <w:trHeight w:val="614"/>
        </w:trPr>
        <w:tc>
          <w:tcPr>
            <w:tcW w:w="8755" w:type="dxa"/>
            <w:gridSpan w:val="6"/>
          </w:tcPr>
          <w:p w:rsidR="000E709C" w:rsidRPr="002F467C" w:rsidRDefault="000E709C" w:rsidP="00D8042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0E709C" w:rsidRPr="002F467C" w:rsidTr="00D8042F">
        <w:trPr>
          <w:gridAfter w:val="1"/>
          <w:wAfter w:w="101" w:type="dxa"/>
          <w:trHeight w:val="718"/>
        </w:trPr>
        <w:tc>
          <w:tcPr>
            <w:tcW w:w="8755" w:type="dxa"/>
            <w:gridSpan w:val="6"/>
          </w:tcPr>
          <w:p w:rsidR="000E709C" w:rsidRPr="002F467C" w:rsidRDefault="000E709C" w:rsidP="00D8042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p>
          <w:p w:rsidR="000E709C" w:rsidRDefault="000E709C" w:rsidP="00D8042F">
            <w:pPr>
              <w:pStyle w:val="NormalWeb"/>
              <w:spacing w:before="0" w:beforeAutospacing="0" w:after="0" w:afterAutospacing="0"/>
              <w:ind w:right="34"/>
              <w:rPr>
                <w:rFonts w:ascii="Calibri" w:hAnsi="Calibri" w:cs="Tahoma"/>
                <w:i/>
                <w:sz w:val="24"/>
                <w:szCs w:val="24"/>
              </w:rPr>
            </w:pPr>
          </w:p>
          <w:p w:rsidR="000E709C" w:rsidRPr="002F467C" w:rsidRDefault="000E709C" w:rsidP="00D8042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p>
        </w:tc>
      </w:tr>
      <w:tr w:rsidR="000E709C" w:rsidRPr="002F467C" w:rsidTr="00D8042F">
        <w:trPr>
          <w:gridAfter w:val="1"/>
          <w:wAfter w:w="101" w:type="dxa"/>
          <w:trHeight w:val="849"/>
        </w:trPr>
        <w:tc>
          <w:tcPr>
            <w:tcW w:w="4788" w:type="dxa"/>
          </w:tcPr>
          <w:p w:rsidR="000E709C" w:rsidRDefault="000E709C" w:rsidP="00D8042F">
            <w:pPr>
              <w:pStyle w:val="NormalWeb"/>
              <w:spacing w:before="0" w:beforeAutospacing="0" w:after="0" w:afterAutospacing="0"/>
              <w:ind w:right="34"/>
              <w:rPr>
                <w:rFonts w:ascii="Calibri" w:hAnsi="Calibri" w:cs="Tahoma"/>
                <w:i/>
                <w:sz w:val="24"/>
                <w:szCs w:val="24"/>
              </w:rPr>
            </w:pPr>
          </w:p>
          <w:p w:rsidR="000E709C" w:rsidRPr="002F467C" w:rsidRDefault="000E709C" w:rsidP="00D8042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p>
        </w:tc>
        <w:tc>
          <w:tcPr>
            <w:tcW w:w="2266" w:type="dxa"/>
            <w:gridSpan w:val="4"/>
          </w:tcPr>
          <w:p w:rsidR="000E709C" w:rsidRPr="002F467C" w:rsidRDefault="000E709C" w:rsidP="00D8042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tc>
        <w:tc>
          <w:tcPr>
            <w:tcW w:w="1701" w:type="dxa"/>
          </w:tcPr>
          <w:p w:rsidR="000E709C" w:rsidRPr="002F467C" w:rsidRDefault="000E709C" w:rsidP="00D8042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0E709C" w:rsidRPr="002F467C" w:rsidRDefault="000E709C" w:rsidP="00D8042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Yes/No</w:t>
            </w:r>
          </w:p>
        </w:tc>
      </w:tr>
      <w:tr w:rsidR="000E709C" w:rsidRPr="002F467C" w:rsidTr="00D8042F">
        <w:trPr>
          <w:gridAfter w:val="1"/>
          <w:wAfter w:w="101" w:type="dxa"/>
          <w:trHeight w:val="820"/>
        </w:trPr>
        <w:tc>
          <w:tcPr>
            <w:tcW w:w="8755" w:type="dxa"/>
            <w:gridSpan w:val="6"/>
          </w:tcPr>
          <w:p w:rsidR="000E709C" w:rsidRPr="002F467C" w:rsidRDefault="000E709C" w:rsidP="00D8042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tc>
      </w:tr>
      <w:tr w:rsidR="000E709C" w:rsidRPr="002F467C" w:rsidTr="00D8042F">
        <w:trPr>
          <w:gridAfter w:val="1"/>
          <w:wAfter w:w="101" w:type="dxa"/>
          <w:trHeight w:val="539"/>
        </w:trPr>
        <w:tc>
          <w:tcPr>
            <w:tcW w:w="5495" w:type="dxa"/>
            <w:gridSpan w:val="3"/>
            <w:tcBorders>
              <w:bottom w:val="single" w:sz="4" w:space="0" w:color="000000"/>
            </w:tcBorders>
          </w:tcPr>
          <w:p w:rsidR="000E709C" w:rsidRPr="002F467C" w:rsidRDefault="000E709C" w:rsidP="00D8042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p>
        </w:tc>
        <w:tc>
          <w:tcPr>
            <w:tcW w:w="3260" w:type="dxa"/>
            <w:gridSpan w:val="3"/>
            <w:tcBorders>
              <w:bottom w:val="single" w:sz="4" w:space="0" w:color="000000"/>
            </w:tcBorders>
          </w:tcPr>
          <w:p w:rsidR="000E709C" w:rsidRPr="002F467C" w:rsidRDefault="000E709C" w:rsidP="00D8042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p>
        </w:tc>
      </w:tr>
      <w:tr w:rsidR="000E709C" w:rsidRPr="002F467C" w:rsidTr="00D8042F">
        <w:trPr>
          <w:gridAfter w:val="1"/>
          <w:wAfter w:w="101" w:type="dxa"/>
          <w:trHeight w:val="978"/>
        </w:trPr>
        <w:tc>
          <w:tcPr>
            <w:tcW w:w="8755" w:type="dxa"/>
            <w:gridSpan w:val="6"/>
            <w:shd w:val="clear" w:color="auto" w:fill="D9D9D9"/>
          </w:tcPr>
          <w:p w:rsidR="000E709C" w:rsidRPr="002F467C" w:rsidRDefault="000E709C" w:rsidP="00D8042F">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rsidR="000E709C" w:rsidRPr="002F467C" w:rsidRDefault="000E709C" w:rsidP="00D8042F">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p>
        </w:tc>
      </w:tr>
      <w:tr w:rsidR="000E709C" w:rsidRPr="002F467C" w:rsidTr="00D8042F">
        <w:trPr>
          <w:gridAfter w:val="1"/>
          <w:wAfter w:w="101" w:type="dxa"/>
          <w:trHeight w:val="3972"/>
        </w:trPr>
        <w:tc>
          <w:tcPr>
            <w:tcW w:w="8755" w:type="dxa"/>
            <w:gridSpan w:val="6"/>
          </w:tcPr>
          <w:p w:rsidR="000E709C" w:rsidRPr="002F467C" w:rsidRDefault="000E709C" w:rsidP="00D8042F">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0E709C" w:rsidRDefault="000E709C" w:rsidP="00D8042F">
            <w:pPr>
              <w:pStyle w:val="NormalWeb"/>
              <w:rPr>
                <w:rFonts w:ascii="Calibri" w:hAnsi="Calibri" w:cs="Tahoma"/>
                <w:i/>
                <w:sz w:val="24"/>
                <w:szCs w:val="24"/>
              </w:rPr>
            </w:pPr>
            <w:r w:rsidRPr="002F467C">
              <w:rPr>
                <w:rFonts w:ascii="Calibri" w:hAnsi="Calibri" w:cs="Tahoma"/>
                <w:i/>
                <w:sz w:val="24"/>
                <w:szCs w:val="24"/>
              </w:rPr>
              <w:t>Comments:</w:t>
            </w:r>
          </w:p>
          <w:p w:rsidR="000E709C" w:rsidRDefault="000E709C" w:rsidP="00D8042F">
            <w:pPr>
              <w:pStyle w:val="NormalWeb"/>
              <w:rPr>
                <w:rFonts w:ascii="Calibri" w:hAnsi="Calibri" w:cs="Tahoma"/>
                <w:i/>
                <w:sz w:val="24"/>
                <w:szCs w:val="24"/>
              </w:rPr>
            </w:pPr>
          </w:p>
          <w:p w:rsidR="000E709C" w:rsidRDefault="000E709C" w:rsidP="00D8042F">
            <w:pPr>
              <w:pStyle w:val="NormalWeb"/>
              <w:rPr>
                <w:rFonts w:ascii="Calibri" w:hAnsi="Calibri" w:cs="Tahoma"/>
                <w:i/>
                <w:sz w:val="24"/>
                <w:szCs w:val="24"/>
              </w:rPr>
            </w:pPr>
          </w:p>
          <w:p w:rsidR="000E709C" w:rsidRDefault="000E709C" w:rsidP="00D8042F">
            <w:pPr>
              <w:pStyle w:val="NormalWeb"/>
              <w:rPr>
                <w:rFonts w:ascii="Calibri" w:hAnsi="Calibri" w:cs="Tahoma"/>
                <w:i/>
                <w:sz w:val="24"/>
                <w:szCs w:val="24"/>
              </w:rPr>
            </w:pPr>
          </w:p>
          <w:p w:rsidR="000E709C" w:rsidRDefault="000E709C" w:rsidP="00D8042F">
            <w:pPr>
              <w:pStyle w:val="NormalWeb"/>
              <w:rPr>
                <w:rFonts w:ascii="Calibri" w:hAnsi="Calibri" w:cs="Tahoma"/>
                <w:i/>
                <w:sz w:val="24"/>
                <w:szCs w:val="24"/>
              </w:rPr>
            </w:pPr>
          </w:p>
          <w:p w:rsidR="000E709C" w:rsidRDefault="000E709C" w:rsidP="00D8042F">
            <w:pPr>
              <w:pStyle w:val="NormalWeb"/>
              <w:rPr>
                <w:rFonts w:ascii="Calibri" w:hAnsi="Calibri" w:cs="Tahoma"/>
                <w:i/>
                <w:sz w:val="24"/>
                <w:szCs w:val="24"/>
              </w:rPr>
            </w:pPr>
          </w:p>
          <w:p w:rsidR="000E709C" w:rsidRDefault="000E709C" w:rsidP="00D8042F">
            <w:pPr>
              <w:pStyle w:val="NormalWeb"/>
              <w:rPr>
                <w:rFonts w:ascii="Calibri" w:hAnsi="Calibri" w:cs="Tahoma"/>
                <w:i/>
                <w:sz w:val="24"/>
                <w:szCs w:val="24"/>
              </w:rPr>
            </w:pPr>
          </w:p>
          <w:p w:rsidR="000E709C" w:rsidRPr="002F467C" w:rsidRDefault="000E709C" w:rsidP="00D8042F">
            <w:pPr>
              <w:pStyle w:val="NormalWeb"/>
              <w:rPr>
                <w:rFonts w:ascii="Calibri" w:hAnsi="Calibri" w:cs="Tahoma"/>
                <w:i/>
                <w:sz w:val="24"/>
                <w:szCs w:val="24"/>
              </w:rPr>
            </w:pPr>
          </w:p>
        </w:tc>
      </w:tr>
      <w:tr w:rsidR="000E709C" w:rsidRPr="002F467C" w:rsidTr="00D8042F">
        <w:trPr>
          <w:gridAfter w:val="1"/>
          <w:wAfter w:w="101" w:type="dxa"/>
          <w:trHeight w:val="492"/>
        </w:trPr>
        <w:tc>
          <w:tcPr>
            <w:tcW w:w="6768" w:type="dxa"/>
            <w:gridSpan w:val="4"/>
          </w:tcPr>
          <w:p w:rsidR="000E709C" w:rsidRPr="00B12C4F" w:rsidRDefault="000E709C" w:rsidP="00D8042F">
            <w:pPr>
              <w:pStyle w:val="NormalWeb"/>
              <w:ind w:left="142" w:right="34"/>
              <w:rPr>
                <w:rFonts w:ascii="Calibri" w:hAnsi="Calibri" w:cs="Tahoma"/>
                <w:sz w:val="24"/>
                <w:szCs w:val="24"/>
              </w:rPr>
            </w:pPr>
            <w:r w:rsidRPr="00B12C4F">
              <w:rPr>
                <w:rFonts w:ascii="Calibri" w:hAnsi="Calibri" w:cs="Tahoma"/>
                <w:sz w:val="24"/>
                <w:szCs w:val="24"/>
              </w:rPr>
              <w:t>First Marker’s Mark:</w:t>
            </w:r>
          </w:p>
          <w:p w:rsidR="000E709C" w:rsidRPr="002F467C" w:rsidRDefault="000E709C" w:rsidP="00D8042F">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rsidR="000E709C" w:rsidRPr="002F467C" w:rsidRDefault="000E709C" w:rsidP="00D8042F">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0E709C" w:rsidRPr="002F467C" w:rsidTr="00D8042F">
        <w:tc>
          <w:tcPr>
            <w:tcW w:w="8856" w:type="dxa"/>
            <w:gridSpan w:val="7"/>
          </w:tcPr>
          <w:p w:rsidR="000E709C" w:rsidRPr="002F467C" w:rsidRDefault="000E709C" w:rsidP="00D8042F">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tc>
      </w:tr>
      <w:tr w:rsidR="000E709C" w:rsidRPr="002F467C" w:rsidTr="00D8042F">
        <w:trPr>
          <w:trHeight w:val="720"/>
        </w:trPr>
        <w:tc>
          <w:tcPr>
            <w:tcW w:w="5211" w:type="dxa"/>
            <w:gridSpan w:val="2"/>
          </w:tcPr>
          <w:p w:rsidR="000E709C" w:rsidRDefault="000E709C" w:rsidP="00D8042F">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rsidR="000E709C" w:rsidRPr="002F467C" w:rsidRDefault="000E709C" w:rsidP="00D8042F">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rsidR="000E709C" w:rsidRPr="002F467C" w:rsidRDefault="000E709C" w:rsidP="00D8042F">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0E709C" w:rsidRPr="002F467C" w:rsidTr="00D8042F">
        <w:trPr>
          <w:trHeight w:val="720"/>
        </w:trPr>
        <w:tc>
          <w:tcPr>
            <w:tcW w:w="8856" w:type="dxa"/>
            <w:gridSpan w:val="7"/>
          </w:tcPr>
          <w:p w:rsidR="000E709C" w:rsidRPr="00C87244" w:rsidRDefault="000E709C" w:rsidP="00D8042F">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0E709C" w:rsidRPr="00C87244" w:rsidRDefault="000E709C" w:rsidP="00D8042F">
            <w:pPr>
              <w:pStyle w:val="NormalWeb"/>
              <w:spacing w:before="0" w:beforeAutospacing="0" w:after="0" w:afterAutospacing="0"/>
              <w:ind w:left="142" w:right="34"/>
              <w:rPr>
                <w:rFonts w:ascii="Calibri" w:hAnsi="Calibri" w:cs="Tahoma"/>
                <w:b/>
                <w:i/>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tc>
      </w:tr>
    </w:tbl>
    <w:p w:rsidR="000E709C" w:rsidRDefault="000E709C" w:rsidP="00D8042F">
      <w:pPr>
        <w:pStyle w:val="NormalWeb"/>
        <w:spacing w:before="0" w:beforeAutospacing="0" w:after="0" w:afterAutospacing="0"/>
        <w:ind w:right="-334"/>
        <w:rPr>
          <w:rFonts w:ascii="Trebuchet MS" w:hAnsi="Trebuchet MS" w:cs="Tahoma"/>
          <w:bCs/>
          <w:sz w:val="24"/>
          <w:szCs w:val="24"/>
        </w:rPr>
      </w:pPr>
    </w:p>
    <w:p w:rsidR="000E709C" w:rsidRDefault="000E709C" w:rsidP="00D8042F">
      <w:pPr>
        <w:pStyle w:val="NormalWeb"/>
        <w:spacing w:before="0" w:beforeAutospacing="0" w:after="0" w:afterAutospacing="0"/>
        <w:ind w:right="-334"/>
        <w:rPr>
          <w:rFonts w:ascii="Trebuchet MS" w:hAnsi="Trebuchet MS" w:cs="Tahoma"/>
          <w:bCs/>
          <w:sz w:val="24"/>
          <w:szCs w:val="24"/>
        </w:rPr>
      </w:pPr>
    </w:p>
    <w:p w:rsidR="000E709C" w:rsidRDefault="000E709C" w:rsidP="00D8042F">
      <w:pPr>
        <w:pStyle w:val="NormalWeb"/>
        <w:spacing w:before="0" w:beforeAutospacing="0" w:after="0" w:afterAutospacing="0"/>
        <w:ind w:right="-334"/>
        <w:rPr>
          <w:rFonts w:ascii="Trebuchet MS" w:hAnsi="Trebuchet MS" w:cs="Tahoma"/>
          <w:bCs/>
          <w:sz w:val="24"/>
          <w:szCs w:val="24"/>
        </w:rPr>
      </w:pPr>
    </w:p>
    <w:p w:rsidR="000E709C" w:rsidRDefault="000E709C" w:rsidP="00D8042F">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0E709C" w:rsidRPr="002F467C" w:rsidTr="00D8042F">
        <w:tc>
          <w:tcPr>
            <w:tcW w:w="8856" w:type="dxa"/>
          </w:tcPr>
          <w:p w:rsidR="000E709C" w:rsidRPr="002F467C" w:rsidRDefault="000E709C" w:rsidP="00D8042F">
            <w:pPr>
              <w:pStyle w:val="NormalWeb"/>
              <w:spacing w:before="0" w:beforeAutospacing="0" w:after="0" w:afterAutospacing="0"/>
              <w:ind w:right="-334"/>
              <w:rPr>
                <w:rFonts w:ascii="Calibri" w:hAnsi="Calibri" w:cs="Tahoma"/>
                <w:bCs/>
                <w:sz w:val="24"/>
                <w:szCs w:val="24"/>
              </w:rPr>
            </w:pPr>
            <w:r>
              <w:rPr>
                <w:rFonts w:ascii="Calibri" w:hAnsi="Calibri" w:cs="Tahoma"/>
                <w:bCs/>
                <w:i/>
                <w:sz w:val="24"/>
                <w:szCs w:val="24"/>
              </w:rPr>
              <w:t>How agreed mark was decided upon—comments for External Examiner</w:t>
            </w:r>
            <w:r w:rsidRPr="002F467C">
              <w:rPr>
                <w:rFonts w:ascii="Calibri" w:hAnsi="Calibri" w:cs="Tahoma"/>
                <w:bCs/>
                <w:sz w:val="24"/>
                <w:szCs w:val="24"/>
              </w:rPr>
              <w:t>:</w:t>
            </w: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Default="000E709C" w:rsidP="00D8042F">
            <w:pPr>
              <w:pStyle w:val="NormalWeb"/>
              <w:spacing w:before="0" w:beforeAutospacing="0" w:after="0" w:afterAutospacing="0"/>
              <w:ind w:right="-334"/>
              <w:rPr>
                <w:rFonts w:ascii="Calibri" w:hAnsi="Calibri" w:cs="Tahoma"/>
                <w:bCs/>
                <w:sz w:val="24"/>
                <w:szCs w:val="24"/>
              </w:rPr>
            </w:pPr>
          </w:p>
          <w:p w:rsidR="000E709C" w:rsidRDefault="000E709C" w:rsidP="00D8042F">
            <w:pPr>
              <w:pStyle w:val="NormalWeb"/>
              <w:spacing w:before="0" w:beforeAutospacing="0" w:after="0" w:afterAutospacing="0"/>
              <w:ind w:right="-334"/>
              <w:rPr>
                <w:rFonts w:ascii="Calibri" w:hAnsi="Calibri" w:cs="Tahoma"/>
                <w:bCs/>
                <w:sz w:val="24"/>
                <w:szCs w:val="24"/>
              </w:rPr>
            </w:pPr>
          </w:p>
          <w:p w:rsidR="000E709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p>
          <w:p w:rsidR="000E709C" w:rsidRDefault="000E709C" w:rsidP="00D8042F">
            <w:pPr>
              <w:pStyle w:val="NormalWeb"/>
              <w:spacing w:before="0" w:beforeAutospacing="0" w:after="0" w:afterAutospacing="0"/>
              <w:ind w:right="-334"/>
              <w:rPr>
                <w:rFonts w:ascii="Calibri" w:hAnsi="Calibri" w:cs="Tahoma"/>
                <w:bCs/>
                <w:sz w:val="24"/>
                <w:szCs w:val="24"/>
              </w:rPr>
            </w:pPr>
          </w:p>
          <w:p w:rsidR="000E709C" w:rsidRDefault="000E709C" w:rsidP="00D8042F">
            <w:pPr>
              <w:pStyle w:val="NormalWeb"/>
              <w:spacing w:before="0" w:beforeAutospacing="0" w:after="0" w:afterAutospacing="0"/>
              <w:ind w:right="-334"/>
              <w:rPr>
                <w:rFonts w:ascii="Calibri" w:hAnsi="Calibri" w:cs="Tahoma"/>
                <w:bCs/>
                <w:sz w:val="24"/>
                <w:szCs w:val="24"/>
              </w:rPr>
            </w:pPr>
          </w:p>
          <w:p w:rsidR="000E709C" w:rsidRDefault="000E709C" w:rsidP="00D8042F">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0E709C" w:rsidRDefault="000E709C" w:rsidP="00D8042F">
            <w:pPr>
              <w:pStyle w:val="NormalWeb"/>
              <w:spacing w:before="0" w:beforeAutospacing="0" w:after="0" w:afterAutospacing="0"/>
              <w:ind w:right="-334"/>
              <w:rPr>
                <w:rFonts w:ascii="Calibri" w:hAnsi="Calibri" w:cs="Tahoma"/>
                <w:bCs/>
                <w:sz w:val="24"/>
                <w:szCs w:val="24"/>
              </w:rPr>
            </w:pPr>
          </w:p>
          <w:p w:rsidR="000E709C" w:rsidRPr="002F467C" w:rsidRDefault="000E709C" w:rsidP="00D8042F">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0E709C" w:rsidRPr="002F467C" w:rsidRDefault="000E709C" w:rsidP="00D8042F">
            <w:pPr>
              <w:pStyle w:val="NormalWeb"/>
              <w:spacing w:before="0" w:beforeAutospacing="0" w:after="0" w:afterAutospacing="0"/>
              <w:ind w:right="-334"/>
              <w:rPr>
                <w:rFonts w:ascii="Calibri" w:hAnsi="Calibri" w:cs="Tahoma"/>
                <w:bCs/>
                <w:sz w:val="24"/>
                <w:szCs w:val="24"/>
              </w:rPr>
            </w:pPr>
          </w:p>
        </w:tc>
      </w:tr>
      <w:tr w:rsidR="000E709C" w:rsidRPr="002F467C" w:rsidTr="00D8042F">
        <w:trPr>
          <w:trHeight w:val="720"/>
        </w:trPr>
        <w:tc>
          <w:tcPr>
            <w:tcW w:w="8856" w:type="dxa"/>
          </w:tcPr>
          <w:p w:rsidR="000E709C" w:rsidRPr="002F467C" w:rsidRDefault="000E709C" w:rsidP="00D8042F">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rsidR="000E709C" w:rsidRPr="00D67BF8" w:rsidRDefault="000E709C" w:rsidP="00D8042F">
      <w:pPr>
        <w:pStyle w:val="NormalWeb"/>
        <w:spacing w:before="0" w:beforeAutospacing="0" w:after="0" w:afterAutospacing="0"/>
        <w:ind w:right="-334"/>
        <w:rPr>
          <w:rFonts w:ascii="Trebuchet MS" w:hAnsi="Trebuchet MS" w:cs="Tahoma"/>
          <w:bCs/>
          <w:sz w:val="24"/>
          <w:szCs w:val="24"/>
        </w:rPr>
      </w:pPr>
    </w:p>
    <w:p w:rsidR="000E709C" w:rsidRDefault="000E709C"/>
    <w:p w:rsidR="000E709C" w:rsidRPr="00AF3624" w:rsidRDefault="000E709C" w:rsidP="00D8042F">
      <w:pPr>
        <w:rPr>
          <w:rStyle w:val="Emphasis"/>
        </w:rPr>
      </w:pPr>
    </w:p>
    <w:p w:rsidR="000E709C" w:rsidRDefault="000E709C"/>
    <w:p w:rsidR="00D8042F" w:rsidRDefault="000E709C">
      <w:r>
        <w:br w:type="page"/>
      </w:r>
    </w:p>
    <w:sdt>
      <w:sdtPr>
        <w:id w:val="1922679980"/>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D8042F" w:rsidRDefault="00D8042F">
          <w:pPr>
            <w:pStyle w:val="TOCHeading"/>
          </w:pPr>
          <w:r>
            <w:t>Contents</w:t>
          </w:r>
        </w:p>
        <w:p w:rsidR="00D8042F" w:rsidRDefault="00D8042F">
          <w:pPr>
            <w:pStyle w:val="TOC1"/>
            <w:tabs>
              <w:tab w:val="right" w:leader="dot" w:pos="9016"/>
            </w:tabs>
            <w:rPr>
              <w:noProof/>
            </w:rPr>
          </w:pPr>
          <w:r>
            <w:fldChar w:fldCharType="begin"/>
          </w:r>
          <w:r>
            <w:instrText xml:space="preserve"> TOC \o "1-3" \h \z \u </w:instrText>
          </w:r>
          <w:r>
            <w:fldChar w:fldCharType="separate"/>
          </w:r>
          <w:hyperlink w:anchor="_Toc513795177" w:history="1">
            <w:r w:rsidRPr="00364045">
              <w:rPr>
                <w:rStyle w:val="Hyperlink"/>
                <w:noProof/>
                <w:lang w:val="cy-GB"/>
              </w:rPr>
              <w:t>Undergraduate Dissertation coversheet &amp; feedback form</w:t>
            </w:r>
            <w:r>
              <w:rPr>
                <w:noProof/>
                <w:webHidden/>
              </w:rPr>
              <w:tab/>
            </w:r>
            <w:r>
              <w:rPr>
                <w:noProof/>
                <w:webHidden/>
              </w:rPr>
              <w:fldChar w:fldCharType="begin"/>
            </w:r>
            <w:r>
              <w:rPr>
                <w:noProof/>
                <w:webHidden/>
              </w:rPr>
              <w:instrText xml:space="preserve"> PAGEREF _Toc513795177 \h </w:instrText>
            </w:r>
            <w:r>
              <w:rPr>
                <w:noProof/>
                <w:webHidden/>
              </w:rPr>
            </w:r>
            <w:r>
              <w:rPr>
                <w:noProof/>
                <w:webHidden/>
              </w:rPr>
              <w:fldChar w:fldCharType="separate"/>
            </w:r>
            <w:r>
              <w:rPr>
                <w:noProof/>
                <w:webHidden/>
              </w:rPr>
              <w:t>3</w:t>
            </w:r>
            <w:r>
              <w:rPr>
                <w:noProof/>
                <w:webHidden/>
              </w:rPr>
              <w:fldChar w:fldCharType="end"/>
            </w:r>
          </w:hyperlink>
        </w:p>
        <w:p w:rsidR="00D8042F" w:rsidRDefault="00D8042F">
          <w:pPr>
            <w:pStyle w:val="TOC3"/>
            <w:tabs>
              <w:tab w:val="right" w:leader="dot" w:pos="9016"/>
            </w:tabs>
            <w:rPr>
              <w:noProof/>
            </w:rPr>
          </w:pPr>
          <w:hyperlink w:anchor="_Toc513795178" w:history="1">
            <w:r w:rsidRPr="00364045">
              <w:rPr>
                <w:rStyle w:val="Hyperlink"/>
                <w:noProof/>
                <w:lang w:val="cy-GB"/>
              </w:rPr>
              <w:t>PLEASE COMPLETE THE TOP SECTION OF THIS FORM  AND SUBMIT ONE COPY WITH YOUR DISSERTATION</w:t>
            </w:r>
            <w:r>
              <w:rPr>
                <w:noProof/>
                <w:webHidden/>
              </w:rPr>
              <w:tab/>
            </w:r>
            <w:r>
              <w:rPr>
                <w:noProof/>
                <w:webHidden/>
              </w:rPr>
              <w:fldChar w:fldCharType="begin"/>
            </w:r>
            <w:r>
              <w:rPr>
                <w:noProof/>
                <w:webHidden/>
              </w:rPr>
              <w:instrText xml:space="preserve"> PAGEREF _Toc513795178 \h </w:instrText>
            </w:r>
            <w:r>
              <w:rPr>
                <w:noProof/>
                <w:webHidden/>
              </w:rPr>
            </w:r>
            <w:r>
              <w:rPr>
                <w:noProof/>
                <w:webHidden/>
              </w:rPr>
              <w:fldChar w:fldCharType="separate"/>
            </w:r>
            <w:r>
              <w:rPr>
                <w:noProof/>
                <w:webHidden/>
              </w:rPr>
              <w:t>3</w:t>
            </w:r>
            <w:r>
              <w:rPr>
                <w:noProof/>
                <w:webHidden/>
              </w:rPr>
              <w:fldChar w:fldCharType="end"/>
            </w:r>
          </w:hyperlink>
        </w:p>
        <w:p w:rsidR="00D8042F" w:rsidRDefault="00D8042F">
          <w:pPr>
            <w:pStyle w:val="TOC1"/>
            <w:tabs>
              <w:tab w:val="right" w:leader="dot" w:pos="9016"/>
            </w:tabs>
            <w:rPr>
              <w:noProof/>
            </w:rPr>
          </w:pPr>
          <w:hyperlink w:anchor="_Toc513795179" w:history="1">
            <w:r w:rsidRPr="00364045">
              <w:rPr>
                <w:rStyle w:val="Hyperlink"/>
                <w:noProof/>
              </w:rPr>
              <w:t>Acknowledgments</w:t>
            </w:r>
            <w:r>
              <w:rPr>
                <w:noProof/>
                <w:webHidden/>
              </w:rPr>
              <w:tab/>
            </w:r>
            <w:r>
              <w:rPr>
                <w:noProof/>
                <w:webHidden/>
              </w:rPr>
              <w:fldChar w:fldCharType="begin"/>
            </w:r>
            <w:r>
              <w:rPr>
                <w:noProof/>
                <w:webHidden/>
              </w:rPr>
              <w:instrText xml:space="preserve"> PAGEREF _Toc513795179 \h </w:instrText>
            </w:r>
            <w:r>
              <w:rPr>
                <w:noProof/>
                <w:webHidden/>
              </w:rPr>
            </w:r>
            <w:r>
              <w:rPr>
                <w:noProof/>
                <w:webHidden/>
              </w:rPr>
              <w:fldChar w:fldCharType="separate"/>
            </w:r>
            <w:r>
              <w:rPr>
                <w:noProof/>
                <w:webHidden/>
              </w:rPr>
              <w:t>6</w:t>
            </w:r>
            <w:r>
              <w:rPr>
                <w:noProof/>
                <w:webHidden/>
              </w:rPr>
              <w:fldChar w:fldCharType="end"/>
            </w:r>
          </w:hyperlink>
        </w:p>
        <w:p w:rsidR="00D8042F" w:rsidRDefault="00D8042F">
          <w:pPr>
            <w:pStyle w:val="TOC1"/>
            <w:tabs>
              <w:tab w:val="right" w:leader="dot" w:pos="9016"/>
            </w:tabs>
            <w:rPr>
              <w:noProof/>
            </w:rPr>
          </w:pPr>
          <w:hyperlink w:anchor="_Toc513795180" w:history="1">
            <w:r w:rsidRPr="00364045">
              <w:rPr>
                <w:rStyle w:val="Hyperlink"/>
                <w:noProof/>
              </w:rPr>
              <w:t>Chapter One: Introduction and Methodology</w:t>
            </w:r>
            <w:r>
              <w:rPr>
                <w:noProof/>
                <w:webHidden/>
              </w:rPr>
              <w:tab/>
            </w:r>
            <w:r>
              <w:rPr>
                <w:noProof/>
                <w:webHidden/>
              </w:rPr>
              <w:fldChar w:fldCharType="begin"/>
            </w:r>
            <w:r>
              <w:rPr>
                <w:noProof/>
                <w:webHidden/>
              </w:rPr>
              <w:instrText xml:space="preserve"> PAGEREF _Toc513795180 \h </w:instrText>
            </w:r>
            <w:r>
              <w:rPr>
                <w:noProof/>
                <w:webHidden/>
              </w:rPr>
            </w:r>
            <w:r>
              <w:rPr>
                <w:noProof/>
                <w:webHidden/>
              </w:rPr>
              <w:fldChar w:fldCharType="separate"/>
            </w:r>
            <w:r>
              <w:rPr>
                <w:noProof/>
                <w:webHidden/>
              </w:rPr>
              <w:t>7</w:t>
            </w:r>
            <w:r>
              <w:rPr>
                <w:noProof/>
                <w:webHidden/>
              </w:rPr>
              <w:fldChar w:fldCharType="end"/>
            </w:r>
          </w:hyperlink>
        </w:p>
        <w:p w:rsidR="00D8042F" w:rsidRDefault="00D8042F">
          <w:pPr>
            <w:pStyle w:val="TOC1"/>
            <w:tabs>
              <w:tab w:val="right" w:leader="dot" w:pos="9016"/>
            </w:tabs>
            <w:rPr>
              <w:noProof/>
            </w:rPr>
          </w:pPr>
          <w:hyperlink w:anchor="_Toc513795181" w:history="1">
            <w:r w:rsidRPr="00364045">
              <w:rPr>
                <w:rStyle w:val="Hyperlink"/>
                <w:noProof/>
              </w:rPr>
              <w:t>Chapter Two: Identity through Union – the Kalmar Union, 1397 – 1457</w:t>
            </w:r>
            <w:r>
              <w:rPr>
                <w:noProof/>
                <w:webHidden/>
              </w:rPr>
              <w:tab/>
            </w:r>
            <w:r>
              <w:rPr>
                <w:noProof/>
                <w:webHidden/>
              </w:rPr>
              <w:fldChar w:fldCharType="begin"/>
            </w:r>
            <w:r>
              <w:rPr>
                <w:noProof/>
                <w:webHidden/>
              </w:rPr>
              <w:instrText xml:space="preserve"> PAGEREF _Toc513795181 \h </w:instrText>
            </w:r>
            <w:r>
              <w:rPr>
                <w:noProof/>
                <w:webHidden/>
              </w:rPr>
            </w:r>
            <w:r>
              <w:rPr>
                <w:noProof/>
                <w:webHidden/>
              </w:rPr>
              <w:fldChar w:fldCharType="separate"/>
            </w:r>
            <w:r>
              <w:rPr>
                <w:noProof/>
                <w:webHidden/>
              </w:rPr>
              <w:t>9</w:t>
            </w:r>
            <w:r>
              <w:rPr>
                <w:noProof/>
                <w:webHidden/>
              </w:rPr>
              <w:fldChar w:fldCharType="end"/>
            </w:r>
          </w:hyperlink>
        </w:p>
        <w:p w:rsidR="00D8042F" w:rsidRDefault="00D8042F">
          <w:pPr>
            <w:pStyle w:val="TOC2"/>
            <w:tabs>
              <w:tab w:val="right" w:leader="dot" w:pos="9016"/>
            </w:tabs>
            <w:rPr>
              <w:noProof/>
            </w:rPr>
          </w:pPr>
          <w:hyperlink w:anchor="_Toc513795182" w:history="1">
            <w:r w:rsidRPr="00364045">
              <w:rPr>
                <w:rStyle w:val="Hyperlink"/>
                <w:noProof/>
              </w:rPr>
              <w:t>What Caused the Union?</w:t>
            </w:r>
            <w:r>
              <w:rPr>
                <w:noProof/>
                <w:webHidden/>
              </w:rPr>
              <w:tab/>
            </w:r>
            <w:r>
              <w:rPr>
                <w:noProof/>
                <w:webHidden/>
              </w:rPr>
              <w:fldChar w:fldCharType="begin"/>
            </w:r>
            <w:r>
              <w:rPr>
                <w:noProof/>
                <w:webHidden/>
              </w:rPr>
              <w:instrText xml:space="preserve"> PAGEREF _Toc513795182 \h </w:instrText>
            </w:r>
            <w:r>
              <w:rPr>
                <w:noProof/>
                <w:webHidden/>
              </w:rPr>
            </w:r>
            <w:r>
              <w:rPr>
                <w:noProof/>
                <w:webHidden/>
              </w:rPr>
              <w:fldChar w:fldCharType="separate"/>
            </w:r>
            <w:r>
              <w:rPr>
                <w:noProof/>
                <w:webHidden/>
              </w:rPr>
              <w:t>10</w:t>
            </w:r>
            <w:r>
              <w:rPr>
                <w:noProof/>
                <w:webHidden/>
              </w:rPr>
              <w:fldChar w:fldCharType="end"/>
            </w:r>
          </w:hyperlink>
        </w:p>
        <w:p w:rsidR="00D8042F" w:rsidRDefault="00D8042F">
          <w:pPr>
            <w:pStyle w:val="TOC2"/>
            <w:tabs>
              <w:tab w:val="right" w:leader="dot" w:pos="9016"/>
            </w:tabs>
            <w:rPr>
              <w:noProof/>
            </w:rPr>
          </w:pPr>
          <w:hyperlink w:anchor="_Toc513795183" w:history="1">
            <w:r w:rsidRPr="00364045">
              <w:rPr>
                <w:rStyle w:val="Hyperlink"/>
                <w:noProof/>
              </w:rPr>
              <w:t>The Failure of the Union</w:t>
            </w:r>
            <w:r>
              <w:rPr>
                <w:noProof/>
                <w:webHidden/>
              </w:rPr>
              <w:tab/>
            </w:r>
            <w:r>
              <w:rPr>
                <w:noProof/>
                <w:webHidden/>
              </w:rPr>
              <w:fldChar w:fldCharType="begin"/>
            </w:r>
            <w:r>
              <w:rPr>
                <w:noProof/>
                <w:webHidden/>
              </w:rPr>
              <w:instrText xml:space="preserve"> PAGEREF _Toc513795183 \h </w:instrText>
            </w:r>
            <w:r>
              <w:rPr>
                <w:noProof/>
                <w:webHidden/>
              </w:rPr>
            </w:r>
            <w:r>
              <w:rPr>
                <w:noProof/>
                <w:webHidden/>
              </w:rPr>
              <w:fldChar w:fldCharType="separate"/>
            </w:r>
            <w:r>
              <w:rPr>
                <w:noProof/>
                <w:webHidden/>
              </w:rPr>
              <w:t>11</w:t>
            </w:r>
            <w:r>
              <w:rPr>
                <w:noProof/>
                <w:webHidden/>
              </w:rPr>
              <w:fldChar w:fldCharType="end"/>
            </w:r>
          </w:hyperlink>
        </w:p>
        <w:p w:rsidR="00D8042F" w:rsidRDefault="00D8042F">
          <w:pPr>
            <w:pStyle w:val="TOC1"/>
            <w:tabs>
              <w:tab w:val="right" w:leader="dot" w:pos="9016"/>
            </w:tabs>
            <w:rPr>
              <w:noProof/>
            </w:rPr>
          </w:pPr>
          <w:hyperlink w:anchor="_Toc513795184" w:history="1">
            <w:r w:rsidRPr="00364045">
              <w:rPr>
                <w:rStyle w:val="Hyperlink"/>
                <w:noProof/>
              </w:rPr>
              <w:t>Chapter Three – Tournaments, Courtly Culture and Ritual</w:t>
            </w:r>
            <w:r>
              <w:rPr>
                <w:noProof/>
                <w:webHidden/>
              </w:rPr>
              <w:tab/>
            </w:r>
            <w:r>
              <w:rPr>
                <w:noProof/>
                <w:webHidden/>
              </w:rPr>
              <w:fldChar w:fldCharType="begin"/>
            </w:r>
            <w:r>
              <w:rPr>
                <w:noProof/>
                <w:webHidden/>
              </w:rPr>
              <w:instrText xml:space="preserve"> PAGEREF _Toc513795184 \h </w:instrText>
            </w:r>
            <w:r>
              <w:rPr>
                <w:noProof/>
                <w:webHidden/>
              </w:rPr>
            </w:r>
            <w:r>
              <w:rPr>
                <w:noProof/>
                <w:webHidden/>
              </w:rPr>
              <w:fldChar w:fldCharType="separate"/>
            </w:r>
            <w:r>
              <w:rPr>
                <w:noProof/>
                <w:webHidden/>
              </w:rPr>
              <w:t>13</w:t>
            </w:r>
            <w:r>
              <w:rPr>
                <w:noProof/>
                <w:webHidden/>
              </w:rPr>
              <w:fldChar w:fldCharType="end"/>
            </w:r>
          </w:hyperlink>
        </w:p>
        <w:p w:rsidR="00D8042F" w:rsidRDefault="00D8042F">
          <w:pPr>
            <w:pStyle w:val="TOC2"/>
            <w:tabs>
              <w:tab w:val="right" w:leader="dot" w:pos="9016"/>
            </w:tabs>
            <w:rPr>
              <w:noProof/>
            </w:rPr>
          </w:pPr>
          <w:hyperlink w:anchor="_Toc513795185" w:history="1">
            <w:r w:rsidRPr="00364045">
              <w:rPr>
                <w:rStyle w:val="Hyperlink"/>
                <w:noProof/>
              </w:rPr>
              <w:t>The Place of Ritual in Medieval Studies</w:t>
            </w:r>
            <w:r>
              <w:rPr>
                <w:noProof/>
                <w:webHidden/>
              </w:rPr>
              <w:tab/>
            </w:r>
            <w:r>
              <w:rPr>
                <w:noProof/>
                <w:webHidden/>
              </w:rPr>
              <w:fldChar w:fldCharType="begin"/>
            </w:r>
            <w:r>
              <w:rPr>
                <w:noProof/>
                <w:webHidden/>
              </w:rPr>
              <w:instrText xml:space="preserve"> PAGEREF _Toc513795185 \h </w:instrText>
            </w:r>
            <w:r>
              <w:rPr>
                <w:noProof/>
                <w:webHidden/>
              </w:rPr>
            </w:r>
            <w:r>
              <w:rPr>
                <w:noProof/>
                <w:webHidden/>
              </w:rPr>
              <w:fldChar w:fldCharType="separate"/>
            </w:r>
            <w:r>
              <w:rPr>
                <w:noProof/>
                <w:webHidden/>
              </w:rPr>
              <w:t>14</w:t>
            </w:r>
            <w:r>
              <w:rPr>
                <w:noProof/>
                <w:webHidden/>
              </w:rPr>
              <w:fldChar w:fldCharType="end"/>
            </w:r>
          </w:hyperlink>
        </w:p>
        <w:p w:rsidR="00D8042F" w:rsidRDefault="00D8042F">
          <w:pPr>
            <w:pStyle w:val="TOC2"/>
            <w:tabs>
              <w:tab w:val="right" w:leader="dot" w:pos="9016"/>
            </w:tabs>
            <w:rPr>
              <w:noProof/>
            </w:rPr>
          </w:pPr>
          <w:hyperlink w:anchor="_Toc513795186" w:history="1">
            <w:r w:rsidRPr="00364045">
              <w:rPr>
                <w:rStyle w:val="Hyperlink"/>
                <w:noProof/>
              </w:rPr>
              <w:t xml:space="preserve">Introducing the </w:t>
            </w:r>
            <w:r w:rsidRPr="00364045">
              <w:rPr>
                <w:rStyle w:val="Hyperlink"/>
                <w:i/>
                <w:noProof/>
              </w:rPr>
              <w:t>Erikskrönnikan</w:t>
            </w:r>
            <w:r>
              <w:rPr>
                <w:noProof/>
                <w:webHidden/>
              </w:rPr>
              <w:tab/>
            </w:r>
            <w:r>
              <w:rPr>
                <w:noProof/>
                <w:webHidden/>
              </w:rPr>
              <w:fldChar w:fldCharType="begin"/>
            </w:r>
            <w:r>
              <w:rPr>
                <w:noProof/>
                <w:webHidden/>
              </w:rPr>
              <w:instrText xml:space="preserve"> PAGEREF _Toc513795186 \h </w:instrText>
            </w:r>
            <w:r>
              <w:rPr>
                <w:noProof/>
                <w:webHidden/>
              </w:rPr>
            </w:r>
            <w:r>
              <w:rPr>
                <w:noProof/>
                <w:webHidden/>
              </w:rPr>
              <w:fldChar w:fldCharType="separate"/>
            </w:r>
            <w:r>
              <w:rPr>
                <w:noProof/>
                <w:webHidden/>
              </w:rPr>
              <w:t>20</w:t>
            </w:r>
            <w:r>
              <w:rPr>
                <w:noProof/>
                <w:webHidden/>
              </w:rPr>
              <w:fldChar w:fldCharType="end"/>
            </w:r>
          </w:hyperlink>
        </w:p>
        <w:p w:rsidR="00D8042F" w:rsidRDefault="00D8042F">
          <w:pPr>
            <w:pStyle w:val="TOC2"/>
            <w:tabs>
              <w:tab w:val="right" w:leader="dot" w:pos="9016"/>
            </w:tabs>
            <w:rPr>
              <w:noProof/>
            </w:rPr>
          </w:pPr>
          <w:hyperlink w:anchor="_Toc513795187" w:history="1">
            <w:r w:rsidRPr="00364045">
              <w:rPr>
                <w:rStyle w:val="Hyperlink"/>
                <w:noProof/>
              </w:rPr>
              <w:t>Analysing the Tournament</w:t>
            </w:r>
            <w:r>
              <w:rPr>
                <w:noProof/>
                <w:webHidden/>
              </w:rPr>
              <w:tab/>
            </w:r>
            <w:r>
              <w:rPr>
                <w:noProof/>
                <w:webHidden/>
              </w:rPr>
              <w:fldChar w:fldCharType="begin"/>
            </w:r>
            <w:r>
              <w:rPr>
                <w:noProof/>
                <w:webHidden/>
              </w:rPr>
              <w:instrText xml:space="preserve"> PAGEREF _Toc513795187 \h </w:instrText>
            </w:r>
            <w:r>
              <w:rPr>
                <w:noProof/>
                <w:webHidden/>
              </w:rPr>
            </w:r>
            <w:r>
              <w:rPr>
                <w:noProof/>
                <w:webHidden/>
              </w:rPr>
              <w:fldChar w:fldCharType="separate"/>
            </w:r>
            <w:r>
              <w:rPr>
                <w:noProof/>
                <w:webHidden/>
              </w:rPr>
              <w:t>26</w:t>
            </w:r>
            <w:r>
              <w:rPr>
                <w:noProof/>
                <w:webHidden/>
              </w:rPr>
              <w:fldChar w:fldCharType="end"/>
            </w:r>
          </w:hyperlink>
        </w:p>
        <w:p w:rsidR="00D8042F" w:rsidRDefault="00D8042F">
          <w:pPr>
            <w:pStyle w:val="TOC1"/>
            <w:tabs>
              <w:tab w:val="right" w:leader="dot" w:pos="9016"/>
            </w:tabs>
            <w:rPr>
              <w:noProof/>
            </w:rPr>
          </w:pPr>
          <w:hyperlink w:anchor="_Toc513795188" w:history="1">
            <w:r w:rsidRPr="00364045">
              <w:rPr>
                <w:rStyle w:val="Hyperlink"/>
                <w:noProof/>
              </w:rPr>
              <w:t>Chapter Four: Conclusion</w:t>
            </w:r>
            <w:r>
              <w:rPr>
                <w:noProof/>
                <w:webHidden/>
              </w:rPr>
              <w:tab/>
            </w:r>
            <w:r>
              <w:rPr>
                <w:noProof/>
                <w:webHidden/>
              </w:rPr>
              <w:fldChar w:fldCharType="begin"/>
            </w:r>
            <w:r>
              <w:rPr>
                <w:noProof/>
                <w:webHidden/>
              </w:rPr>
              <w:instrText xml:space="preserve"> PAGEREF _Toc513795188 \h </w:instrText>
            </w:r>
            <w:r>
              <w:rPr>
                <w:noProof/>
                <w:webHidden/>
              </w:rPr>
            </w:r>
            <w:r>
              <w:rPr>
                <w:noProof/>
                <w:webHidden/>
              </w:rPr>
              <w:fldChar w:fldCharType="separate"/>
            </w:r>
            <w:r>
              <w:rPr>
                <w:noProof/>
                <w:webHidden/>
              </w:rPr>
              <w:t>28</w:t>
            </w:r>
            <w:r>
              <w:rPr>
                <w:noProof/>
                <w:webHidden/>
              </w:rPr>
              <w:fldChar w:fldCharType="end"/>
            </w:r>
          </w:hyperlink>
        </w:p>
        <w:p w:rsidR="00D8042F" w:rsidRDefault="00D8042F">
          <w:pPr>
            <w:pStyle w:val="TOC1"/>
            <w:tabs>
              <w:tab w:val="right" w:leader="dot" w:pos="9016"/>
            </w:tabs>
            <w:rPr>
              <w:noProof/>
            </w:rPr>
          </w:pPr>
          <w:hyperlink w:anchor="_Toc513795189" w:history="1">
            <w:r w:rsidRPr="00364045">
              <w:rPr>
                <w:rStyle w:val="Hyperlink"/>
                <w:noProof/>
              </w:rPr>
              <w:t>Bibliography</w:t>
            </w:r>
            <w:r>
              <w:rPr>
                <w:noProof/>
                <w:webHidden/>
              </w:rPr>
              <w:tab/>
            </w:r>
            <w:r>
              <w:rPr>
                <w:noProof/>
                <w:webHidden/>
              </w:rPr>
              <w:fldChar w:fldCharType="begin"/>
            </w:r>
            <w:r>
              <w:rPr>
                <w:noProof/>
                <w:webHidden/>
              </w:rPr>
              <w:instrText xml:space="preserve"> PAGEREF _Toc513795189 \h </w:instrText>
            </w:r>
            <w:r>
              <w:rPr>
                <w:noProof/>
                <w:webHidden/>
              </w:rPr>
            </w:r>
            <w:r>
              <w:rPr>
                <w:noProof/>
                <w:webHidden/>
              </w:rPr>
              <w:fldChar w:fldCharType="separate"/>
            </w:r>
            <w:r>
              <w:rPr>
                <w:noProof/>
                <w:webHidden/>
              </w:rPr>
              <w:t>30</w:t>
            </w:r>
            <w:r>
              <w:rPr>
                <w:noProof/>
                <w:webHidden/>
              </w:rPr>
              <w:fldChar w:fldCharType="end"/>
            </w:r>
          </w:hyperlink>
        </w:p>
        <w:p w:rsidR="00D8042F" w:rsidRDefault="00D8042F">
          <w:r>
            <w:rPr>
              <w:b/>
              <w:bCs/>
              <w:noProof/>
            </w:rPr>
            <w:fldChar w:fldCharType="end"/>
          </w:r>
        </w:p>
      </w:sdtContent>
    </w:sdt>
    <w:p w:rsidR="000E709C" w:rsidRDefault="000E709C"/>
    <w:p w:rsidR="00E4431F" w:rsidRDefault="00E4431F" w:rsidP="000E709C">
      <w:pPr>
        <w:pStyle w:val="Heading1"/>
      </w:pPr>
      <w:bookmarkStart w:id="2" w:name="_Toc513795179"/>
    </w:p>
    <w:p w:rsidR="00E4431F" w:rsidRDefault="00E4431F" w:rsidP="000E709C">
      <w:pPr>
        <w:pStyle w:val="Heading1"/>
      </w:pPr>
    </w:p>
    <w:p w:rsidR="00E4431F" w:rsidRDefault="00E4431F" w:rsidP="000E709C">
      <w:pPr>
        <w:pStyle w:val="Heading1"/>
      </w:pPr>
    </w:p>
    <w:p w:rsidR="00E4431F" w:rsidRDefault="00E4431F" w:rsidP="000E709C">
      <w:pPr>
        <w:pStyle w:val="Heading1"/>
      </w:pPr>
    </w:p>
    <w:p w:rsidR="00E4431F" w:rsidRDefault="00E4431F" w:rsidP="000E709C">
      <w:pPr>
        <w:pStyle w:val="Heading1"/>
      </w:pPr>
    </w:p>
    <w:p w:rsidR="00E4431F" w:rsidRDefault="00E4431F" w:rsidP="000E709C">
      <w:pPr>
        <w:pStyle w:val="Heading1"/>
      </w:pPr>
    </w:p>
    <w:p w:rsidR="00E4431F" w:rsidRDefault="00E4431F" w:rsidP="000E709C">
      <w:pPr>
        <w:pStyle w:val="Heading1"/>
      </w:pPr>
    </w:p>
    <w:p w:rsidR="00E4431F" w:rsidRDefault="00E4431F" w:rsidP="000E709C">
      <w:pPr>
        <w:pStyle w:val="Heading1"/>
      </w:pPr>
    </w:p>
    <w:p w:rsidR="00E4431F" w:rsidRDefault="00E4431F" w:rsidP="000E709C">
      <w:pPr>
        <w:pStyle w:val="Heading1"/>
      </w:pPr>
    </w:p>
    <w:p w:rsidR="00E4431F" w:rsidRDefault="00E4431F" w:rsidP="000E709C">
      <w:pPr>
        <w:pStyle w:val="Heading1"/>
      </w:pPr>
    </w:p>
    <w:p w:rsidR="00E4431F" w:rsidRDefault="00E4431F" w:rsidP="000E709C">
      <w:pPr>
        <w:pStyle w:val="Heading1"/>
      </w:pPr>
    </w:p>
    <w:p w:rsidR="00551442" w:rsidRDefault="000E709C" w:rsidP="000E709C">
      <w:pPr>
        <w:pStyle w:val="Heading1"/>
      </w:pPr>
      <w:bookmarkStart w:id="3" w:name="_GoBack"/>
      <w:bookmarkEnd w:id="3"/>
      <w:r>
        <w:t>Acknowledgments</w:t>
      </w:r>
      <w:bookmarkEnd w:id="2"/>
    </w:p>
    <w:p w:rsidR="000E709C" w:rsidRDefault="000E709C" w:rsidP="000E709C">
      <w:pPr>
        <w:rPr>
          <w:lang w:eastAsia="zh-CN"/>
        </w:rPr>
      </w:pPr>
    </w:p>
    <w:p w:rsidR="000E709C" w:rsidRDefault="000E709C" w:rsidP="000E709C">
      <w:pPr>
        <w:rPr>
          <w:lang w:eastAsia="zh-CN"/>
        </w:rPr>
      </w:pPr>
      <w:r>
        <w:rPr>
          <w:lang w:eastAsia="zh-CN"/>
        </w:rPr>
        <w:t xml:space="preserve">I would like to thank the following people for supporting me throughout the writing of this dissertation, whether it </w:t>
      </w:r>
      <w:r w:rsidR="00E64162">
        <w:rPr>
          <w:lang w:eastAsia="zh-CN"/>
        </w:rPr>
        <w:t>is</w:t>
      </w:r>
      <w:r>
        <w:rPr>
          <w:lang w:eastAsia="zh-CN"/>
        </w:rPr>
        <w:t xml:space="preserve"> proof reading my work, providing me with moral support, or merely putting up with my mad ramblings:</w:t>
      </w:r>
    </w:p>
    <w:p w:rsidR="000E709C" w:rsidRDefault="000E709C" w:rsidP="000E709C">
      <w:pPr>
        <w:pStyle w:val="ListParagraph"/>
        <w:numPr>
          <w:ilvl w:val="0"/>
          <w:numId w:val="1"/>
        </w:numPr>
        <w:rPr>
          <w:lang w:eastAsia="zh-CN"/>
        </w:rPr>
      </w:pPr>
      <w:r>
        <w:rPr>
          <w:lang w:eastAsia="zh-CN"/>
        </w:rPr>
        <w:t xml:space="preserve">Dr. Harriet Webster – for being such a wonderful dissertation supervisor, and for keeping me on the straight and narrow; many a time I veered off course, and Harriet was able to steer me in the right direction and make sure that I was able to develop my ideas in a fashion that was fluent and knowledgeable. </w:t>
      </w:r>
      <w:r w:rsidR="00E64162">
        <w:rPr>
          <w:lang w:eastAsia="zh-CN"/>
        </w:rPr>
        <w:t>I probably would have produced an awful monstrosity otherwise.</w:t>
      </w:r>
    </w:p>
    <w:p w:rsidR="00E64162" w:rsidRDefault="00E64162" w:rsidP="000E709C">
      <w:pPr>
        <w:pStyle w:val="ListParagraph"/>
        <w:numPr>
          <w:ilvl w:val="0"/>
          <w:numId w:val="1"/>
        </w:numPr>
        <w:rPr>
          <w:lang w:eastAsia="zh-CN"/>
        </w:rPr>
      </w:pPr>
      <w:r>
        <w:rPr>
          <w:lang w:eastAsia="zh-CN"/>
        </w:rPr>
        <w:t>Bryn Regan and Nigel Rodenhurst – for their continued learning and moral support over the last twelve months, and for making sure that I didn’t completely lose my head when it came to writing this dissertation; for the continued mugs of tea and coffee, and for listening to my ramblings about whatever was going on in my head.</w:t>
      </w:r>
    </w:p>
    <w:p w:rsidR="00BB4F1D" w:rsidRDefault="00E64162" w:rsidP="00BB4F1D">
      <w:pPr>
        <w:pStyle w:val="ListParagraph"/>
        <w:numPr>
          <w:ilvl w:val="0"/>
          <w:numId w:val="1"/>
        </w:numPr>
        <w:rPr>
          <w:lang w:eastAsia="zh-CN"/>
        </w:rPr>
      </w:pPr>
      <w:r>
        <w:rPr>
          <w:lang w:eastAsia="zh-CN"/>
        </w:rPr>
        <w:t xml:space="preserve">My friends and family – and finally, the dozens of lovely people I can all call my family, both at home, in Lampeter and around the world – who have supported me through thick and thin, rain and snow – and have listened to me ramble about everything from  Vikings to black magic, yet still love and support me for me. </w:t>
      </w:r>
      <w:r w:rsidR="00BB4F1D">
        <w:rPr>
          <w:lang w:eastAsia="zh-CN"/>
        </w:rPr>
        <w:t xml:space="preserve"> I can’t thank you all enough, and I certainly owe you all a few drinks or two. </w:t>
      </w:r>
    </w:p>
    <w:p w:rsidR="00BB4F1D" w:rsidRDefault="00BB4F1D" w:rsidP="00BB4F1D">
      <w:pPr>
        <w:rPr>
          <w:lang w:eastAsia="zh-CN"/>
        </w:rPr>
      </w:pPr>
    </w:p>
    <w:p w:rsidR="00BB4F1D" w:rsidRDefault="00BB4F1D">
      <w:pPr>
        <w:rPr>
          <w:lang w:eastAsia="zh-CN"/>
        </w:rPr>
      </w:pPr>
      <w:r>
        <w:rPr>
          <w:lang w:eastAsia="zh-CN"/>
        </w:rPr>
        <w:lastRenderedPageBreak/>
        <w:br w:type="page"/>
      </w:r>
    </w:p>
    <w:p w:rsidR="00BB4F1D" w:rsidRPr="00F656D0" w:rsidRDefault="00BB4F1D" w:rsidP="00D8042F">
      <w:pPr>
        <w:pStyle w:val="Heading1"/>
        <w:spacing w:line="360" w:lineRule="auto"/>
      </w:pPr>
      <w:bookmarkStart w:id="4" w:name="_Toc513795180"/>
      <w:r>
        <w:lastRenderedPageBreak/>
        <w:t>Chapter One:</w:t>
      </w:r>
      <w:r w:rsidRPr="00F656D0">
        <w:t xml:space="preserve"> Introduction and Methodology</w:t>
      </w:r>
      <w:bookmarkEnd w:id="4"/>
    </w:p>
    <w:p w:rsidR="00BB4F1D" w:rsidRDefault="00BB4F1D" w:rsidP="00D8042F">
      <w:pPr>
        <w:spacing w:line="360" w:lineRule="auto"/>
        <w:jc w:val="both"/>
      </w:pPr>
      <w:r>
        <w:t>As our understanding of the medieval world changes based on developments in current research, so do the questions involved – and the approaches we take to answering them. Research that had previously focused purely on addressing the literal, such as “how can we link this outcome to that event” or more simply “did this happen” has now shifted more towards the abstract.  One such example of this abstract thinking is the concept of identity, specifically in the sense of it being linked to culture and nationality – and whether it existed at all in the medieval world – of which it certainly did.</w:t>
      </w:r>
      <w:r>
        <w:rPr>
          <w:rStyle w:val="FootnoteReference"/>
        </w:rPr>
        <w:footnoteReference w:id="1"/>
      </w:r>
      <w:r>
        <w:t xml:space="preserve"> It is important to note that Medieval Europe in the fourteenth and fifteenth century was host to a wide variety of social and cultural developments, both on the small and the large scale; the regional and the national and as such was not as culturally homogenous as many would often believe. </w:t>
      </w:r>
    </w:p>
    <w:p w:rsidR="00BB4F1D" w:rsidRDefault="00BB4F1D" w:rsidP="00D8042F">
      <w:pPr>
        <w:spacing w:line="360" w:lineRule="auto"/>
        <w:jc w:val="both"/>
      </w:pPr>
      <w:r>
        <w:t>The intention of this dissertation, therefore, is to explore the concepts and ideas that surround the development of a cultural identity (at least in a modern sense) in the late medieval world, to which we can use Scandinavia during the period of 1300 – 1453 as a model; so, for all intents and purposes, a discussion of cultural developments in Scandinavia from the end of the high middle ages and into the midst of the renaissance period, and whether we can trace or observe elements of a “Scandinavian identity” or of “Scandinavianism” as espoused by the pro-Kalmar historians of the nineteenth and twentieth centuries such as C.F. Allen and Havadan Koht.</w:t>
      </w:r>
      <w:r>
        <w:rPr>
          <w:rStyle w:val="FootnoteReference"/>
        </w:rPr>
        <w:footnoteReference w:id="2"/>
      </w:r>
      <w:r>
        <w:t xml:space="preserve">  This dissertation will also attempt to expand on the ideas by modern scholars, such as Thomas Sm</w:t>
      </w:r>
      <w:r>
        <w:rPr>
          <w:rFonts w:cstheme="minorHAnsi"/>
        </w:rPr>
        <w:t>å</w:t>
      </w:r>
      <w:r>
        <w:t>berg and Harald Gustafsson, whose works on cultural developments in Scandinavia in this period are indispensable when it comes to both the quality of research and the writing produced – by providing a fresh examination of the evidence, in turn to develop the ideas put forward in their respective works even further.</w:t>
      </w:r>
      <w:r>
        <w:rPr>
          <w:rStyle w:val="FootnoteReference"/>
        </w:rPr>
        <w:footnoteReference w:id="3"/>
      </w:r>
      <w:r>
        <w:t xml:space="preserve"> </w:t>
      </w:r>
    </w:p>
    <w:p w:rsidR="00BB4F1D" w:rsidRPr="00B1143B" w:rsidRDefault="00BB4F1D" w:rsidP="00D8042F">
      <w:pPr>
        <w:spacing w:line="360" w:lineRule="auto"/>
        <w:jc w:val="both"/>
      </w:pPr>
      <w:r>
        <w:t>In order to achieve this, and gain a developed a picture as possible it is important to take a multipronged approach to this investigation by examining both the practical and the theoretical; and the social structures of superstructures of the Kalmar Union of 1397 – 1457, and of the relatively exclusive/small scale environment that is the royal court and the tournament.</w:t>
      </w:r>
      <w:r>
        <w:rPr>
          <w:rStyle w:val="FootnoteReference"/>
        </w:rPr>
        <w:footnoteReference w:id="4"/>
      </w:r>
      <w:r>
        <w:t xml:space="preserve"> This means therefore, that examination of the structures of these is needed, but more so how these can be </w:t>
      </w:r>
      <w:r>
        <w:lastRenderedPageBreak/>
        <w:t xml:space="preserve">observed in the source material available, such as the </w:t>
      </w:r>
      <w:r>
        <w:rPr>
          <w:i/>
        </w:rPr>
        <w:t>Erikskronnikan</w:t>
      </w:r>
      <w:r>
        <w:t xml:space="preserve"> – Sweden’s oldest chronicle, and our principal source for the tournament in Scandinavia during this period.  An analysis of this chronicle is integral to understanding how the Swedish court functioned during this period, of which we can then undertake an exercise of comparison – whether it be to its Scandinavian neighbours, or its continental counterparts in Europe.  Investigation of the Kalmar Union should bring into light the concepts of national versus regional identities, and their respective cultural values – of which ultimately led to one of the strangest political unions of the late medieval world. </w:t>
      </w:r>
    </w:p>
    <w:p w:rsidR="00BB4F1D" w:rsidRDefault="00BB4F1D" w:rsidP="00BB4F1D">
      <w:pPr>
        <w:rPr>
          <w:lang w:eastAsia="zh-CN"/>
        </w:rPr>
      </w:pPr>
    </w:p>
    <w:p w:rsidR="00BB4F1D" w:rsidRDefault="00BB4F1D">
      <w:pPr>
        <w:rPr>
          <w:lang w:eastAsia="zh-CN"/>
        </w:rPr>
      </w:pPr>
      <w:r>
        <w:rPr>
          <w:lang w:eastAsia="zh-CN"/>
        </w:rPr>
        <w:br w:type="page"/>
      </w:r>
    </w:p>
    <w:p w:rsidR="00BB4F1D" w:rsidRDefault="00BB4F1D" w:rsidP="00D8042F">
      <w:pPr>
        <w:pStyle w:val="Heading1"/>
        <w:jc w:val="both"/>
        <w:rPr>
          <w:b w:val="0"/>
        </w:rPr>
      </w:pPr>
      <w:bookmarkStart w:id="5" w:name="_Toc513795181"/>
      <w:r w:rsidRPr="0001254F">
        <w:lastRenderedPageBreak/>
        <w:t xml:space="preserve">Chapter Two: Identity through Union – the </w:t>
      </w:r>
      <w:r>
        <w:t>Kalmar Union, 1397 – 1457</w:t>
      </w:r>
      <w:bookmarkEnd w:id="5"/>
    </w:p>
    <w:p w:rsidR="00BB4F1D" w:rsidRDefault="00BB4F1D" w:rsidP="00D8042F">
      <w:pPr>
        <w:spacing w:line="360" w:lineRule="auto"/>
        <w:jc w:val="both"/>
      </w:pPr>
    </w:p>
    <w:p w:rsidR="00BB4F1D" w:rsidRDefault="00BB4F1D" w:rsidP="00D8042F">
      <w:pPr>
        <w:spacing w:line="360" w:lineRule="auto"/>
        <w:jc w:val="both"/>
      </w:pPr>
      <w:r>
        <w:t>Although we could examine the notion of a Scandinavian identity purely through the political structures of the three powers [Denmark, Norway, Sweden], the picture that would emerge as to how these powers worked together would in fact be rather limited – and in doing so would not give us an idea of how the concept of a “Scandinavian Identity” worked in practice. Conversely, it would do little in discussing as to whether the notion of “Scandinavianism” and the supposed “shared-values” that came with it worked in reality; or to answer as to why it fell apart in mid-fifteenth century, or how it came about in the first place. In order gain a wider picture and examine this question in detail, we must therefore use an example: the first Kalmar Union of 1397 – 1453.</w:t>
      </w:r>
      <w:r>
        <w:rPr>
          <w:rStyle w:val="FootnoteReference"/>
        </w:rPr>
        <w:footnoteReference w:id="5"/>
      </w:r>
      <w:r>
        <w:t xml:space="preserve"> The Kalmar Union, formed by Eric of Pomerania (1382 – 1459), nephew of Margarethe, Queen of Denmark, Norway of Sweden (1353 – 1412) and great-grandnephew to Magnus Eriksson in 1397 – following the Battle of </w:t>
      </w:r>
      <w:r w:rsidRPr="00897BA5">
        <w:rPr>
          <w:bCs/>
        </w:rPr>
        <w:t>Åsle</w:t>
      </w:r>
      <w:r>
        <w:rPr>
          <w:b/>
          <w:bCs/>
        </w:rPr>
        <w:t xml:space="preserve"> </w:t>
      </w:r>
      <w:r>
        <w:t>in 1389 – allows us to examine how relationships between the three kingdoms worked through the lens of the superstructure, where they would be forced to put aside their cultural and political differences – at least in theory.</w:t>
      </w:r>
      <w:r>
        <w:rPr>
          <w:rStyle w:val="FootnoteReference"/>
        </w:rPr>
        <w:footnoteReference w:id="6"/>
      </w:r>
      <w:r>
        <w:t xml:space="preserve">  In practice, however, this was far from the case, as the Scandinavian kingdoms held differences that were ultimately irreconcilable with one another, such as the Swedes not being comfortable with having to submit to a Pomeranian king (of Polish-German decent through the houses of Mecklenburg-Schwerin and </w:t>
      </w:r>
      <w:r w:rsidRPr="00984F11">
        <w:rPr>
          <w:rFonts w:ascii="Arial" w:hAnsi="Arial" w:cs="Arial"/>
          <w:bCs/>
          <w:color w:val="222222"/>
          <w:sz w:val="21"/>
          <w:szCs w:val="21"/>
          <w:shd w:val="clear" w:color="auto" w:fill="FFFFFF"/>
        </w:rPr>
        <w:t>Bogusław</w:t>
      </w:r>
      <w:r>
        <w:rPr>
          <w:rFonts w:ascii="Arial" w:hAnsi="Arial" w:cs="Arial"/>
          <w:bCs/>
          <w:color w:val="222222"/>
          <w:sz w:val="21"/>
          <w:szCs w:val="21"/>
          <w:shd w:val="clear" w:color="auto" w:fill="FFFFFF"/>
        </w:rPr>
        <w:t>); as was the diverging ideals each nation held in connection to political developments that took place over the next half a century.</w:t>
      </w:r>
      <w:r>
        <w:rPr>
          <w:rStyle w:val="FootnoteReference"/>
          <w:rFonts w:ascii="Arial" w:hAnsi="Arial" w:cs="Arial"/>
          <w:bCs/>
          <w:color w:val="222222"/>
          <w:sz w:val="21"/>
          <w:szCs w:val="21"/>
          <w:shd w:val="clear" w:color="auto" w:fill="FFFFFF"/>
        </w:rPr>
        <w:footnoteReference w:id="7"/>
      </w:r>
      <w:r>
        <w:rPr>
          <w:rFonts w:ascii="Arial" w:hAnsi="Arial" w:cs="Arial"/>
          <w:bCs/>
          <w:color w:val="222222"/>
          <w:sz w:val="21"/>
          <w:szCs w:val="21"/>
          <w:shd w:val="clear" w:color="auto" w:fill="FFFFFF"/>
        </w:rPr>
        <w:t xml:space="preserve"> The Union fell apart twice during this period, first with the deposition of Eric of Pomerania in 1439/1440 (although he still held onto the Duchy of Pomerania until his death in 1459), and secondly after the sudden death of Christoffer II [of Bavaria] in 1448.</w:t>
      </w:r>
      <w:r>
        <w:rPr>
          <w:rStyle w:val="FootnoteReference"/>
          <w:rFonts w:ascii="Arial" w:hAnsi="Arial" w:cs="Arial"/>
          <w:bCs/>
          <w:color w:val="222222"/>
          <w:sz w:val="21"/>
          <w:szCs w:val="21"/>
          <w:shd w:val="clear" w:color="auto" w:fill="FFFFFF"/>
        </w:rPr>
        <w:footnoteReference w:id="8"/>
      </w:r>
      <w:r>
        <w:rPr>
          <w:rFonts w:ascii="Arial" w:hAnsi="Arial" w:cs="Arial"/>
          <w:bCs/>
          <w:color w:val="222222"/>
          <w:sz w:val="21"/>
          <w:szCs w:val="21"/>
          <w:shd w:val="clear" w:color="auto" w:fill="FFFFFF"/>
        </w:rPr>
        <w:t xml:space="preserve">  Although these reasons appear to be rather simplistic, these are in fact complex in nature, as is why the Union was formed in the first place – and are mired further by the competing notions of “Scandinavianism” and “Nationalist-scepticism” that have been present in historiographical discourse since the early-mid nineteenth century.</w:t>
      </w:r>
      <w:r>
        <w:rPr>
          <w:rStyle w:val="FootnoteReference"/>
          <w:rFonts w:ascii="Arial" w:hAnsi="Arial" w:cs="Arial"/>
          <w:bCs/>
          <w:color w:val="222222"/>
          <w:sz w:val="21"/>
          <w:szCs w:val="21"/>
          <w:shd w:val="clear" w:color="auto" w:fill="FFFFFF"/>
        </w:rPr>
        <w:footnoteReference w:id="9"/>
      </w:r>
      <w:r>
        <w:rPr>
          <w:rFonts w:ascii="Arial" w:hAnsi="Arial" w:cs="Arial"/>
          <w:bCs/>
          <w:color w:val="222222"/>
          <w:sz w:val="21"/>
          <w:szCs w:val="21"/>
          <w:shd w:val="clear" w:color="auto" w:fill="FFFFFF"/>
        </w:rPr>
        <w:t xml:space="preserve"> </w:t>
      </w:r>
    </w:p>
    <w:p w:rsidR="00BB4F1D" w:rsidRDefault="00BB4F1D" w:rsidP="00D8042F">
      <w:pPr>
        <w:pStyle w:val="Heading2"/>
        <w:jc w:val="both"/>
      </w:pPr>
      <w:bookmarkStart w:id="7" w:name="_Toc513795182"/>
      <w:r>
        <w:lastRenderedPageBreak/>
        <w:t>What Caused the Union?</w:t>
      </w:r>
      <w:bookmarkEnd w:id="7"/>
    </w:p>
    <w:p w:rsidR="00BB4F1D" w:rsidRDefault="00BB4F1D" w:rsidP="00D8042F">
      <w:pPr>
        <w:jc w:val="both"/>
      </w:pPr>
    </w:p>
    <w:p w:rsidR="00BB4F1D" w:rsidRDefault="00BB4F1D" w:rsidP="00D8042F">
      <w:pPr>
        <w:jc w:val="both"/>
      </w:pPr>
      <w:r>
        <w:t>As mentioned earlier, the reasons as to why the Kalmar Union was formed in the first place are in and of itself quite complex in nature, in the same way that its fall is; as is the discussion that surrounds it.</w:t>
      </w:r>
      <w:r>
        <w:rPr>
          <w:rStyle w:val="FootnoteReference"/>
        </w:rPr>
        <w:footnoteReference w:id="10"/>
      </w:r>
      <w:r>
        <w:t xml:space="preserve"> This is therefore as much an exercise in historiography as it is one about accounting for the existence of the union in the first place, and as such means that we must make the effort to deconstruct the predominant attitudes held by modern scholars in relation to this issue. These attitudes are Scandinavianism and National-Scepticism, both of which emerged from the political developments of the nineteenth century; and were influenced by their present just as much as they were their past. </w:t>
      </w:r>
      <w:r>
        <w:rPr>
          <w:rStyle w:val="FootnoteReference"/>
        </w:rPr>
        <w:footnoteReference w:id="11"/>
      </w:r>
    </w:p>
    <w:p w:rsidR="00BB4F1D" w:rsidRDefault="00BB4F1D" w:rsidP="00D8042F">
      <w:pPr>
        <w:jc w:val="both"/>
      </w:pPr>
      <w:r>
        <w:t>The first of these, Scandinavianism, is based around the core idea of a supposed “Scandinavian community” rallying together (and in doing so putting aside their respective differences) to react to, then in turn take proactive steps to fight the rising tide of German nationalism – and its influence – in Scandinavia.</w:t>
      </w:r>
      <w:r>
        <w:rPr>
          <w:rStyle w:val="FootnoteReference"/>
        </w:rPr>
        <w:footnoteReference w:id="12"/>
      </w:r>
      <w:r>
        <w:t xml:space="preserve"> The idea of a union, therefore, seemed natural to those in support of this concept. This was an idea that emerged in the 1830s, and has since become mainstream in Scandinavian historical and political thought - and experienced periods of rise and decline.  This was done so through the support of prominent academics such as C.F. Allen (1811 – 1871), who went as far as to argue in his landmark work </w:t>
      </w:r>
      <w:r w:rsidRPr="00376DF3">
        <w:rPr>
          <w:i/>
        </w:rPr>
        <w:t>Handbook of the History of the Fatherland</w:t>
      </w:r>
      <w:r>
        <w:t xml:space="preserve"> (1840) that the Kalmar Union was a natural consequence of the long history that already existed between the Scandinavian kingdoms.</w:t>
      </w:r>
      <w:r>
        <w:rPr>
          <w:rStyle w:val="FootnoteReference"/>
        </w:rPr>
        <w:footnoteReference w:id="13"/>
      </w:r>
      <w:r>
        <w:t xml:space="preserve"> Conversely, he also made it clear that the Union was as much a conscious decision as it was a natural one, as each nation on its own lacked the resources to cope with the strong Hanseatic towns in Scandinavia, or to fight impending invasions from the South [Germany/Holy Roman Empire] and to the East [Novgorod].</w:t>
      </w:r>
      <w:r>
        <w:rPr>
          <w:rStyle w:val="FootnoteReference"/>
        </w:rPr>
        <w:footnoteReference w:id="14"/>
      </w:r>
      <w:r>
        <w:t xml:space="preserve">  Such an invasion of Scandinavia from the South occurred in 1384, where the Mecklenburgs of Schwerin drove out the Swedish royal family and crowned themselves in their place. </w:t>
      </w:r>
      <w:r>
        <w:rPr>
          <w:rStyle w:val="FootnoteReference"/>
        </w:rPr>
        <w:footnoteReference w:id="15"/>
      </w:r>
    </w:p>
    <w:p w:rsidR="00BB4F1D" w:rsidRDefault="00BB4F1D" w:rsidP="00D8042F">
      <w:pPr>
        <w:jc w:val="both"/>
      </w:pPr>
      <w:r>
        <w:t>Over his lifetime, Allen made connections in his work that have somehow remained relevant up until the twenty-first century – albeit with these ideas being modified by modern scholarship.</w:t>
      </w:r>
      <w:r>
        <w:rPr>
          <w:rStyle w:val="FootnoteReference"/>
        </w:rPr>
        <w:footnoteReference w:id="16"/>
      </w:r>
      <w:r>
        <w:t xml:space="preserve">  The Second World War, for example, saw a resurgence in Scandinavianism as a response to conquest of Scandinavia by Nazi Germany, and the need for the Danish, Norwegian, and Swedish people to find solidarity in one another; of which nostalgia for the old Kalmar Union was an expression.</w:t>
      </w:r>
      <w:r>
        <w:rPr>
          <w:rStyle w:val="FootnoteReference"/>
        </w:rPr>
        <w:footnoteReference w:id="17"/>
      </w:r>
      <w:r>
        <w:t xml:space="preserve">  Erik Lonnroth built on Allen’s argument in his work, </w:t>
      </w:r>
      <w:r w:rsidRPr="00B14BAF">
        <w:rPr>
          <w:i/>
        </w:rPr>
        <w:t>Sverige och Kalmar Unionen</w:t>
      </w:r>
      <w:r w:rsidRPr="00D04B87">
        <w:rPr>
          <w:i/>
        </w:rPr>
        <w:t xml:space="preserve"> 1379 -1457</w:t>
      </w:r>
      <w:r>
        <w:t xml:space="preserve"> (1934) by asserting that the first Union of 1397 – 1457 was formed in retaliation to the German pressure that was forced against Scandinavia in the mid-late fourteenth century. </w:t>
      </w:r>
      <w:r>
        <w:rPr>
          <w:rStyle w:val="FootnoteReference"/>
        </w:rPr>
        <w:footnoteReference w:id="18"/>
      </w:r>
      <w:r>
        <w:t xml:space="preserve"> Norwegian historian Halvdan </w:t>
      </w:r>
      <w:r>
        <w:lastRenderedPageBreak/>
        <w:t>Koht argued that the Union was an aristocratic response to the borders created in the processes of feudalisation that took place in the thirteenth and early fourteenth centuries – and had wanted to create a new “denationalised” identity to break these down.</w:t>
      </w:r>
      <w:r>
        <w:rPr>
          <w:rStyle w:val="FootnoteReference"/>
        </w:rPr>
        <w:footnoteReference w:id="19"/>
      </w:r>
      <w:r>
        <w:t xml:space="preserve">  Kohl’s peers in Norway have gone as far as to argue that the Norwegians sabotaged the original treaty in 1397, in some sort of far-fetched attempt to salvage their crumbling kingdom – and that it was necessary that they be governed as part of a Union (or by a foreign king at least) – much to the disgust of their nationalist counterparts.</w:t>
      </w:r>
      <w:r>
        <w:rPr>
          <w:rStyle w:val="FootnoteReference"/>
        </w:rPr>
        <w:footnoteReference w:id="20"/>
      </w:r>
      <w:r>
        <w:t xml:space="preserve">  </w:t>
      </w:r>
    </w:p>
    <w:p w:rsidR="00BB4F1D" w:rsidRDefault="00BB4F1D" w:rsidP="00D8042F">
      <w:pPr>
        <w:jc w:val="both"/>
      </w:pPr>
      <w:r>
        <w:t>That being said, a Mecklenburg state in Scandinavia would not have been the same as a union in the Scandinavian sense however – as the Germans were hardly ever unified, especially as it had fallen into disarray after the failed campaign against Valdemar IV of Denmark in 1368 – 1370.</w:t>
      </w:r>
      <w:r>
        <w:rPr>
          <w:rStyle w:val="FootnoteReference"/>
        </w:rPr>
        <w:footnoteReference w:id="21"/>
      </w:r>
      <w:r>
        <w:t xml:space="preserve"> Conversely, despite the financial support of the Hanseatic League, neither the Mecklenburgs, nor any of the German princes were comfortable with sharing any of the land gained with them – and as such had no intention of creating a unified front.</w:t>
      </w:r>
    </w:p>
    <w:p w:rsidR="00BB4F1D" w:rsidRDefault="00BB4F1D" w:rsidP="00D8042F">
      <w:pPr>
        <w:jc w:val="both"/>
      </w:pPr>
      <w:r>
        <w:t>The Nationalist-Skeptic point of view, on the other hand, more or less view this an act of manipulation by the Danes – and understandably is a predominantly Norwegian and Swedish viewpoint.</w:t>
      </w:r>
      <w:r>
        <w:rPr>
          <w:rStyle w:val="FootnoteReference"/>
        </w:rPr>
        <w:footnoteReference w:id="22"/>
      </w:r>
      <w:r>
        <w:t xml:space="preserve">  Norwegian historian </w:t>
      </w:r>
      <w:r w:rsidRPr="007E7836">
        <w:t>Elbjørn Haug</w:t>
      </w:r>
      <w:r>
        <w:t xml:space="preserve"> disputed such facts, and went as far as to dismiss the notion of the Kalmar Union being an entirely anti-German alliance as fiction – of which she stressed that xenophobia towards Germans was relatively low in the modern sense, with Hanseatic merchants playing an integral role in Scandinavian economic life, and the influx of German immigrants into Northern Europe during the fourteenth century. </w:t>
      </w:r>
      <w:r>
        <w:rPr>
          <w:rStyle w:val="FootnoteReference"/>
        </w:rPr>
        <w:footnoteReference w:id="23"/>
      </w:r>
      <w:r>
        <w:t xml:space="preserve"> Haug argued, therefore, that the Danish hold over the Union was based on an imagined fear of Germans as opposed to reality, and as such was an invention of entirely political means. </w:t>
      </w:r>
    </w:p>
    <w:p w:rsidR="00BB4F1D" w:rsidRDefault="00BB4F1D" w:rsidP="00D8042F">
      <w:pPr>
        <w:jc w:val="both"/>
      </w:pPr>
    </w:p>
    <w:p w:rsidR="00BB4F1D" w:rsidRDefault="00BB4F1D" w:rsidP="00D8042F">
      <w:pPr>
        <w:pStyle w:val="Heading2"/>
      </w:pPr>
      <w:bookmarkStart w:id="11" w:name="_Toc513795183"/>
      <w:r>
        <w:t>The Failure of the Union</w:t>
      </w:r>
      <w:bookmarkEnd w:id="11"/>
    </w:p>
    <w:p w:rsidR="00BB4F1D" w:rsidRDefault="00BB4F1D" w:rsidP="00D8042F"/>
    <w:p w:rsidR="00BB4F1D" w:rsidRDefault="00BB4F1D" w:rsidP="00D8042F">
      <w:pPr>
        <w:jc w:val="both"/>
      </w:pPr>
      <w:r>
        <w:t xml:space="preserve">Like other political unions of this period, the strength, and ultimately the failure of the Kalmar Union was the relationship present between the constituent kingdoms held both with each other – and as a unit. Although it could be argued that the Union was formed with the best of intentions (whether it be to act as a unified front against the Empire, or to form an economic union based on mutual exchange between parties that supposedly shared the same values) its execution was anything but that; if we are to look at the turmoil of the period of 1430 – 1457, for example, and even later in the 1480s – 1530s (the twilight years of the union, where Sweden became increasingly distant from Denmark and Norway) we can see that the internal conflicts that arose around this time were mostly connected to Sweden and Norway’s discontent about the exploitation they were subjected to at the hands of the Pomeranian and Bavarian kings – economically, socially and politically. </w:t>
      </w:r>
      <w:r>
        <w:rPr>
          <w:rStyle w:val="FootnoteReference"/>
        </w:rPr>
        <w:footnoteReference w:id="24"/>
      </w:r>
      <w:r>
        <w:t xml:space="preserve"> The relationship that that existed in the Union was therefore based on an imbalance of power, where </w:t>
      </w:r>
      <w:r>
        <w:lastRenderedPageBreak/>
        <w:t>the Danes enjoyed reasonable dominance at the expense of the Norwegians and the Swedes, a relationship that would only change slightly once the latter left firstly in 1448, and in 1534 – with the grip Denmark held on Norway tightening in Sweden’s absence.</w:t>
      </w:r>
      <w:r>
        <w:rPr>
          <w:rStyle w:val="FootnoteReference"/>
        </w:rPr>
        <w:footnoteReference w:id="25"/>
      </w:r>
      <w:r>
        <w:t xml:space="preserve"> Conversely, an absence of a German enemy (be it real or imagined) left a void in a relationship based mostly on political convenience as opposed to kinship, and as such allowed exploitation – and in turn discontentment – to fester in its place.</w:t>
      </w:r>
      <w:r>
        <w:rPr>
          <w:rStyle w:val="FootnoteReference"/>
        </w:rPr>
        <w:footnoteReference w:id="26"/>
      </w:r>
      <w:r>
        <w:t xml:space="preserve"> Though there was still the need to defend Southern Denmark, in particular the counties of Schleswig-Holstein from the potential threat of the Empire, this was in fact only a small risk - and certainly did not justify the vast amount of resources taken away from Norway and Sweden to justify this venture.</w:t>
      </w:r>
      <w:r>
        <w:rPr>
          <w:rStyle w:val="FootnoteReference"/>
        </w:rPr>
        <w:footnoteReference w:id="27"/>
      </w:r>
      <w:r>
        <w:t xml:space="preserve"> </w:t>
      </w:r>
    </w:p>
    <w:p w:rsidR="00BB4F1D" w:rsidRDefault="00BB4F1D" w:rsidP="00D8042F">
      <w:pPr>
        <w:jc w:val="both"/>
      </w:pPr>
      <w:r>
        <w:t>The beginning of the end for the Union of 1397 – 1448 was signalled by the Englebreckt Rising of 1439 in Sweden, which ultimately led to the deposition of Eric of Pomerania in 1439/1440; and therefore, was the first indication that the Norwegians, and certainly the Swedes, were no longer comfortable with being exploited by the Danes for the sake of law and order.</w:t>
      </w:r>
      <w:r>
        <w:rPr>
          <w:rStyle w:val="FootnoteReference"/>
        </w:rPr>
        <w:footnoteReference w:id="28"/>
      </w:r>
      <w:r>
        <w:t xml:space="preserve"> This revolt was the climax of a long series of disputes between the Danes and the Swedish aristocracy, with the straw that broke the camel’s back being the consequences that came with Eric of Pomerania’s Danish-centric foreign policy – which involved dragging the union into continuous conflicts with Germany and Baltic L</w:t>
      </w:r>
      <w:r>
        <w:rPr>
          <w:rFonts w:cstheme="minorHAnsi"/>
        </w:rPr>
        <w:t>ü</w:t>
      </w:r>
      <w:r>
        <w:t xml:space="preserve">beck for the sake of keeping up appearances – this “appearance” being the need to defend the county of Schleswig-Holstein, which was far more of a benefit to the Danes than it was its Norse compatriots. </w:t>
      </w:r>
    </w:p>
    <w:p w:rsidR="00BB4F1D" w:rsidRDefault="00BB4F1D" w:rsidP="00D8042F">
      <w:pPr>
        <w:jc w:val="both"/>
      </w:pPr>
      <w:r>
        <w:t>It was the resulting economic strain that was the at the centre of the Swedes’ grievances, with Eric essentially using the people of Sweden as his own personal treasury by putting extremely high taxes on the peasantry – and restricting the trade of exports such as Iron.</w:t>
      </w:r>
      <w:r>
        <w:rPr>
          <w:rStyle w:val="FootnoteReference"/>
        </w:rPr>
        <w:footnoteReference w:id="29"/>
      </w:r>
      <w:r>
        <w:t xml:space="preserve"> The people of Sweden, therefore, were no longer content with being ruled by a King who was to treat them in such a fashion, and as such decided to take action themselves – and demanded that all Danish men (excluding a select number of merchants, and those who had gained citizenship through marriage) be expelled from the realm by January of 1440.</w:t>
      </w:r>
      <w:r>
        <w:rPr>
          <w:rStyle w:val="FootnoteReference"/>
        </w:rPr>
        <w:footnoteReference w:id="30"/>
      </w:r>
      <w:r>
        <w:t xml:space="preserve"> Eric of Pomerania as such was responsible for creating an inhospitable environment for Danes in Sweden, and did nothing at all to ease these tensions. </w:t>
      </w:r>
    </w:p>
    <w:p w:rsidR="00BB4F1D" w:rsidRDefault="00BB4F1D" w:rsidP="00D8042F">
      <w:pPr>
        <w:jc w:val="both"/>
      </w:pPr>
      <w:r>
        <w:t xml:space="preserve">The state of the Union following Christoffer II of Bavaria’s sudden death in 1448 also proved to be rather fragile, as the wounds of 1439-1441 were still fresh; tensions were never completely resolved despite the Norse making a conscious decision to rally around their new king in some sort of last ditch effort at unity. The decision for Sweden to elect its own new king, Karl Knutsson, in 1448 was a reflection of this, and allowed the discontented state to divorce itself from its Danish and Norwegian partners – and act based on its own needs. Although the Union was dissolved in practice, no such treaty was made – and meant that it still existed officially on paper, albeit with a new unofficial capital in Stockholm alongside its centre of power in Copenhagen.  Danes and Norwegians, on the </w:t>
      </w:r>
      <w:r>
        <w:lastRenderedPageBreak/>
        <w:t>other hand, would go as far as to tighten their relationship with the treaty of Bergen in 1450, where the latter formally crowned Christian I of Denmark as their king.</w:t>
      </w:r>
      <w:r>
        <w:rPr>
          <w:rStyle w:val="FootnoteReference"/>
        </w:rPr>
        <w:footnoteReference w:id="31"/>
      </w:r>
      <w:r>
        <w:t xml:space="preserve"> </w:t>
      </w:r>
    </w:p>
    <w:p w:rsidR="00BB4F1D" w:rsidRDefault="00BB4F1D" w:rsidP="00D8042F">
      <w:pPr>
        <w:jc w:val="both"/>
      </w:pPr>
    </w:p>
    <w:p w:rsidR="00BB4F1D" w:rsidRPr="00AA2CC5" w:rsidRDefault="00BB4F1D" w:rsidP="00D8042F"/>
    <w:p w:rsidR="00BB4F1D" w:rsidRPr="00D01A05" w:rsidRDefault="00BB4F1D" w:rsidP="00D8042F">
      <w:pPr>
        <w:pStyle w:val="Heading1"/>
        <w:spacing w:line="360" w:lineRule="auto"/>
      </w:pPr>
      <w:bookmarkStart w:id="14" w:name="_Toc513795184"/>
      <w:r w:rsidRPr="00D01A05">
        <w:t>Chapter Three – Tournaments, Courtly Culture and Ritual</w:t>
      </w:r>
      <w:bookmarkEnd w:id="14"/>
    </w:p>
    <w:p w:rsidR="00BB4F1D" w:rsidRDefault="00BB4F1D" w:rsidP="00D8042F">
      <w:pPr>
        <w:spacing w:line="360" w:lineRule="auto"/>
        <w:jc w:val="both"/>
      </w:pPr>
    </w:p>
    <w:p w:rsidR="00BB4F1D" w:rsidRDefault="00BB4F1D" w:rsidP="00D8042F">
      <w:pPr>
        <w:spacing w:line="360" w:lineRule="auto"/>
        <w:jc w:val="both"/>
      </w:pPr>
      <w:r>
        <w:t>Although one can begin to understand how the identities within Scandinavia during this period could to an extent be shaped by the workings of the institution (and therefore, in turn by legislation), we cannot define a culture purely based on politics – while these do provide an excellent insight into how important shared values were to statehood, they do not necessarily paint an accurate picture in terms of how culture is shaped when it comes to the interactions between people. Conversely, it paints the concept of culture as something that is rigid, and ultimately not organic. Ritual is such a venue where creation and consolidation of cultural norms take place, and does the transmission of culture, as shall be observed shortly; it is therefore important that these are examined in detail.</w:t>
      </w:r>
      <w:r>
        <w:rPr>
          <w:rStyle w:val="FootnoteReference"/>
        </w:rPr>
        <w:footnoteReference w:id="32"/>
      </w:r>
      <w:r>
        <w:t xml:space="preserve">  While there are dozens of rituals that merit discussion, it is those within the court and its martial extension, the tournament where one observe how internal and external influences – such as the relatively late adoption of chivalric culture within fourteenth-century Sweden – can go as a far as to shape social identity.</w:t>
      </w:r>
      <w:r>
        <w:rPr>
          <w:rStyle w:val="FootnoteReference"/>
        </w:rPr>
        <w:footnoteReference w:id="33"/>
      </w:r>
      <w:r>
        <w:t xml:space="preserve"> Moreover, rituals encourage an ethos of mutual exchange between all parties involved – a fact that is particularly true within the spectacles of greeting and farewell, and especially within the tournament – in an environment that is highly formalised.</w:t>
      </w:r>
      <w:r>
        <w:rPr>
          <w:rStyle w:val="FootnoteReference"/>
        </w:rPr>
        <w:footnoteReference w:id="34"/>
      </w:r>
    </w:p>
    <w:p w:rsidR="00BB4F1D" w:rsidRDefault="00BB4F1D" w:rsidP="00D8042F">
      <w:pPr>
        <w:spacing w:line="360" w:lineRule="auto"/>
        <w:jc w:val="both"/>
      </w:pPr>
      <w:r>
        <w:t>Both the tournament, and chivalric literature, was a relatively late development in Sweden having emerged in the late thirteenth to early fourteenth century, as part of a series of developments that can be traced back to the Ordinances of Alsn</w:t>
      </w:r>
      <w:r>
        <w:rPr>
          <w:rFonts w:cstheme="minorHAnsi"/>
        </w:rPr>
        <w:t>ö</w:t>
      </w:r>
      <w:r>
        <w:t xml:space="preserve"> (</w:t>
      </w:r>
      <w:r>
        <w:rPr>
          <w:i/>
        </w:rPr>
        <w:t>Alsnö Stadga)</w:t>
      </w:r>
      <w:r>
        <w:t xml:space="preserve"> issued by King Magnus III (r. 1275 – 1290) in 1280 – the most significant of these developments being the creation of the </w:t>
      </w:r>
      <w:r>
        <w:rPr>
          <w:i/>
        </w:rPr>
        <w:t>Fralse</w:t>
      </w:r>
      <w:r>
        <w:t xml:space="preserve">, or the </w:t>
      </w:r>
      <w:r>
        <w:lastRenderedPageBreak/>
        <w:t>creation of a ‘new nobility’ inspired by existing European frameworks that was to now serve the Kingdom and its interests, and was intended to therefore replace the old Norse system of property magnates that had long been in place (and as such was essentially a hangover from the Viking Age) beforehand.</w:t>
      </w:r>
      <w:r>
        <w:rPr>
          <w:rStyle w:val="FootnoteReference"/>
        </w:rPr>
        <w:footnoteReference w:id="35"/>
      </w:r>
      <w:r>
        <w:t xml:space="preserve"> In light of this, this chapter aims to explore the transmission of new, but otherwise foreign customs that entered Scandinavia through Northern Europe, using Sweden as a centrepiece for discussion of these concepts.  This therefore requires examination of the </w:t>
      </w:r>
      <w:r w:rsidRPr="00E12D1B">
        <w:rPr>
          <w:i/>
        </w:rPr>
        <w:t>Erikskrönnikan</w:t>
      </w:r>
      <w:r w:rsidRPr="00E12D1B">
        <w:t xml:space="preserve"> </w:t>
      </w:r>
      <w:r>
        <w:t>(c. 1320 – 1340), Sweden’s oldest chronicle, itself being an early of example of chivalric literature from this period – and our principal source on the tournament in the Scandinavian region.</w:t>
      </w:r>
      <w:r>
        <w:rPr>
          <w:rStyle w:val="FootnoteReference"/>
        </w:rPr>
        <w:footnoteReference w:id="36"/>
      </w:r>
      <w:r>
        <w:t xml:space="preserve">  Before any further discussion can be had, however, it is important to briefly establish both the insights and issues that come with the study of ritual, in particular those that are rooted in the past, and as such rely on the existence of source material.</w:t>
      </w:r>
    </w:p>
    <w:p w:rsidR="00BB4F1D" w:rsidRDefault="00BB4F1D" w:rsidP="00D8042F">
      <w:pPr>
        <w:spacing w:line="360" w:lineRule="auto"/>
        <w:jc w:val="both"/>
      </w:pPr>
    </w:p>
    <w:p w:rsidR="00BB4F1D" w:rsidRPr="00D01A05" w:rsidRDefault="00BB4F1D" w:rsidP="00D8042F">
      <w:pPr>
        <w:pStyle w:val="Heading2"/>
        <w:spacing w:line="360" w:lineRule="auto"/>
      </w:pPr>
      <w:bookmarkStart w:id="15" w:name="_Toc513795185"/>
      <w:r w:rsidRPr="00D01A05">
        <w:t>The Place of Ritual in Medieval Studies</w:t>
      </w:r>
      <w:bookmarkEnd w:id="15"/>
    </w:p>
    <w:p w:rsidR="00BB4F1D" w:rsidRDefault="00BB4F1D" w:rsidP="00D8042F">
      <w:pPr>
        <w:spacing w:line="360" w:lineRule="auto"/>
        <w:jc w:val="both"/>
      </w:pPr>
      <w:r>
        <w:t xml:space="preserve">Ritual, as do individuals, has a rather special place in our understanding of the past (and ergo medieval studies) as not only do they serve to drive or embellish the historical narrative, but they also answer the question as to why these events happen.  By answering these questions, one can gain both a wider picture of relationships (whether these are between people or between people and their surroundings) in the medieval world on a large scale, and an opportunity to focus on the finer details – such as a single moment.  Conversely, the ritual enables us to gain a sense as to what a particular culture is, and the subtleties that define it, i.e. how gestures are used in relation to the values shared by the group in question.  This is particularly useful given how complex the notion of culture is, as it allows us to break down (and therefore, deconstruct) it’s various elements so that they can be examined in greater detail.  From there one can begin to put together a picture based on common elements, albeit at the risk of making generalisations – of which doing so carries the further risk of reducing a culture down to stereotypes – an act that in most circles would therefore be deemed as culturally insensitive. </w:t>
      </w:r>
    </w:p>
    <w:p w:rsidR="00BB4F1D" w:rsidRDefault="00BB4F1D" w:rsidP="00D8042F">
      <w:pPr>
        <w:spacing w:line="360" w:lineRule="auto"/>
        <w:jc w:val="both"/>
      </w:pPr>
      <w:r>
        <w:t xml:space="preserve">In his landmark text </w:t>
      </w:r>
      <w:r>
        <w:rPr>
          <w:i/>
        </w:rPr>
        <w:t>Ethnicity and Nationalism: Anthropological Perspectives</w:t>
      </w:r>
      <w:r>
        <w:t xml:space="preserve"> published in 1993, Thomas Hylland Eriksen defined culture as the “skills, opinions, and manners that people have gained as members of a given society”, all of which are both created and affirmed through the </w:t>
      </w:r>
      <w:r>
        <w:lastRenderedPageBreak/>
        <w:t>material processes of ritual and the institution.</w:t>
      </w:r>
      <w:r>
        <w:rPr>
          <w:rStyle w:val="FootnoteReference"/>
        </w:rPr>
        <w:footnoteReference w:id="37"/>
      </w:r>
      <w:r>
        <w:t xml:space="preserve"> This notion supports the findings of earlier investigations, namely that of culture being “learned”, or rather that it can be viewed as a product of its environment instead of being inherited; people are not born with, for example, cultural assumptions such as cleanliness but in fact are taught these through interaction with the social groups and institutions that surround them.  </w:t>
      </w:r>
    </w:p>
    <w:p w:rsidR="00BB4F1D" w:rsidRDefault="00BB4F1D" w:rsidP="00D8042F">
      <w:pPr>
        <w:spacing w:line="360" w:lineRule="auto"/>
        <w:jc w:val="both"/>
      </w:pPr>
      <w:r>
        <w:t>It is therefore important that we examine the notion of culture beyond the realms of the sensory or the purely aesthetic and take it further as to how these feed into the interactions between the individual and the institution – of which can be expressed using the iceberg model.  This model allows us to view both the obvious, and far more complex (or discreet) elements in terms of how they connect with one another, and how they ultimately come together to form a culture.  At the tip of this imaginary iceberg lies food, dress or the performing arts – things that most people would associate with “culture” – elements that form a culture on the surface. As one moves below the surface, and into the murky depths of the water below, however, it is only then that the far more complex elements of a culture become more apparent – these include cultural assumptions such as notion of cleanliness (as touched upon earlier), the relationships between individuals (i.e. approaches to courting, friendships), and more importantly the role of power structures in society – and in turn, how these structures are legitimised.  The use of this model does in fact put the place of ritual, or more specifically performative ritual in all of these into perspective given that it served to create them in the first place.</w:t>
      </w:r>
    </w:p>
    <w:p w:rsidR="00BB4F1D" w:rsidRDefault="00BB4F1D" w:rsidP="00D8042F">
      <w:pPr>
        <w:spacing w:line="360" w:lineRule="auto"/>
        <w:jc w:val="both"/>
      </w:pPr>
      <w:r>
        <w:t>Performative ritual was important in pre-industrial societies such as that of Medieval Europe, as it was essential to the creation, the legitimisation – and by extension the acceptance of – the power structures that served to keep groups in place.</w:t>
      </w:r>
      <w:r>
        <w:rPr>
          <w:rStyle w:val="FootnoteReference"/>
        </w:rPr>
        <w:footnoteReference w:id="38"/>
      </w:r>
      <w:r>
        <w:t xml:space="preserve">  An example of this, as noted by Thomas Småberg, is the is the knight’s oath undertaken by newly invested nobles, which was designed not only to integrate them into the social group that was the nobility – but to also protect its interests -  through some shared sense of loyalty to Christ, king, and country.</w:t>
      </w:r>
      <w:r>
        <w:rPr>
          <w:rStyle w:val="FootnoteReference"/>
        </w:rPr>
        <w:footnoteReference w:id="39"/>
      </w:r>
      <w:r>
        <w:t xml:space="preserve">  Such an oath can be heard at the coronation of Christoffer II as king of Sweden at Uppsala Cathedral in September 1441:</w:t>
      </w:r>
    </w:p>
    <w:p w:rsidR="00BB4F1D" w:rsidRPr="00D55AB6" w:rsidRDefault="00BB4F1D" w:rsidP="00D8042F">
      <w:pPr>
        <w:spacing w:line="360" w:lineRule="auto"/>
        <w:jc w:val="both"/>
        <w:rPr>
          <w:sz w:val="20"/>
        </w:rPr>
      </w:pPr>
      <w:r w:rsidRPr="00D55AB6">
        <w:rPr>
          <w:sz w:val="20"/>
        </w:rPr>
        <w:t xml:space="preserve">“By God, the Virgin Mary, Saint Erik, and Saint Knut, I swear that I will with life and estates to the best of my abilities protect the holy Christian faith and gospel and protect the Church and her servants, their freedom, to stand up against injustices and strengthen peace and law, to protect fatherless and motherless children, </w:t>
      </w:r>
      <w:r w:rsidRPr="00D55AB6">
        <w:rPr>
          <w:sz w:val="20"/>
        </w:rPr>
        <w:lastRenderedPageBreak/>
        <w:t>maidens, widows, and the poor, and to be faithful and true to my king and my kingdom and justly hold and exercise my knighthood, to the honour of God, so help me God.”</w:t>
      </w:r>
      <w:r>
        <w:rPr>
          <w:rStyle w:val="FootnoteReference"/>
          <w:sz w:val="20"/>
        </w:rPr>
        <w:footnoteReference w:id="40"/>
      </w:r>
    </w:p>
    <w:p w:rsidR="00BB4F1D" w:rsidRDefault="00BB4F1D" w:rsidP="00D8042F">
      <w:pPr>
        <w:spacing w:line="360" w:lineRule="auto"/>
        <w:jc w:val="both"/>
      </w:pPr>
      <w:r>
        <w:t xml:space="preserve">Although the above oath could be interpreted merely as formality for the aristocrats in attendance of this ceremony, it should not be dismissed as some form of cheap theatre – but in fact should be considered an act of highly calculated social engineering – in the sense that it is designed to legitimise the authority of Christoffer’s new regime.  As with any change in regime, especially that of a new king (and in turn his government) there exists an air of uncertainty within the general populace, and with it comes a need to reassure his subjects of their concerns. One of these is the assurance that not only his knights, but also his officials are to act within the interests of both people and state – of which includes the protection of its elected King [Christoffer] and those who live within the Kingdom’s borders.  Assurance that these groups are to uphold shared values is also needed; in of that they represent those of the people, or more specifically of their king.  As a performative ritual, therefore, the knightly oath is designed to build a relationship of trust between king, court, church, and country, and ultimately to bind them together through loyalty.  For if a king has the trust of those around him, he can be assured of relative stability; or, in the circumstances of crisis, to be supported by the will of his people. </w:t>
      </w:r>
    </w:p>
    <w:p w:rsidR="00BB4F1D" w:rsidRPr="00242315" w:rsidRDefault="00BB4F1D" w:rsidP="00D8042F">
      <w:pPr>
        <w:spacing w:line="360" w:lineRule="auto"/>
        <w:jc w:val="both"/>
      </w:pPr>
      <w:r>
        <w:t xml:space="preserve">Conversely, performative ritual can be used to shape or construct the identity of a given group in the sense that it binds them together through the practice of shared values, ideals or practices – or alternatively, through the relationship with the spaces that surround them – and as such, as Edward Muir argued in </w:t>
      </w:r>
      <w:r>
        <w:rPr>
          <w:i/>
        </w:rPr>
        <w:t>Ritual in Early Modern Europe</w:t>
      </w:r>
      <w:r>
        <w:t xml:space="preserve"> (1997), ritual can act as both a mirror, and a model of, society.</w:t>
      </w:r>
      <w:r>
        <w:rPr>
          <w:rStyle w:val="FootnoteReference"/>
        </w:rPr>
        <w:footnoteReference w:id="41"/>
      </w:r>
      <w:r>
        <w:t xml:space="preserve">  Inspired by the theories put forward in Clifford Geertz’ landmark work </w:t>
      </w:r>
      <w:r>
        <w:rPr>
          <w:i/>
        </w:rPr>
        <w:t>The Interpretation of Cultures</w:t>
      </w:r>
      <w:r>
        <w:t>, Muir created this dichotomy to clearly define the role of ritual in historical study.</w:t>
      </w:r>
      <w:r>
        <w:rPr>
          <w:rStyle w:val="FootnoteReference"/>
        </w:rPr>
        <w:footnoteReference w:id="42"/>
      </w:r>
      <w:r>
        <w:t xml:space="preserve"> “Ritual as a mirror is intended to present the world as it is, at a glance; as a model, on the other hand, ritual is designed to represent how society is “meant” to be.</w:t>
      </w:r>
      <w:r>
        <w:rPr>
          <w:rStyle w:val="FootnoteReference"/>
        </w:rPr>
        <w:footnoteReference w:id="43"/>
      </w:r>
      <w:r>
        <w:t xml:space="preserve"> </w:t>
      </w:r>
    </w:p>
    <w:p w:rsidR="00BB4F1D" w:rsidRDefault="00BB4F1D" w:rsidP="00D8042F">
      <w:pPr>
        <w:spacing w:line="360" w:lineRule="auto"/>
        <w:jc w:val="both"/>
      </w:pPr>
      <w:r>
        <w:t xml:space="preserve">This dichotomy can in fact be rather simplistic however, as it reduces the ritual to something that is merely descriptive of the world of which it is a product as opposed to something that constructs it.  </w:t>
      </w:r>
      <w:r>
        <w:lastRenderedPageBreak/>
        <w:t>In doing so, this Muir did not further Geertz’ argument at all, but rather simplified it down to something that existed without room for nuance whatsoever.  Geertz’ original theory focussed on the ritual being dualistic in nature, meaning that both notions can, and in practice, do co-exist with one another.</w:t>
      </w:r>
      <w:r>
        <w:rPr>
          <w:rStyle w:val="FootnoteReference"/>
        </w:rPr>
        <w:footnoteReference w:id="44"/>
      </w:r>
      <w:r>
        <w:t xml:space="preserve"> The approach of using ritual as a model, however, does to an extent hold some merit, in particular how ritual is used to artificially construct a reality based on the ideals of those involved – and in turn, how this new reality is affirmed.</w:t>
      </w:r>
      <w:r>
        <w:rPr>
          <w:rStyle w:val="FootnoteReference"/>
        </w:rPr>
        <w:footnoteReference w:id="45"/>
      </w:r>
      <w:r>
        <w:t xml:space="preserve">  This can be seen in the works of historical anthropologists who built Geertz’ on work such as Marshall Sallins, who points out that ritual is used in social life, and that social life is not only a factor, but also a shaper of social structures; norms and values (as mentioned at the beginning of this chapter) can be introduced, modified, and projected (or transmitted) through ritual.</w:t>
      </w:r>
    </w:p>
    <w:p w:rsidR="00BB4F1D" w:rsidRDefault="00BB4F1D" w:rsidP="00D8042F">
      <w:pPr>
        <w:spacing w:line="360" w:lineRule="auto"/>
        <w:jc w:val="both"/>
      </w:pPr>
      <w:r>
        <w:t xml:space="preserve">An example of this issue, although outside the Scandinavian region, can be observed in the </w:t>
      </w:r>
      <w:r>
        <w:rPr>
          <w:i/>
        </w:rPr>
        <w:t>Sposalizio Del Mare</w:t>
      </w:r>
      <w:r>
        <w:t xml:space="preserve"> – or, the “Marriage to the Sea” in English – of which has been held annually in Venice since the beginning of the eleventh century.</w:t>
      </w:r>
      <w:r>
        <w:rPr>
          <w:rStyle w:val="FootnoteReference"/>
        </w:rPr>
        <w:footnoteReference w:id="46"/>
      </w:r>
      <w:r>
        <w:t xml:space="preserve">  First put together by Doge Pietro II Orseolo (r. 991 – 1009) to celebrate his then-recent conquest of Dalmatia, the ritual was originally designed to be both supplicatory, and placative in nature; he was to unify the commune of Venice with the sea through “marriage” in exchange for its further support, yet also seek forgiveness for the acts of brutality had been committed upon it.  The nature of this ritual has since been modified however to not only celebrate Venice’s close relationship with the sea, and its importance to the city’s cultural identity – but to also demonstrate its standing, and ultimately to justify its dominance as a maritime power in the Adriatic Sea. </w:t>
      </w:r>
      <w:r>
        <w:rPr>
          <w:rStyle w:val="FootnoteReference"/>
        </w:rPr>
        <w:footnoteReference w:id="47"/>
      </w:r>
      <w:r>
        <w:t xml:space="preserve"> </w:t>
      </w:r>
    </w:p>
    <w:p w:rsidR="00BB4F1D" w:rsidRPr="003266FD" w:rsidRDefault="00BB4F1D" w:rsidP="00D8042F">
      <w:pPr>
        <w:spacing w:line="360" w:lineRule="auto"/>
        <w:jc w:val="both"/>
      </w:pPr>
      <w:r>
        <w:t xml:space="preserve">Conversely, the physical processes within the ceremony itself have been modified to accommodate this shift in values, such as the ring used by the Doge in the ceremony, as noted by thirteenth century sources such as the </w:t>
      </w:r>
      <w:r>
        <w:rPr>
          <w:i/>
        </w:rPr>
        <w:t>Historica Ducum Veneticorum</w:t>
      </w:r>
      <w:r>
        <w:t xml:space="preserve">; in 1177, pope Alexander III as a reward for his loyalty in the recent election crisis, and for hosting the summit that would ultimately stabilise the Papacy [the Peace of Venice], presented the Doge [Sebastiano Ziani] with his personal ring for the then-upcoming </w:t>
      </w:r>
      <w:r>
        <w:rPr>
          <w:i/>
        </w:rPr>
        <w:t>Sposalizio Del Mare</w:t>
      </w:r>
      <w:r>
        <w:t xml:space="preserve"> that was to shortly take place.</w:t>
      </w:r>
      <w:r>
        <w:rPr>
          <w:rStyle w:val="FootnoteReference"/>
        </w:rPr>
        <w:footnoteReference w:id="48"/>
      </w:r>
      <w:r>
        <w:t xml:space="preserve"> This replaced the Venetian-made rings that the Doges of the past had used to unify the city with the sea, and in doing so was </w:t>
      </w:r>
      <w:r>
        <w:lastRenderedPageBreak/>
        <w:t>taken as a sign of papal support – “support” that the Venetians would then use to further justify their dominance in the Adriatic.</w:t>
      </w:r>
      <w:r>
        <w:rPr>
          <w:rStyle w:val="FootnoteReference"/>
        </w:rPr>
        <w:footnoteReference w:id="49"/>
      </w:r>
      <w:r>
        <w:t xml:space="preserve">  Moreover, ships from the recently ruined Imperial fleet were added to the line of “wedding guests” that were to follow the Doge’s large gilded barge to the sea, and as such the ceremony was modified into a triumphal procession that demonstrated the naval strength, and formidability, of the Republic of Venice.</w:t>
      </w:r>
      <w:r>
        <w:rPr>
          <w:rStyle w:val="FootnoteReference"/>
        </w:rPr>
        <w:footnoteReference w:id="50"/>
      </w:r>
      <w:r>
        <w:t xml:space="preserve">  </w:t>
      </w:r>
    </w:p>
    <w:p w:rsidR="00BB4F1D" w:rsidRDefault="00BB4F1D" w:rsidP="00D8042F">
      <w:pPr>
        <w:spacing w:line="360" w:lineRule="auto"/>
        <w:jc w:val="both"/>
      </w:pPr>
      <w:r>
        <w:t>There was one element that both Geertz and Muir observed in their analysis of this ritual, which was the fact that it was held annually – and in doing so, was clearly designed with cementing the notion of naval dominance that was held so dear by the Venetian elite into the consciousness of the wider populace.</w:t>
      </w:r>
      <w:r>
        <w:rPr>
          <w:rStyle w:val="FootnoteReference"/>
        </w:rPr>
        <w:footnoteReference w:id="51"/>
      </w:r>
      <w:r>
        <w:t xml:space="preserve">  If the public were to feel this same need to see the Adriatic Sea as a dominion of the Republic, then surely control over it (and the right to do what they please with it) would ultimately be justified.  This served, in effect more than one purpose: firstly, to legitimise the power structures (and values) that held the Venetian elite in place, and secondly to project these values into the Adriatic, where it served the far more sinister motive of intimidating rival communes such as the Genoese, into submission – or alternatively, to use a show of power as a deterrent.</w:t>
      </w:r>
      <w:r>
        <w:rPr>
          <w:rStyle w:val="FootnoteReference"/>
        </w:rPr>
        <w:footnoteReference w:id="52"/>
      </w:r>
      <w:r>
        <w:t xml:space="preserve">  The relationship between Venice and the Sea was never painted as a marriage of mutual trust and support – but the former instead being some domineering, overly-masculine brute that sought to control and manipulate the latter for their own ends.</w:t>
      </w:r>
      <w:r>
        <w:rPr>
          <w:rStyle w:val="FootnoteReference"/>
        </w:rPr>
        <w:footnoteReference w:id="53"/>
      </w:r>
    </w:p>
    <w:p w:rsidR="00BB4F1D" w:rsidRPr="00C81336" w:rsidRDefault="00BB4F1D" w:rsidP="00D8042F">
      <w:pPr>
        <w:spacing w:line="360" w:lineRule="auto"/>
        <w:jc w:val="both"/>
        <w:rPr>
          <w:i/>
          <w:vanish/>
        </w:rPr>
      </w:pPr>
      <w:r>
        <w:t>The above example also shows how ritual can be used as a model, in the sense that it allowed the Venetians to artificially construct an identity – albeit one partially based on a historical myth that barely mirrored reality.</w:t>
      </w:r>
      <w:r>
        <w:rPr>
          <w:rStyle w:val="FootnoteReference"/>
        </w:rPr>
        <w:footnoteReference w:id="54"/>
      </w:r>
      <w:r>
        <w:t xml:space="preserve">  This myth being, of course, their supposed dominance over the Adriatic Sea, and that this was endorsed by the Papacy, and by extension, God itself. The Venetians, therefore, were “chosen” to hold stewardship over the Sea by powers that existed on both Heaven and Earth, and as such it belonged to them by right – as did the resources that came with it.</w:t>
      </w:r>
      <w:r>
        <w:rPr>
          <w:rStyle w:val="FootnoteReference"/>
        </w:rPr>
        <w:footnoteReference w:id="55"/>
      </w:r>
      <w:r>
        <w:t xml:space="preserve">  The claim of papal support made in the </w:t>
      </w:r>
      <w:r>
        <w:rPr>
          <w:i/>
        </w:rPr>
        <w:t xml:space="preserve">Historica Ducum Veneticorum </w:t>
      </w:r>
      <w:r>
        <w:t>was later disputed by the Church in the sixteenth and seventeenth centuries however, with repeated investigations carried out by the papal authorities into the historicity of the events recorded.</w:t>
      </w:r>
      <w:r>
        <w:rPr>
          <w:rStyle w:val="FootnoteReference"/>
        </w:rPr>
        <w:footnoteReference w:id="56"/>
      </w:r>
      <w:r>
        <w:t xml:space="preserve">   </w:t>
      </w:r>
      <w:r>
        <w:rPr>
          <w:i/>
          <w:vanish/>
        </w:rPr>
        <w:t>HHHHHHhh</w:t>
      </w:r>
    </w:p>
    <w:p w:rsidR="00BB4F1D" w:rsidRDefault="00BB4F1D" w:rsidP="00D8042F">
      <w:pPr>
        <w:spacing w:line="360" w:lineRule="auto"/>
        <w:jc w:val="both"/>
      </w:pPr>
    </w:p>
    <w:p w:rsidR="00BB4F1D" w:rsidRDefault="00BB4F1D" w:rsidP="00D8042F">
      <w:pPr>
        <w:spacing w:line="360" w:lineRule="auto"/>
        <w:jc w:val="both"/>
      </w:pPr>
      <w:r>
        <w:lastRenderedPageBreak/>
        <w:t>And speaking of source material, the above example (as does the Erikskrönikan) is an excellent insight into the issues that come with the examination of ritual within the context of medieval studies – in particular the risks that come with interpreting meaning, or lack thereof, from the narratives present in source material.  This is an issue that exists within all aspects of historical study, and as such is not isolated to the study of ritual – though it still remains important to stress these risks given the speculative nature of studying ritual – and how this can potentially lead to affirming existing misconceptions, or creating ones entirely new.</w:t>
      </w:r>
      <w:r>
        <w:rPr>
          <w:rStyle w:val="FootnoteReference"/>
        </w:rPr>
        <w:footnoteReference w:id="57"/>
      </w:r>
      <w:r>
        <w:t xml:space="preserve"> Moreover, considering the how the way primary source material is written is impacted heavily by a number of different factors, whether it is by culture, or more simply human nature, the task of interpreting them is in and of itself can be a difficult task for the modern scholar given the degree of nuance involved.  </w:t>
      </w:r>
    </w:p>
    <w:p w:rsidR="00BB4F1D" w:rsidRDefault="00BB4F1D" w:rsidP="00D8042F">
      <w:pPr>
        <w:spacing w:line="360" w:lineRule="auto"/>
        <w:jc w:val="both"/>
      </w:pPr>
      <w:r>
        <w:t xml:space="preserve">It is this degree of nuance that poses the main risk for modern scholars interested in ritual, which is the issue of the extent to which one interprets it – is there such a thing as reading far too much, or on the other hand, too little into a source? Both can lead historians astray, given the anxiety of modern scholars to distance themselves from the practices of early scholars such as the antiquarians and collectors of the Victorian Age.  The vast majority of the assumptions made by early scholars still exist in the public consciousness as misconceptions, an example of this being the classic “knights had to use a crane to mount horses” – and as such are products of the unscientific approaches taken during this early period.  This can also be seen in the commonly held notion of the medieval person being somewhat smaller than their modern counterparts, though this has been disproved following the examination of skeletal remains.  Misconceptions such as these arose in the work of early scholars given their tendency to consume sources uncritically, and to therefore take everything in them at face value – and a need to romanticize the past.  </w:t>
      </w:r>
    </w:p>
    <w:p w:rsidR="00BB4F1D" w:rsidRDefault="00BB4F1D" w:rsidP="00D8042F">
      <w:pPr>
        <w:spacing w:line="360" w:lineRule="auto"/>
        <w:jc w:val="both"/>
      </w:pPr>
    </w:p>
    <w:p w:rsidR="00BB4F1D" w:rsidRDefault="00BB4F1D" w:rsidP="00D8042F">
      <w:pPr>
        <w:spacing w:line="360" w:lineRule="auto"/>
        <w:jc w:val="both"/>
      </w:pPr>
      <w:r>
        <w:t xml:space="preserve">On the other hand, the need of modern scholars to distance themselves from the practices of early scholars has created a tendency to overanalyse source material – at times when there may be no need to do so.  Although a spade can sometimes in fact be just a spade, there exists a need among scholars to say that it is more than that; the source or object is then deconstructed so much to the point where it loses all meaning or significance, even when it is put into context and compared with its peers.  This is a particular risk when it comes to the examination of written sources, considering the issues that come with interpreting them, namely the intentions of the writer and how they decide to express this through their chosen language – and the way these are translated from thoughts into writing. Such a risk of overanalyses is even higher in the case of translated texts, </w:t>
      </w:r>
      <w:r>
        <w:lastRenderedPageBreak/>
        <w:t xml:space="preserve">where subtleties of syntax or grammar can potentially lead to the source material being misconstrued, depending on the methods involved. </w:t>
      </w:r>
    </w:p>
    <w:p w:rsidR="00BB4F1D" w:rsidRPr="002F0F89" w:rsidRDefault="00BB4F1D" w:rsidP="00D8042F">
      <w:pPr>
        <w:spacing w:line="360" w:lineRule="auto"/>
        <w:jc w:val="both"/>
      </w:pPr>
      <w:r>
        <w:t xml:space="preserve">The overall problem of these approaches, however different they are, remains the same – both of these can be subject to projection.  Although one can make a serious attempt of critically interpreting a source in isolation of their thoughts or expectations, this can be incredibly difficult to achieve in practice – and as such can seriously impact the quality of research being undertaken. Conversely, there also exists the tendency for academics to project their own cultural values (or alternatively, prejudices) onto concepts in the source material, and in doing so put non-existent assumptions into the author’s mouth.  Interpretation of source material, therefore, can be closely tied to the cultural assumptions held by academics, and in turn their personal expectations as to what they want the source to be – as opposed to what it actually is.  It is with these principles in mind that we should begin to analyse our source for the tournament in Sweden – the </w:t>
      </w:r>
      <w:r>
        <w:rPr>
          <w:i/>
        </w:rPr>
        <w:t>Erikskrönnikan.</w:t>
      </w:r>
    </w:p>
    <w:p w:rsidR="00BB4F1D" w:rsidRDefault="00BB4F1D" w:rsidP="00D8042F">
      <w:pPr>
        <w:spacing w:line="360" w:lineRule="auto"/>
        <w:jc w:val="both"/>
      </w:pPr>
    </w:p>
    <w:p w:rsidR="00BB4F1D" w:rsidRPr="00D01A05" w:rsidRDefault="00BB4F1D" w:rsidP="00D8042F">
      <w:pPr>
        <w:pStyle w:val="Heading2"/>
        <w:spacing w:line="360" w:lineRule="auto"/>
        <w:rPr>
          <w:i/>
        </w:rPr>
      </w:pPr>
      <w:bookmarkStart w:id="17" w:name="_Toc513795186"/>
      <w:r w:rsidRPr="00D01A05">
        <w:t xml:space="preserve">Introducing the </w:t>
      </w:r>
      <w:r w:rsidRPr="00D01A05">
        <w:rPr>
          <w:i/>
        </w:rPr>
        <w:t>Erikskrönnikan</w:t>
      </w:r>
      <w:bookmarkEnd w:id="17"/>
      <w:r w:rsidRPr="00D01A05">
        <w:rPr>
          <w:i/>
        </w:rPr>
        <w:t xml:space="preserve"> </w:t>
      </w:r>
    </w:p>
    <w:p w:rsidR="00BB4F1D" w:rsidRPr="00EC5218" w:rsidRDefault="00BB4F1D" w:rsidP="00D8042F">
      <w:pPr>
        <w:spacing w:line="360" w:lineRule="auto"/>
        <w:jc w:val="both"/>
      </w:pPr>
      <w:r>
        <w:t xml:space="preserve">As mentioned in the introduction to this chapter, the </w:t>
      </w:r>
      <w:r w:rsidRPr="00223D29">
        <w:rPr>
          <w:i/>
        </w:rPr>
        <w:t>Erikskrönnikan</w:t>
      </w:r>
      <w:r>
        <w:t xml:space="preserve"> has, and still does remain, the principal source when it comes to the discussion of the tournament in a Swedish context – as well as being an illustrator of how “courtly culture” was transformed through Sweden’s interactions with its neighbours, such as the Danes or the Germans [Holy Roman Empire].</w:t>
      </w:r>
      <w:r>
        <w:rPr>
          <w:rStyle w:val="FootnoteReference"/>
        </w:rPr>
        <w:footnoteReference w:id="58"/>
      </w:r>
      <w:r>
        <w:t xml:space="preserve">  Conversely, this text also provides a glimpse into how chivalric culture was engrained into the consciousness of the new Swedish aristocracy, and in turn how this shaped social conduct not only between Swedes, but also with those beyond their borders whom they often came into contact with. </w:t>
      </w:r>
      <w:r>
        <w:rPr>
          <w:rStyle w:val="FootnoteReference"/>
        </w:rPr>
        <w:footnoteReference w:id="59"/>
      </w:r>
      <w:r>
        <w:t xml:space="preserve">  This also illustrates the demand for chivalric literature in Sweden, which had been stimulated by the translation of Norwegian texts such as the </w:t>
      </w:r>
      <w:r>
        <w:rPr>
          <w:i/>
        </w:rPr>
        <w:t xml:space="preserve">Eufemiavisene </w:t>
      </w:r>
      <w:r>
        <w:t>(</w:t>
      </w:r>
      <w:r>
        <w:rPr>
          <w:i/>
        </w:rPr>
        <w:t xml:space="preserve">Eufemiavisorna </w:t>
      </w:r>
      <w:r>
        <w:t>in Swedish, c. 1302 - 1312).</w:t>
      </w:r>
      <w:r>
        <w:rPr>
          <w:rStyle w:val="FootnoteReference"/>
        </w:rPr>
        <w:footnoteReference w:id="60"/>
      </w:r>
    </w:p>
    <w:p w:rsidR="00BB4F1D" w:rsidRDefault="00BB4F1D" w:rsidP="00D8042F">
      <w:pPr>
        <w:spacing w:line="360" w:lineRule="auto"/>
        <w:jc w:val="both"/>
      </w:pPr>
      <w:r>
        <w:lastRenderedPageBreak/>
        <w:t xml:space="preserve">The central figure in this chronicle is Eric Magnusson (1282 – 1318), brother to King Birger (r. 1290 – 1318), Prince of Sweden, and Duke of </w:t>
      </w:r>
      <w:r w:rsidRPr="0048452E">
        <w:t>Svealand</w:t>
      </w:r>
      <w:r>
        <w:t xml:space="preserve">, </w:t>
      </w:r>
      <w:r w:rsidRPr="0048452E">
        <w:t>Sodermanland, Dalsland, Vastergotland, Varmland</w:t>
      </w:r>
      <w:r>
        <w:t xml:space="preserve">, North </w:t>
      </w:r>
      <w:r w:rsidRPr="0048452E">
        <w:t>Halland</w:t>
      </w:r>
      <w:r>
        <w:t>, and part of Oppland (from 1302) – of which the text covers his exploits in front of the backdrop that is the conflicts both abroad and within Sweden itself.</w:t>
      </w:r>
      <w:r>
        <w:rPr>
          <w:rStyle w:val="FootnoteReference"/>
        </w:rPr>
        <w:footnoteReference w:id="61"/>
      </w:r>
      <w:r>
        <w:t xml:space="preserve">  Though Erik’s life is the central feature of the </w:t>
      </w:r>
      <w:r w:rsidRPr="0048452E">
        <w:rPr>
          <w:i/>
        </w:rPr>
        <w:t>Erikskrönikan</w:t>
      </w:r>
      <w:r>
        <w:t>, the narrative does not begin at his birth in 1282, but in fact uses the death of Eric XI in 1250 as a starting point as to provide some sense of a background in order to put Erik’s deeds into context.</w:t>
      </w:r>
      <w:r>
        <w:rPr>
          <w:rStyle w:val="FootnoteReference"/>
        </w:rPr>
        <w:footnoteReference w:id="62"/>
      </w:r>
      <w:r>
        <w:t xml:space="preserve"> Erik’s death at the hands of Birger at the Nyköping</w:t>
      </w:r>
      <w:r w:rsidRPr="007B5BED">
        <w:rPr>
          <w:bCs/>
        </w:rPr>
        <w:t xml:space="preserve"> Banquet</w:t>
      </w:r>
      <w:r>
        <w:rPr>
          <w:bCs/>
        </w:rPr>
        <w:t xml:space="preserve"> in 1317</w:t>
      </w:r>
      <w:r>
        <w:t xml:space="preserve"> is not a discontinuation of this narrative either – but rather a vehicle for it to continue through his son, Magnus Eriksson, who would later depose Birger and be elected as King of Sweden in 1319.</w:t>
      </w:r>
      <w:r>
        <w:rPr>
          <w:rStyle w:val="FootnoteReference"/>
        </w:rPr>
        <w:footnoteReference w:id="63"/>
      </w:r>
      <w:r>
        <w:t xml:space="preserve">  Legislative changes are also discussed, with the most significant of these being the Charter of Liberties in 1316.</w:t>
      </w:r>
    </w:p>
    <w:p w:rsidR="00BB4F1D" w:rsidRPr="00A16927" w:rsidRDefault="00BB4F1D" w:rsidP="00D8042F">
      <w:pPr>
        <w:spacing w:line="360" w:lineRule="auto"/>
        <w:jc w:val="both"/>
      </w:pPr>
      <w:r>
        <w:t xml:space="preserve">Given that this was the first text of its nature in Sweden during this period, it is not surprising that the chronicle’s author had chosen to undertake the huge task of writing a complete account of Sweden’s recent history from the mid-thirteenth to the early fourteenth century, albeit as preamble to his main narrative – of which can be seen as a teething issue.  Moreover, despite at times being rather sparse in terms of its details, it is still a landmark text in the sense that it provides a perspective of recent events that is uniquely Swedish; considering Sweden’s near non-existent interest in historical writing, it provided the Danes, Germans, Norwegians, and more recently the Russians ample opportunity to control the historical narrative. In other words, the </w:t>
      </w:r>
      <w:r w:rsidRPr="0048452E">
        <w:rPr>
          <w:i/>
        </w:rPr>
        <w:t>Erikskrönikan</w:t>
      </w:r>
      <w:r>
        <w:t xml:space="preserve"> was pivotal in the sense that it gave the Swedes a voice, and in turn a chance to challenge the narrative established by their external peers. </w:t>
      </w:r>
      <w:r>
        <w:rPr>
          <w:rStyle w:val="FootnoteReference"/>
        </w:rPr>
        <w:footnoteReference w:id="64"/>
      </w:r>
    </w:p>
    <w:p w:rsidR="00BB4F1D" w:rsidRDefault="00BB4F1D" w:rsidP="00D8042F">
      <w:pPr>
        <w:spacing w:line="360" w:lineRule="auto"/>
        <w:jc w:val="both"/>
      </w:pPr>
      <w:r>
        <w:t xml:space="preserve">This text occupies a special place in Swedish historical writing given its status, and therefore is of great interest to academics in the field of Scandinavian studies. Despite the magnitude of the </w:t>
      </w:r>
      <w:r w:rsidRPr="00335EFF">
        <w:rPr>
          <w:i/>
        </w:rPr>
        <w:t>Erikskrönikan</w:t>
      </w:r>
      <w:r>
        <w:t>, however, the issue of its provenance still remains, as even with the continued investigations by scholars into its authorship and date of composition this still remains unclear.</w:t>
      </w:r>
      <w:r>
        <w:rPr>
          <w:rStyle w:val="FootnoteReference"/>
        </w:rPr>
        <w:footnoteReference w:id="65"/>
      </w:r>
      <w:r>
        <w:t xml:space="preserve">  Conversely, neither the original manuscript nor any copies of it contemporary to the fourteenth century survive at all, and instead survive through fifteenth and sixteenth century copies - meaning </w:t>
      </w:r>
      <w:r>
        <w:lastRenderedPageBreak/>
        <w:t>that it is almost impossible to distinguish edited passages from the original versions of the text, seeing as the latter does not exist in any shape or form.</w:t>
      </w:r>
      <w:r>
        <w:rPr>
          <w:rStyle w:val="FootnoteReference"/>
        </w:rPr>
        <w:footnoteReference w:id="66"/>
      </w:r>
      <w:r>
        <w:t xml:space="preserve">  As such, academics can only speculate as to the origins of the text based on the circumstantial evidence available, which includes how the narrative was constructed. From there, we can begin to build a picture, albeit a vague one of as to who composed the </w:t>
      </w:r>
      <w:r>
        <w:rPr>
          <w:i/>
        </w:rPr>
        <w:t>Erikskrönikan</w:t>
      </w:r>
      <w:r>
        <w:t xml:space="preserve">.  </w:t>
      </w:r>
    </w:p>
    <w:p w:rsidR="00BB4F1D" w:rsidRDefault="00BB4F1D" w:rsidP="00D8042F">
      <w:pPr>
        <w:spacing w:line="360" w:lineRule="auto"/>
        <w:jc w:val="both"/>
      </w:pPr>
      <w:r>
        <w:t xml:space="preserve">As of the time of writing, the current consensus as to the date of composition of the </w:t>
      </w:r>
      <w:r>
        <w:rPr>
          <w:i/>
        </w:rPr>
        <w:t xml:space="preserve">Erikskrönikan </w:t>
      </w:r>
      <w:r>
        <w:t>is the period of 1322 – 1332, based on a passage included at the end of the text that discusses the death of a Swedish aristocrat – “Sir Bo”.</w:t>
      </w:r>
      <w:r>
        <w:rPr>
          <w:rStyle w:val="FootnoteReference"/>
        </w:rPr>
        <w:footnoteReference w:id="67"/>
      </w:r>
      <w:r>
        <w:t xml:space="preserve"> This is potentially supported by other documents, of which mention that a similarly named nobleman, Bo Nilsson (1281 – 1322) had prepared his will shortly before passed away in 1322.</w:t>
      </w:r>
      <w:r>
        <w:rPr>
          <w:rStyle w:val="FootnoteReference"/>
        </w:rPr>
        <w:footnoteReference w:id="68"/>
      </w:r>
      <w:r>
        <w:t xml:space="preserve">  The presumed identification of Sir Bo with Nilsson provides what translator Erik Carlquist refers to as a “</w:t>
      </w:r>
      <w:r>
        <w:rPr>
          <w:i/>
        </w:rPr>
        <w:t>terminus post quiem</w:t>
      </w:r>
      <w:r>
        <w:t xml:space="preserve">”, or a point in time after which the </w:t>
      </w:r>
      <w:r w:rsidRPr="00F57017">
        <w:rPr>
          <w:i/>
        </w:rPr>
        <w:t>Erikskrönikan</w:t>
      </w:r>
      <w:r>
        <w:rPr>
          <w:i/>
        </w:rPr>
        <w:t xml:space="preserve"> </w:t>
      </w:r>
      <w:r>
        <w:t>must have been composed.</w:t>
      </w:r>
      <w:r>
        <w:rPr>
          <w:rStyle w:val="FootnoteReference"/>
        </w:rPr>
        <w:footnoteReference w:id="69"/>
      </w:r>
      <w:r>
        <w:t xml:space="preserve">  Other academics have challenged this point of view, claiming that the Sir Bo mentioned in the text and Bo Nilsson are entirely different people, and as such their deaths are a matter of coincidence; this would then allow them to put the point of composition specifically to 1320-21, which is immediately after the closing event of the chronicle, the election of Magnus Eriksson as King of Sweden, and his coronation as King of Norway in 1319.</w:t>
      </w:r>
      <w:r>
        <w:rPr>
          <w:rStyle w:val="FootnoteReference"/>
        </w:rPr>
        <w:footnoteReference w:id="70"/>
      </w:r>
      <w:r>
        <w:t xml:space="preserve">   Given this divergence in opinion, there is unfortunately no solution to this problem.</w:t>
      </w:r>
      <w:r>
        <w:rPr>
          <w:rStyle w:val="FootnoteReference"/>
        </w:rPr>
        <w:footnoteReference w:id="71"/>
      </w:r>
    </w:p>
    <w:p w:rsidR="00BB4F1D" w:rsidRDefault="00BB4F1D" w:rsidP="00D8042F">
      <w:pPr>
        <w:spacing w:line="360" w:lineRule="auto"/>
        <w:jc w:val="both"/>
      </w:pPr>
      <w:r>
        <w:t xml:space="preserve">Alternatively, others have chosen the date of 1320-21 on the basis of the biases (or narrative) and named persons present in the </w:t>
      </w:r>
      <w:r>
        <w:rPr>
          <w:i/>
        </w:rPr>
        <w:t>Erikskrönikan</w:t>
      </w:r>
      <w:r>
        <w:t xml:space="preserve"> – which leans towards the future king Magnus, and those who were to populate his court.  One theory goes as far to argue that the </w:t>
      </w:r>
      <w:r>
        <w:rPr>
          <w:i/>
        </w:rPr>
        <w:t xml:space="preserve">Erikskrönikan </w:t>
      </w:r>
      <w:r>
        <w:t>was written by a person in the aristocratic circle of around the chamberlain Mats Kettlemundsson, who had proactively supported both Erik, and in turn Magnus since his childhood – and had later acted as regent of Sweden to the young king before he was elected in 1319.</w:t>
      </w:r>
      <w:r>
        <w:rPr>
          <w:rStyle w:val="FootnoteReference"/>
        </w:rPr>
        <w:footnoteReference w:id="72"/>
      </w:r>
      <w:r>
        <w:t xml:space="preserve"> In the chronicle, Mats is portrayed as both a gentleman and a stalwart warrior, especially in relation to his campaigns against Novgorod in Russia – to which he is characterised as an example, and in turn the epitome of knighthood.</w:t>
      </w:r>
      <w:r>
        <w:rPr>
          <w:rStyle w:val="FootnoteReference"/>
        </w:rPr>
        <w:footnoteReference w:id="73"/>
      </w:r>
      <w:r>
        <w:t xml:space="preserve">  Mats’ bravery is lauded, for example, in a passage that concerns what can only be </w:t>
      </w:r>
      <w:r>
        <w:lastRenderedPageBreak/>
        <w:t>described as a peculiar show of strength against his Russian enemies.</w:t>
      </w:r>
      <w:r>
        <w:rPr>
          <w:rStyle w:val="FootnoteReference"/>
        </w:rPr>
        <w:footnoteReference w:id="74"/>
      </w:r>
      <w:r>
        <w:t xml:space="preserve"> Before a pitched battle, Mats invites his opponents to confront him alone and unsaddle him, of which they refuse; the chronicle uses this to describe Mats as a hero, as opposed to the characterisation of cowardice imposed onto his Russian foes.</w:t>
      </w:r>
      <w:r>
        <w:rPr>
          <w:rStyle w:val="FootnoteReference"/>
        </w:rPr>
        <w:footnoteReference w:id="75"/>
      </w:r>
      <w:r>
        <w:t xml:space="preserve"> Ingeborg, duchess of Varburg, wife of Erik and mother to Magnus is another potential candidate, given the author’s tendency to eulogize her as some sort of saintly figure in comparison to her brother-in-law, the villainous King Birger.</w:t>
      </w:r>
      <w:r>
        <w:rPr>
          <w:rStyle w:val="FootnoteReference"/>
        </w:rPr>
        <w:footnoteReference w:id="76"/>
      </w:r>
      <w:r>
        <w:t xml:space="preserve">   Given how the chronicle portrays these figures, it is not surprising that scholars have chosen to put this timescale as somewhere between 1320-21.</w:t>
      </w:r>
      <w:r>
        <w:rPr>
          <w:rStyle w:val="FootnoteReference"/>
        </w:rPr>
        <w:footnoteReference w:id="77"/>
      </w:r>
      <w:r>
        <w:t xml:space="preserve"> </w:t>
      </w:r>
    </w:p>
    <w:p w:rsidR="00BB4F1D" w:rsidRDefault="00BB4F1D" w:rsidP="00D8042F">
      <w:pPr>
        <w:spacing w:line="360" w:lineRule="auto"/>
        <w:jc w:val="both"/>
      </w:pPr>
      <w:r>
        <w:t xml:space="preserve">1332 is another popular hypothesis as to the date of the </w:t>
      </w:r>
      <w:r w:rsidRPr="00B73A20">
        <w:rPr>
          <w:i/>
        </w:rPr>
        <w:t>Erikskrönnikan</w:t>
      </w:r>
      <w:r>
        <w:t xml:space="preserve"> composition, as Magnus, now fifteen, is declared to be of age in both Norway and Sweden – although there is resistance from the former, led by Regent Erling Vidkunsson (a statute from 1302 declared that a person must be twenty years old to be of age).</w:t>
      </w:r>
      <w:r>
        <w:rPr>
          <w:rStyle w:val="FootnoteReference"/>
        </w:rPr>
        <w:footnoteReference w:id="78"/>
      </w:r>
      <w:r>
        <w:t xml:space="preserve">  What this argument is based on is the chronicle’s tendency to side with Erik in the disputes over the Swedish crown (at the expense of Birger), and his clear opposition to reforms that would expand the power of the king – whether it be of his brother, or later to young Magnus.</w:t>
      </w:r>
      <w:r>
        <w:rPr>
          <w:rStyle w:val="FootnoteReference"/>
        </w:rPr>
        <w:footnoteReference w:id="79"/>
      </w:r>
      <w:r>
        <w:t xml:space="preserve">  In his translation of the chronicle, Carlquist notes that election of young Magnus at the Stone of Mora [in Knivsta] was portrayed as just that – an election.</w:t>
      </w:r>
      <w:r>
        <w:rPr>
          <w:rStyle w:val="FootnoteReference"/>
        </w:rPr>
        <w:footnoteReference w:id="80"/>
      </w:r>
      <w:r>
        <w:t xml:space="preserve">  Magnus’ power as king is based on this, and he should therefore go far to be benevolent to his subjects and treat them with complete respect. </w:t>
      </w:r>
      <w:r>
        <w:rPr>
          <w:rStyle w:val="FootnoteReference"/>
        </w:rPr>
        <w:footnoteReference w:id="81"/>
      </w:r>
      <w:r>
        <w:t xml:space="preserve">  Carlquist then goes on to say that this is the message that the aristocrats wished to impart on the young king, as to avoid another reign of tyranny in the same vein of Birger’s final years. </w:t>
      </w:r>
      <w:r>
        <w:rPr>
          <w:rStyle w:val="FootnoteReference"/>
        </w:rPr>
        <w:footnoteReference w:id="82"/>
      </w:r>
    </w:p>
    <w:p w:rsidR="00BB4F1D" w:rsidRDefault="00BB4F1D" w:rsidP="00D8042F">
      <w:pPr>
        <w:spacing w:line="360" w:lineRule="auto"/>
        <w:jc w:val="both"/>
      </w:pPr>
      <w:r>
        <w:t>There does however exist the theory that challenges all those outlined above, in the sense that it asserts that the author of the chronicle was not a nobleman at all – but in fact someone from within the ecclesiastical or monastic communities.</w:t>
      </w:r>
      <w:r>
        <w:rPr>
          <w:rStyle w:val="FootnoteReference"/>
        </w:rPr>
        <w:footnoteReference w:id="83"/>
      </w:r>
      <w:r>
        <w:t xml:space="preserve">  This is in connection to the positive, almost fanciful portrayal of the church, the monastic orders and their affairs within Sweden during this period; along with long discussions of the forays these groups made into Russia and the Baltics.</w:t>
      </w:r>
      <w:r>
        <w:rPr>
          <w:rStyle w:val="FootnoteReference"/>
        </w:rPr>
        <w:footnoteReference w:id="84"/>
      </w:r>
      <w:r>
        <w:t xml:space="preserve">  This has </w:t>
      </w:r>
      <w:r>
        <w:lastRenderedPageBreak/>
        <w:t xml:space="preserve">led to the notion that the </w:t>
      </w:r>
      <w:r>
        <w:rPr>
          <w:i/>
        </w:rPr>
        <w:t>Erikskrönikan</w:t>
      </w:r>
      <w:r>
        <w:t xml:space="preserve"> potentially may be a church document, written by a cleric from Västergötland on behalf of a Swedish lawmaker during the period of 1325 – 1332.</w:t>
      </w:r>
      <w:r>
        <w:rPr>
          <w:rStyle w:val="FootnoteReference"/>
        </w:rPr>
        <w:footnoteReference w:id="85"/>
      </w:r>
      <w:r>
        <w:t xml:space="preserve">  </w:t>
      </w:r>
    </w:p>
    <w:p w:rsidR="00BB4F1D" w:rsidRDefault="00BB4F1D" w:rsidP="00D8042F">
      <w:pPr>
        <w:spacing w:line="360" w:lineRule="auto"/>
        <w:jc w:val="both"/>
      </w:pPr>
      <w:r>
        <w:t xml:space="preserve">He clearly had an ecclesiastical or monastic background of sorts, given his ability to discuss not only affairs, but also the inner workings and the traditions the church in Sweden held during this period in expert detail. </w:t>
      </w:r>
      <w:r>
        <w:rPr>
          <w:rStyle w:val="FootnoteReference"/>
        </w:rPr>
        <w:footnoteReference w:id="86"/>
      </w:r>
      <w:r>
        <w:t xml:space="preserve"> As he was employed under a lawmaker, this cleric clearly would have been in contact with those close to Erik, Magnus and their respective courts, as well as the representatives of law who had shaped events that took place in the chronicle’s narrative – as he would otherwise not be able to describe legislature in such detail.</w:t>
      </w:r>
    </w:p>
    <w:p w:rsidR="00BB4F1D" w:rsidRDefault="00BB4F1D" w:rsidP="00D8042F">
      <w:pPr>
        <w:spacing w:line="360" w:lineRule="auto"/>
        <w:jc w:val="both"/>
      </w:pPr>
      <w:r>
        <w:t xml:space="preserve">As is seen above, the provenance of the chronicle still remains a subject of speculation in academic circles given the uncertainty over both its authorship, and date of composition – from which we can only build a vague picture as to who composed the </w:t>
      </w:r>
      <w:r>
        <w:rPr>
          <w:i/>
        </w:rPr>
        <w:t>Erikskrönikan</w:t>
      </w:r>
      <w:r>
        <w:t xml:space="preserve">. From the evidence discussed, all that can be considered historical fact is that the author was clearly someone who was somewhat involved in the close circles of the royal and ecclesiastical courts, or at least had been given access to the documents (i.e. law books) needed for research.  He must have written during the period of 1320 – 1335, seeing as the narrative concludes with the election of Magnus as king of Sweden in 1319, and the death of the mysterious “Sir Bo” in 1322. The facts are therefore quite sparse, but this does not reduce the significance of the </w:t>
      </w:r>
      <w:r>
        <w:rPr>
          <w:i/>
        </w:rPr>
        <w:t xml:space="preserve">Erikskrönnikan </w:t>
      </w:r>
      <w:r>
        <w:t>in any way, as we will see shortly.</w:t>
      </w:r>
    </w:p>
    <w:p w:rsidR="00BB4F1D" w:rsidRDefault="00BB4F1D" w:rsidP="00D8042F">
      <w:pPr>
        <w:spacing w:line="360" w:lineRule="auto"/>
        <w:jc w:val="both"/>
      </w:pPr>
      <w:r>
        <w:t xml:space="preserve">Although the chronicle’s main significance lies in it being the first of its nature in Sweden, it still remains a landmark text in terms of how it discusses the notions of identity and cosmopolitanism – whether it be in relation the courts of Birger and Magnus, or the relationships both kings had with those around them. </w:t>
      </w:r>
      <w:r>
        <w:rPr>
          <w:rStyle w:val="FootnoteReference"/>
        </w:rPr>
        <w:footnoteReference w:id="87"/>
      </w:r>
      <w:r>
        <w:t xml:space="preserve">  Conversely, we can observe the relationship the Swedes had with their environment, and how this figured into the overall picture that was their chosen identity.  In the Chronicle’s introduction, for example, the author marvels at scale of God’s created world, where Sweden is included as one of the many lands of the Lord’s work – “Sweden” would later be mentioned a total of forty-two times throughout the Chronicle – which according to Gisela Vilhelmsdotter in her landmark text </w:t>
      </w:r>
      <w:r w:rsidRPr="00E11D63">
        <w:rPr>
          <w:i/>
        </w:rPr>
        <w:t>Riddare, bonde och biskop</w:t>
      </w:r>
      <w:r>
        <w:rPr>
          <w:i/>
        </w:rPr>
        <w:t xml:space="preserve"> [Knight, Farmer, Bishop, 1999]</w:t>
      </w:r>
      <w:r>
        <w:t xml:space="preserve"> meant that the author had clearly intended to refer to Sweden as a geographical unit.</w:t>
      </w:r>
      <w:r>
        <w:rPr>
          <w:rStyle w:val="FootnoteReference"/>
        </w:rPr>
        <w:footnoteReference w:id="88"/>
      </w:r>
      <w:r>
        <w:t xml:space="preserve"> </w:t>
      </w:r>
    </w:p>
    <w:p w:rsidR="00BB4F1D" w:rsidRDefault="00BB4F1D" w:rsidP="00D8042F">
      <w:pPr>
        <w:spacing w:line="360" w:lineRule="auto"/>
        <w:jc w:val="both"/>
      </w:pPr>
      <w:r>
        <w:t xml:space="preserve">That being said, however, there is a significant difference between an identity linked to region, and one based on loyalty to an institution – in this case, the Swedish crown.  To return to the work of </w:t>
      </w:r>
      <w:r>
        <w:lastRenderedPageBreak/>
        <w:t xml:space="preserve">Vilhelmsdotter, it is noted that the term “Swedish” is rarely mentioned, if at all in the oldest Swedish manuscripts – the </w:t>
      </w:r>
      <w:r>
        <w:rPr>
          <w:i/>
        </w:rPr>
        <w:t>Erikskrönnikan</w:t>
      </w:r>
      <w:r>
        <w:t xml:space="preserve"> included.</w:t>
      </w:r>
      <w:r>
        <w:rPr>
          <w:rStyle w:val="FootnoteReference"/>
        </w:rPr>
        <w:footnoteReference w:id="89"/>
      </w:r>
      <w:r>
        <w:t xml:space="preserve">  The term Swede is not clearly something that was on the minds of people living in Sweden at the dawn of the fourteenth century, nor was it obvious to the author when it came to referring to those in positions of power such as the aristocracy.</w:t>
      </w:r>
      <w:r>
        <w:rPr>
          <w:rStyle w:val="FootnoteReference"/>
        </w:rPr>
        <w:footnoteReference w:id="90"/>
      </w:r>
      <w:r>
        <w:t xml:space="preserve">  Our anonymous chronicler uses another term to refer to these men – </w:t>
      </w:r>
      <w:r>
        <w:rPr>
          <w:i/>
        </w:rPr>
        <w:t>Uppländska</w:t>
      </w:r>
      <w:r w:rsidRPr="009426F3">
        <w:rPr>
          <w:i/>
        </w:rPr>
        <w:t xml:space="preserve"> </w:t>
      </w:r>
      <w:r>
        <w:t xml:space="preserve">– on a frequent basis throughout his chronicle, although it is unclear as to whether this is interchangeable with the term “Swedish”.  This is the belief of some scholars, but is not held by Vilhelmsdotter – who is of the belief that it may merely refer to men from Uppland, in Svealand, who were to become close companions to Erik within his retinue. This would mean, therefore, that these people would feel something that was closer to a regional identity, whether it be the “Upplanders” or comparably, the people of the island of Gotland (who identified as Wends, and as such felt a closer connection to the Estonians and the Latvians than they did fellow Swedes), as opposed to a national identity in a modern sense. </w:t>
      </w:r>
      <w:r>
        <w:rPr>
          <w:rStyle w:val="FootnoteReference"/>
        </w:rPr>
        <w:footnoteReference w:id="91"/>
      </w:r>
      <w:r>
        <w:t xml:space="preserve"> Despite the scenes of struggle against foreign enemies, actual incidences of xenophobia within the chronicle are relatively low – with exception for the few foreigners (</w:t>
      </w:r>
      <w:r w:rsidRPr="00424EDD">
        <w:rPr>
          <w:i/>
        </w:rPr>
        <w:t>utländska</w:t>
      </w:r>
      <w:r>
        <w:rPr>
          <w:i/>
        </w:rPr>
        <w:t>)</w:t>
      </w:r>
      <w:r>
        <w:t xml:space="preserve"> who had chosen to surround King Birger during the period of 1317-19.</w:t>
      </w:r>
      <w:r>
        <w:rPr>
          <w:rStyle w:val="FootnoteReference"/>
        </w:rPr>
        <w:footnoteReference w:id="92"/>
      </w:r>
      <w:r>
        <w:t xml:space="preserve">  It instead creates an air of cosmopolitanism within the royal courts, where prestige was closely linked to the presence of foreign guests and emissaries – of whom would later flock to Magnus in celebration of Birger’s fall. </w:t>
      </w:r>
      <w:r>
        <w:rPr>
          <w:rStyle w:val="FootnoteReference"/>
        </w:rPr>
        <w:footnoteReference w:id="93"/>
      </w:r>
    </w:p>
    <w:p w:rsidR="00BB4F1D" w:rsidRPr="00F5056C" w:rsidRDefault="00BB4F1D" w:rsidP="00D8042F">
      <w:pPr>
        <w:spacing w:line="360" w:lineRule="auto"/>
        <w:jc w:val="both"/>
      </w:pPr>
      <w:r>
        <w:t xml:space="preserve">And finally, its ultimate significance does not come from the content itself, but rather how it is composed – specifically the language, and format.  The </w:t>
      </w:r>
      <w:r>
        <w:rPr>
          <w:i/>
        </w:rPr>
        <w:t>Erikskr</w:t>
      </w:r>
      <w:r>
        <w:rPr>
          <w:rFonts w:cstheme="minorHAnsi"/>
          <w:i/>
        </w:rPr>
        <w:t>ö</w:t>
      </w:r>
      <w:r>
        <w:rPr>
          <w:i/>
        </w:rPr>
        <w:t>nnikan</w:t>
      </w:r>
      <w:r>
        <w:t xml:space="preserve">, unlike its Danish and Norwegian counterparts (bar the translation of existing texts) is written entirely in a German form of doggerel, </w:t>
      </w:r>
      <w:r w:rsidRPr="00BB4F1D">
        <w:rPr>
          <w:i/>
        </w:rPr>
        <w:t>Knittelvers</w:t>
      </w:r>
      <w:r>
        <w:rPr>
          <w:i/>
        </w:rPr>
        <w:t xml:space="preserve"> </w:t>
      </w:r>
      <w:r>
        <w:t>(“cudgel verse”),</w:t>
      </w:r>
      <w:r>
        <w:rPr>
          <w:i/>
        </w:rPr>
        <w:t xml:space="preserve"> </w:t>
      </w:r>
      <w:r>
        <w:t>and makes use of loan words to express a number of phrases where it would be difficult to do so in Old Swedish – in particular its use of nouns – in his paper</w:t>
      </w:r>
      <w:r w:rsidRPr="00E12258">
        <w:t xml:space="preserve"> </w:t>
      </w:r>
      <w:r>
        <w:t>'</w:t>
      </w:r>
      <w:r w:rsidRPr="00BB4F1D">
        <w:rPr>
          <w:i/>
        </w:rPr>
        <w:t>Wie intensiv war der Mittelniederdeutsch-Skandinavische Sprachkontakt wirklich</w:t>
      </w:r>
      <w:r w:rsidRPr="00765A3F">
        <w:rPr>
          <w:i/>
        </w:rPr>
        <w:t>?</w:t>
      </w:r>
      <w:r>
        <w:t>' Ludger Zeevaert mentions that these are mainly “cultural items”.</w:t>
      </w:r>
      <w:r>
        <w:rPr>
          <w:rStyle w:val="FootnoteReference"/>
        </w:rPr>
        <w:footnoteReference w:id="94"/>
      </w:r>
      <w:r>
        <w:t xml:space="preserve">  This is a rather crude form of verse, which was often considered awkward and clumsy by reputable poets within the Empire – especially as it lacked the nuance of more complex forms such as lyric poetry (seen in works such as </w:t>
      </w:r>
      <w:r>
        <w:rPr>
          <w:i/>
        </w:rPr>
        <w:t>Der Busant</w:t>
      </w:r>
      <w:r>
        <w:t>).</w:t>
      </w:r>
      <w:r>
        <w:rPr>
          <w:rStyle w:val="FootnoteReference"/>
        </w:rPr>
        <w:footnoteReference w:id="95"/>
      </w:r>
      <w:r>
        <w:t xml:space="preserve">  Such use of the German language was already controversial within Sweden, where it faced resistance from linguistic purists worried about Sweden’s national identity (as loose as it was) being watered </w:t>
      </w:r>
      <w:r>
        <w:lastRenderedPageBreak/>
        <w:t>down, or even lost to, the creeping influence of the German language through the expansion of the Hanseatic league into Scandinavia – as shown by poems and proclamations produced during this period.</w:t>
      </w:r>
      <w:r>
        <w:rPr>
          <w:rStyle w:val="FootnoteReference"/>
        </w:rPr>
        <w:footnoteReference w:id="96"/>
      </w:r>
      <w:r>
        <w:t xml:space="preserve"> To address this issue, in 1350 Magnus Eriksson decided to put the </w:t>
      </w:r>
      <w:r>
        <w:rPr>
          <w:i/>
        </w:rPr>
        <w:t xml:space="preserve">Landslag </w:t>
      </w:r>
      <w:r>
        <w:t>(National Law) into effect, which ruled that all official documents, dossiers and proclamations had to be written and reproduced in Swedish.</w:t>
      </w:r>
      <w:r>
        <w:rPr>
          <w:rStyle w:val="FootnoteReference"/>
        </w:rPr>
        <w:footnoteReference w:id="97"/>
      </w:r>
      <w:r>
        <w:t xml:space="preserve"> </w:t>
      </w:r>
    </w:p>
    <w:p w:rsidR="00BB4F1D" w:rsidRDefault="00BB4F1D" w:rsidP="00D8042F">
      <w:pPr>
        <w:spacing w:line="360" w:lineRule="auto"/>
        <w:jc w:val="both"/>
      </w:pPr>
      <w:r>
        <w:t xml:space="preserve">The German influence in the </w:t>
      </w:r>
      <w:r>
        <w:rPr>
          <w:i/>
        </w:rPr>
        <w:t>Erikskrönnikan</w:t>
      </w:r>
      <w:r>
        <w:t xml:space="preserve"> does not only exist in its structure, but also extends to the fundamental ideas that underpinned it such as the “plot”, where one can observe elements of High and Middle German romances such as </w:t>
      </w:r>
      <w:r w:rsidRPr="00BA318A">
        <w:rPr>
          <w:i/>
        </w:rPr>
        <w:t>Herzog Ernst</w:t>
      </w:r>
      <w:r>
        <w:t xml:space="preserve">, </w:t>
      </w:r>
      <w:r>
        <w:rPr>
          <w:i/>
        </w:rPr>
        <w:t xml:space="preserve">Kudrun, </w:t>
      </w:r>
      <w:r w:rsidRPr="00BA318A">
        <w:rPr>
          <w:i/>
        </w:rPr>
        <w:t>Niebelungunlied</w:t>
      </w:r>
      <w:r>
        <w:t xml:space="preserve">, and </w:t>
      </w:r>
      <w:r>
        <w:rPr>
          <w:i/>
        </w:rPr>
        <w:t>Parzival</w:t>
      </w:r>
      <w:r>
        <w:t xml:space="preserve"> in its both its narrative and how it clearly re-purposes Arthurian literature to fit a native context; the characters of Arthurian legend are replaced with Old Swedish heroes (such as Erik), of which their characteristics are then imposed upon.</w:t>
      </w:r>
      <w:r>
        <w:rPr>
          <w:rStyle w:val="FootnoteReference"/>
        </w:rPr>
        <w:footnoteReference w:id="98"/>
      </w:r>
      <w:r>
        <w:t xml:space="preserve"> That being said, what early examples of Scandinavian chivalric literature could not come to terms with in contrast to their German influences, however, was the subtleties of romance and sexuality that underpinned the form – of which the </w:t>
      </w:r>
      <w:r>
        <w:rPr>
          <w:i/>
        </w:rPr>
        <w:t xml:space="preserve">Erikskrönnikan </w:t>
      </w:r>
      <w:r>
        <w:t>was no exception.  This is evidenced by the emphasis on scenes of violence as opposed to love, with the vast majority of the chronicle’s 4,553 lines being devoted to such acts.</w:t>
      </w:r>
      <w:r>
        <w:rPr>
          <w:rStyle w:val="FootnoteReference"/>
        </w:rPr>
        <w:footnoteReference w:id="99"/>
      </w:r>
    </w:p>
    <w:p w:rsidR="00BB4F1D" w:rsidRDefault="00BB4F1D" w:rsidP="00D8042F">
      <w:pPr>
        <w:spacing w:line="360" w:lineRule="auto"/>
        <w:jc w:val="both"/>
      </w:pPr>
      <w:r>
        <w:t xml:space="preserve">What the </w:t>
      </w:r>
      <w:r w:rsidRPr="00D36119">
        <w:rPr>
          <w:i/>
        </w:rPr>
        <w:t>Erikskrönnikan</w:t>
      </w:r>
      <w:r>
        <w:t xml:space="preserve"> does show, in summary, is the reception of mainly German cultural forms, and the rising influence of the Middle/High German language within Sweden – to the point where this phenomenon had to be addressed, and dealt with through the use of Law; this rise (and the volatile response from Swedish purists that came with it) was to set a precedent for the social and political changes of the next seventy years, of which would reach its height after Albrecht of Mecklenburg was crowned as King of Sweden in 1364.</w:t>
      </w:r>
      <w:r>
        <w:rPr>
          <w:rStyle w:val="FootnoteReference"/>
        </w:rPr>
        <w:footnoteReference w:id="100"/>
      </w:r>
      <w:r>
        <w:t xml:space="preserve"> </w:t>
      </w:r>
    </w:p>
    <w:p w:rsidR="00BB4F1D" w:rsidRDefault="00BB4F1D" w:rsidP="00D8042F">
      <w:pPr>
        <w:pStyle w:val="Heading2"/>
      </w:pPr>
      <w:bookmarkStart w:id="19" w:name="_Toc513795187"/>
      <w:r>
        <w:t>Analysing the Tournament</w:t>
      </w:r>
      <w:bookmarkEnd w:id="19"/>
    </w:p>
    <w:p w:rsidR="00BB4F1D" w:rsidRDefault="00BB4F1D" w:rsidP="00D8042F">
      <w:pPr>
        <w:spacing w:line="360" w:lineRule="auto"/>
        <w:jc w:val="both"/>
      </w:pPr>
      <w:r>
        <w:t xml:space="preserve">Since the principal source for the tournament within Scandinavia has been introduced, we can now begin to examine how the </w:t>
      </w:r>
      <w:r>
        <w:rPr>
          <w:i/>
        </w:rPr>
        <w:t>Erikskrönnikan</w:t>
      </w:r>
      <w:r>
        <w:t xml:space="preserve"> discusses this in relation to how ritual is used to shape, and then affirm, cultural identity. As mentioned previously, the </w:t>
      </w:r>
      <w:r>
        <w:rPr>
          <w:i/>
        </w:rPr>
        <w:t>Erikskrönnikan</w:t>
      </w:r>
      <w:r>
        <w:t xml:space="preserve"> is quite sparse when it comes to discussing the finer details – which includes elements of the tournament, in particular the people who took part in each bout (and the results of these), and items of dress such as armour, liveries or standards – and as such can be difficult to visualise.</w:t>
      </w:r>
      <w:r>
        <w:rPr>
          <w:rStyle w:val="FootnoteReference"/>
        </w:rPr>
        <w:footnoteReference w:id="101"/>
      </w:r>
      <w:r>
        <w:t xml:space="preserve">  In order to be able to visualise these and paint a better picture, therefore, a point of contrast is needed; to which we will use the </w:t>
      </w:r>
      <w:r>
        <w:lastRenderedPageBreak/>
        <w:t xml:space="preserve">tournament culture of Burgundy and the Low Countries in the late fourteenth/fifteenth centuries as an example.  Despite their geographical differences, the tournament in both Scandinavia and the Low Countries (or Burgundy) is of similar origin in the sense that they were influenced by continental models, and had then adapted these to their own ends – diverging culturally in the process.  Burgundy’s use of the tournament was far more developed, and in turn cosmopolitan in nature compared to that of Scandinavia (in particular Sweden), to which we can contrast their development. </w:t>
      </w:r>
      <w:r>
        <w:rPr>
          <w:rStyle w:val="FootnoteReference"/>
        </w:rPr>
        <w:footnoteReference w:id="102"/>
      </w:r>
    </w:p>
    <w:p w:rsidR="00BB4F1D" w:rsidRPr="00E17963" w:rsidRDefault="00BB4F1D" w:rsidP="00D8042F">
      <w:pPr>
        <w:spacing w:line="360" w:lineRule="auto"/>
        <w:jc w:val="both"/>
      </w:pPr>
      <w:r>
        <w:t>Although the tournament had a number of spoken and written rules in terms of conduct (i.e. weapons regulations), there also existed an entire range of unspoken rules, which were clearly designed to shape social conduct – of which among these was the exclusivity of these events among the nobility.  Although tournaments are often depicted as being events that were free to attend by all members of society, in actuality this was not the case at all – with attendance, and more importantly participation of these events being restricted to the nobility – and were rarely attended by Kings (bar their own tournaments) as these were seen to be the domain of their subjects.</w:t>
      </w:r>
      <w:r>
        <w:rPr>
          <w:rStyle w:val="FootnoteReference"/>
        </w:rPr>
        <w:footnoteReference w:id="103"/>
      </w:r>
      <w:r>
        <w:t xml:space="preserve">  To be invited to a tournament was to be affirmed as a member of an elite by one’s peers, and certainly to win one was a show of such strength and prestige – as the numerous victories listed by Erik’s team over the space of nearly two decades between 1302 – 1317 in the </w:t>
      </w:r>
      <w:r>
        <w:rPr>
          <w:i/>
        </w:rPr>
        <w:t>Erikskrönnikan</w:t>
      </w:r>
      <w:r>
        <w:t xml:space="preserve"> clearly shows. </w:t>
      </w:r>
      <w:r>
        <w:rPr>
          <w:rStyle w:val="FootnoteReference"/>
        </w:rPr>
        <w:footnoteReference w:id="104"/>
      </w:r>
    </w:p>
    <w:p w:rsidR="00BB4F1D" w:rsidRDefault="00BB4F1D" w:rsidP="00D8042F">
      <w:pPr>
        <w:spacing w:line="360" w:lineRule="auto"/>
        <w:jc w:val="both"/>
      </w:pPr>
      <w:r>
        <w:t xml:space="preserve">The attendance of a king to these events, therefore, was to not only an act to include himself among his peers, but to also observe them at close hand – even more so if he is to participate in such activities. The extent to which it was acceptable for a king to be involved in a tournament varied by period and culture, with the French kings of the twelfth century such as Louis VI, for example often opting to take a backseat in these affairs – as he saw tournaments as a threat to the crown, given the vast amount of knights (and in his eyes, potential traitors) present in a small place at one time – as opposed to the kings of the sixteenth century, such as Henry II, who relished in the tournament and used it to their advantage (closer control of subjects).  In the </w:t>
      </w:r>
      <w:r>
        <w:rPr>
          <w:i/>
        </w:rPr>
        <w:t>Erikskrönnikan</w:t>
      </w:r>
      <w:r>
        <w:t>, appearances by King Birger at tournaments were relatively sparse, restricted only to acts of mutual cultural exchange with his Danish, German and Norwegian neighbours – such as weddings or summits, like the double wedding of Duke Erik to Ingeborg (of Varbug, daughter of H</w:t>
      </w:r>
      <w:r>
        <w:rPr>
          <w:rFonts w:cstheme="minorHAnsi"/>
        </w:rPr>
        <w:t>å</w:t>
      </w:r>
      <w:r>
        <w:t>kon V of Norway), and his brother, Valdemar, to H</w:t>
      </w:r>
      <w:r>
        <w:rPr>
          <w:rFonts w:cstheme="minorHAnsi"/>
        </w:rPr>
        <w:t>å</w:t>
      </w:r>
      <w:r>
        <w:t>kon’s nice in 1312.</w:t>
      </w:r>
      <w:r>
        <w:rPr>
          <w:rStyle w:val="FootnoteReference"/>
        </w:rPr>
        <w:footnoteReference w:id="105"/>
      </w:r>
      <w:r>
        <w:t xml:space="preserve"> The purpose of these tournaments, therefore, was to create </w:t>
      </w:r>
      <w:r>
        <w:lastRenderedPageBreak/>
        <w:t xml:space="preserve">and consolidate diplomatic ties with neighbouring European powers, and to show the power of Sweden’s knights on the international stage; whether it be the </w:t>
      </w:r>
      <w:r>
        <w:rPr>
          <w:i/>
        </w:rPr>
        <w:t>tournoi</w:t>
      </w:r>
      <w:r>
        <w:t xml:space="preserve"> on foot, or the joust on horseback.</w:t>
      </w:r>
    </w:p>
    <w:p w:rsidR="00BB4F1D" w:rsidRPr="00AD1D73" w:rsidRDefault="00BB4F1D" w:rsidP="00D8042F">
      <w:pPr>
        <w:spacing w:line="360" w:lineRule="auto"/>
        <w:jc w:val="both"/>
      </w:pPr>
      <w:r>
        <w:t>The social exclusivity of the tournament as in late medieval Europe was not so present in Burgundy and the Low Countries circa 1450, where they acted as facilitators for both socio-economic and cultural exchange – for these events were to act as conferences for the fiscally minded, and as an opportunity to increase their profit margins.</w:t>
      </w:r>
      <w:r>
        <w:rPr>
          <w:rStyle w:val="FootnoteReference"/>
        </w:rPr>
        <w:footnoteReference w:id="106"/>
      </w:r>
      <w:r>
        <w:t xml:space="preserve">  These conversely provided an opportunity for newly integrated peoples to release tensions, and as such eased the transition of provinces such as Brabant into Burgundy’s ever-expanding network.</w:t>
      </w:r>
      <w:r>
        <w:rPr>
          <w:rStyle w:val="FootnoteReference"/>
        </w:rPr>
        <w:footnoteReference w:id="107"/>
      </w:r>
      <w:r>
        <w:t xml:space="preserve"> These became commonplace during the early fifteenth century, and were not organised purely for the basis of festivity – but to provide a meeting place where the local elites and the merchant class could come together and negotiate business transactions.  Tournaments were that integral to local governance that annual events, such as the tournament of the White Boar in Bruge, were financed by the civic authorities – of which both noblemen, and businessmen could take part.</w:t>
      </w:r>
      <w:r>
        <w:rPr>
          <w:rStyle w:val="FootnoteReference"/>
        </w:rPr>
        <w:footnoteReference w:id="108"/>
      </w:r>
      <w:r>
        <w:t xml:space="preserve"> Conversely, markets were often venues for such tournaments, where it could promote trade between locals and the merchant class; the most significant of these being the regular tournaments hosted by the court of Philip the Good (1396 – 1467) at the Grote Market [or Grand Place] in Brussels from 1430-39. Philip would often organise a</w:t>
      </w:r>
      <w:r w:rsidRPr="00AD1D73">
        <w:rPr>
          <w:i/>
        </w:rPr>
        <w:t xml:space="preserve"> tournoi</w:t>
      </w:r>
      <w:r>
        <w:t xml:space="preserve">, where he would invite both nobles and businessmen to take part – as he would himself.  Tournaments in Burgundy, therefore, were far more cosmopolitan in nature as they eschewed the social expectations of their Northern European counterparts by removing the barriers placed on them, and in doing so encouraged contact between the inter-urban and urban-courtly worlds. To the people of Burgundy, neither the nobility nor the king were inaccessible figures to which they could only see but not necessarily touch, but real, tangible people that they could share close social or fiscal connections with. </w:t>
      </w:r>
      <w:r>
        <w:rPr>
          <w:rStyle w:val="FootnoteReference"/>
        </w:rPr>
        <w:footnoteReference w:id="109"/>
      </w:r>
    </w:p>
    <w:p w:rsidR="00BB4F1D" w:rsidRDefault="00BB4F1D" w:rsidP="00D8042F">
      <w:pPr>
        <w:pStyle w:val="Heading1"/>
        <w:jc w:val="both"/>
      </w:pPr>
      <w:bookmarkStart w:id="20" w:name="_Toc513795188"/>
      <w:r>
        <w:t>Chapter Four: Conclusion</w:t>
      </w:r>
      <w:bookmarkEnd w:id="20"/>
    </w:p>
    <w:p w:rsidR="00BB4F1D" w:rsidRDefault="00BB4F1D" w:rsidP="00D8042F">
      <w:pPr>
        <w:jc w:val="both"/>
      </w:pPr>
      <w:r>
        <w:t xml:space="preserve">As mentioned in the introduction, the overall intention of this dissertation was to discuss the concept of cultural identity within the context of medieval Europe, using Scandinavia during the period of 1300 – 1453 as a model; and whether we can observe the development of a “Scandinavian cultural identity” as argued by Scandinavianist, pro-Kalmar historians (such as C.F. Allen), or if this is merely an idea that does not exist in reality but in fact as fiction. From the studies undertaken throughout this dissertation, I am of the thought that there is some sense of a Scandinavian cultural identity in this period, albeit one that is nowhere near as present or as developed as put forward by </w:t>
      </w:r>
      <w:r>
        <w:lastRenderedPageBreak/>
        <w:t xml:space="preserve">Scandinavianist scholars – but is not as fragmented as those of a more nationalist persuasion may feel.  Although Denmark, Norway and Sweden – with the latter being less accepting of cosmopolitanism – held different values and cultural ideals, they were at points able to put these aside for just one moment (or in the case of the personal unions of 1319, 1378 and 1397 – 1457, many moments) when it came to resisting the influence of external forces such as the Germans and the Holy Roman Empire, or their foes to the east in Novgorod.  </w:t>
      </w:r>
    </w:p>
    <w:p w:rsidR="00BB4F1D" w:rsidRDefault="00BB4F1D" w:rsidP="00D8042F">
      <w:pPr>
        <w:jc w:val="both"/>
      </w:pPr>
      <w:r>
        <w:t xml:space="preserve">The fourteenth century saw an influx of cosmopolitan culture from the continent in Scandinavia, yet the Norse peoples held the desire for their societies to be insular and exclusive in nature – especially when compared to booming fiscal cultures such as Burgundy and the Low Countries. The Kalmar Union, although ultimately a failure in practice, was not without a legacy, however – as it set the precedent for future cooperation in Scandinavia, in the same way that the duchy of Burgundy did to the Low Countries and the Netherlands during the period of 1430 – 1490; it allowed for the creation of a united Netherlands under the Habsburgs. The medieval political union was also far more likely to fail than its modern counterparts given the imbalances in power in relation to electing a king (as opposed to an assembly) to rule over all of these people, in the sense that there is the risk of favouritism.  </w:t>
      </w:r>
    </w:p>
    <w:p w:rsidR="00BB4F1D" w:rsidRDefault="00BB4F1D" w:rsidP="00D8042F">
      <w:pPr>
        <w:jc w:val="both"/>
      </w:pPr>
      <w:r>
        <w:t xml:space="preserve">Analysis of source material such as the Erikskronnikan is invaluable to understanding how these worked from the perspective of those experiencing such phenomena, and the reaction to new cultural developments that were emerging at the time – such as the tournament in Sweden at the end of the thirteenth century, and its use as a ritual for affirming the new elite in society.  From these we also gain far more respect for idea of the ritual, both how it worked as a concept, and in practice – and the approach we take to deconstructing these. </w:t>
      </w:r>
    </w:p>
    <w:p w:rsidR="00BB4F1D" w:rsidRDefault="00BB4F1D" w:rsidP="00D8042F">
      <w:pPr>
        <w:jc w:val="both"/>
      </w:pPr>
    </w:p>
    <w:p w:rsidR="00BB4F1D" w:rsidRDefault="00BB4F1D" w:rsidP="00D8042F">
      <w:r>
        <w:br w:type="page"/>
      </w:r>
    </w:p>
    <w:p w:rsidR="00BB4F1D" w:rsidRDefault="00BB4F1D" w:rsidP="00D8042F">
      <w:pPr>
        <w:pStyle w:val="Heading1"/>
      </w:pPr>
      <w:bookmarkStart w:id="21" w:name="_Toc513795189"/>
      <w:r>
        <w:lastRenderedPageBreak/>
        <w:t>Bibliography</w:t>
      </w:r>
      <w:bookmarkEnd w:id="21"/>
    </w:p>
    <w:p w:rsidR="00BB4F1D" w:rsidRPr="00A36F54" w:rsidRDefault="00BB4F1D" w:rsidP="00D8042F">
      <w:pPr>
        <w:jc w:val="both"/>
      </w:pPr>
      <w:r w:rsidRPr="00A36F54">
        <w:t>Allen, C.F. 1840.</w:t>
      </w:r>
      <w:r>
        <w:rPr>
          <w:i/>
          <w:iCs/>
        </w:rPr>
        <w:t> Haandbog i Fædrelandet</w:t>
      </w:r>
      <w:r w:rsidRPr="00A36F54">
        <w:rPr>
          <w:i/>
          <w:iCs/>
        </w:rPr>
        <w:t xml:space="preserve"> Historie</w:t>
      </w:r>
      <w:r w:rsidRPr="00A36F54">
        <w:t> (Denmark: Copenhagen: University of Copenhagen)</w:t>
      </w:r>
    </w:p>
    <w:p w:rsidR="00BB4F1D" w:rsidRPr="00A36F54" w:rsidRDefault="00BB4F1D" w:rsidP="00D8042F">
      <w:pPr>
        <w:jc w:val="both"/>
        <w:rPr>
          <w:lang w:val="sv-SE"/>
        </w:rPr>
      </w:pPr>
      <w:r w:rsidRPr="00A36F54">
        <w:rPr>
          <w:lang w:val="sv-SE"/>
        </w:rPr>
        <w:t>Bengtsson, H. 1999.</w:t>
      </w:r>
      <w:r w:rsidRPr="00A36F54">
        <w:rPr>
          <w:i/>
          <w:iCs/>
          <w:lang w:val="sv-SE"/>
        </w:rPr>
        <w:t> Denoe höviska kulturen i norden</w:t>
      </w:r>
      <w:r w:rsidRPr="00A36F54">
        <w:rPr>
          <w:lang w:val="sv-SE"/>
        </w:rPr>
        <w:t> (Stockholm: Kungl. Vitterhets Historie och Antikvitets Akad)</w:t>
      </w:r>
    </w:p>
    <w:p w:rsidR="00BB4F1D" w:rsidRPr="00A36F54" w:rsidRDefault="00BB4F1D" w:rsidP="00D8042F">
      <w:pPr>
        <w:jc w:val="both"/>
        <w:rPr>
          <w:lang w:val="sv-SE"/>
        </w:rPr>
      </w:pPr>
      <w:r w:rsidRPr="00A36F54">
        <w:rPr>
          <w:lang w:val="sv-SE"/>
        </w:rPr>
        <w:t>Bøgh, A. 1997.</w:t>
      </w:r>
      <w:r w:rsidRPr="00A36F54">
        <w:rPr>
          <w:i/>
          <w:iCs/>
          <w:lang w:val="sv-SE"/>
        </w:rPr>
        <w:t> 'On the Causes of the Kalmar Union'</w:t>
      </w:r>
      <w:r w:rsidRPr="00A36F54">
        <w:rPr>
          <w:lang w:val="sv-SE"/>
        </w:rPr>
        <w:t>, Greifswalder Historische Studien, 2</w:t>
      </w:r>
    </w:p>
    <w:p w:rsidR="00BB4F1D" w:rsidRPr="00A36F54" w:rsidRDefault="00BB4F1D" w:rsidP="00D8042F">
      <w:pPr>
        <w:jc w:val="both"/>
        <w:rPr>
          <w:lang w:val="sv-SE"/>
        </w:rPr>
      </w:pPr>
      <w:r w:rsidRPr="00A36F54">
        <w:rPr>
          <w:lang w:val="sv-SE"/>
        </w:rPr>
        <w:t>Brégaint, D. 2016.</w:t>
      </w:r>
      <w:r w:rsidRPr="00A36F54">
        <w:rPr>
          <w:i/>
          <w:iCs/>
          <w:lang w:val="sv-SE"/>
        </w:rPr>
        <w:t> 'Civilizing the ‘Viking’'</w:t>
      </w:r>
      <w:r w:rsidRPr="00A36F54">
        <w:rPr>
          <w:lang w:val="sv-SE"/>
        </w:rPr>
        <w:t>, Bulletin du Centre de Recherche du Château de Versailles, 1: 1-21</w:t>
      </w:r>
    </w:p>
    <w:p w:rsidR="00BB4F1D" w:rsidRPr="00A36F54" w:rsidRDefault="00BB4F1D" w:rsidP="00D8042F">
      <w:pPr>
        <w:jc w:val="both"/>
      </w:pPr>
      <w:r w:rsidRPr="00A36F54">
        <w:t>Carlquist, E., and P.C. Hogg. 2012.</w:t>
      </w:r>
      <w:r w:rsidRPr="00A36F54">
        <w:rPr>
          <w:i/>
          <w:iCs/>
        </w:rPr>
        <w:t> Chronicle of Duke Erik : A Verse Epic from Medieval Sweden</w:t>
      </w:r>
      <w:r w:rsidRPr="00A36F54">
        <w:t> (Lund: Nordic Academic Press)</w:t>
      </w:r>
    </w:p>
    <w:p w:rsidR="00BB4F1D" w:rsidRPr="00A36F54" w:rsidRDefault="00BB4F1D" w:rsidP="00D8042F">
      <w:pPr>
        <w:jc w:val="both"/>
      </w:pPr>
      <w:r w:rsidRPr="00A36F54">
        <w:t>Crouch, D. 2005.</w:t>
      </w:r>
      <w:r w:rsidRPr="00A36F54">
        <w:rPr>
          <w:i/>
          <w:iCs/>
        </w:rPr>
        <w:t> Tournament</w:t>
      </w:r>
      <w:r w:rsidRPr="00A36F54">
        <w:t> (London: Hambledon and London)</w:t>
      </w:r>
    </w:p>
    <w:p w:rsidR="00BB4F1D" w:rsidRPr="00A36F54" w:rsidRDefault="00BB4F1D" w:rsidP="00D8042F">
      <w:pPr>
        <w:jc w:val="both"/>
      </w:pPr>
      <w:r w:rsidRPr="00A36F54">
        <w:rPr>
          <w:lang w:val="de-DE"/>
        </w:rPr>
        <w:t>Damen, M., H. Skoda, P. Lantschner, and R.L.J. Shaw. 2012.</w:t>
      </w:r>
      <w:r w:rsidRPr="00A36F54">
        <w:rPr>
          <w:i/>
          <w:iCs/>
          <w:lang w:val="de-DE"/>
        </w:rPr>
        <w:t> </w:t>
      </w:r>
      <w:r w:rsidRPr="00A36F54">
        <w:rPr>
          <w:i/>
          <w:iCs/>
        </w:rPr>
        <w:t>'Tournament culture in the Low Countries and England'</w:t>
      </w:r>
      <w:r w:rsidRPr="00A36F54">
        <w:t>, in Anonymous </w:t>
      </w:r>
      <w:r w:rsidRPr="00A36F54">
        <w:rPr>
          <w:i/>
          <w:iCs/>
        </w:rPr>
        <w:t>Contact and exchange in later medieval Europe: essays in honour of Malcolm Vale</w:t>
      </w:r>
      <w:r w:rsidRPr="00A36F54">
        <w:t> (: Boydell), pp. 247-266</w:t>
      </w:r>
    </w:p>
    <w:p w:rsidR="00BB4F1D" w:rsidRPr="00A36F54" w:rsidRDefault="00BB4F1D" w:rsidP="00D8042F">
      <w:pPr>
        <w:jc w:val="both"/>
      </w:pPr>
      <w:r w:rsidRPr="00A36F54">
        <w:t>Eriksen, T.H. 1993.</w:t>
      </w:r>
      <w:r w:rsidRPr="00A36F54">
        <w:rPr>
          <w:i/>
          <w:iCs/>
        </w:rPr>
        <w:t> Ethnicity and Nationalism : Anthropological Perspectives</w:t>
      </w:r>
      <w:r w:rsidRPr="00A36F54">
        <w:t> (United Kingdom: Pluto Press)</w:t>
      </w:r>
    </w:p>
    <w:p w:rsidR="00BB4F1D" w:rsidRPr="00A36F54" w:rsidRDefault="00BB4F1D" w:rsidP="00D8042F">
      <w:pPr>
        <w:jc w:val="both"/>
      </w:pPr>
      <w:r w:rsidRPr="00A36F54">
        <w:t>Filippo de Vivo. 2003.</w:t>
      </w:r>
      <w:r w:rsidRPr="00A36F54">
        <w:rPr>
          <w:i/>
          <w:iCs/>
        </w:rPr>
        <w:t> 'Historical Justifications of Venetian Power in the Adriatic'</w:t>
      </w:r>
      <w:r w:rsidRPr="00A36F54">
        <w:t>, Journal of the History of Ideas, 64: 159-176</w:t>
      </w:r>
    </w:p>
    <w:p w:rsidR="00BB4F1D" w:rsidRPr="00A36F54" w:rsidRDefault="00BB4F1D" w:rsidP="00D8042F">
      <w:pPr>
        <w:jc w:val="both"/>
      </w:pPr>
      <w:r w:rsidRPr="00A36F54">
        <w:t>Geertz, C. (ed.). 1976.</w:t>
      </w:r>
      <w:r w:rsidRPr="00A36F54">
        <w:rPr>
          <w:i/>
          <w:iCs/>
        </w:rPr>
        <w:t> The Interpretation of Cultures</w:t>
      </w:r>
      <w:r w:rsidRPr="00A36F54">
        <w:t> (New York: Basic Books)</w:t>
      </w:r>
    </w:p>
    <w:p w:rsidR="00BB4F1D" w:rsidRPr="00A36F54" w:rsidRDefault="00BB4F1D" w:rsidP="00D8042F">
      <w:pPr>
        <w:jc w:val="both"/>
      </w:pPr>
      <w:r w:rsidRPr="00A36F54">
        <w:t>Gustafsson, H. 2006.</w:t>
      </w:r>
      <w:r w:rsidRPr="00A36F54">
        <w:rPr>
          <w:i/>
          <w:iCs/>
        </w:rPr>
        <w:t> 'A State That Failed?'</w:t>
      </w:r>
      <w:r w:rsidRPr="00A36F54">
        <w:t>, Scandinavian Journal of History, 31: 205-220</w:t>
      </w:r>
    </w:p>
    <w:p w:rsidR="00BB4F1D" w:rsidRPr="00A36F54" w:rsidRDefault="00BB4F1D" w:rsidP="00D8042F">
      <w:pPr>
        <w:jc w:val="both"/>
        <w:rPr>
          <w:lang w:val="sv-SE"/>
        </w:rPr>
      </w:pPr>
      <w:r w:rsidRPr="00A36F54">
        <w:rPr>
          <w:lang w:val="sv-SE"/>
        </w:rPr>
        <w:t>Heinänen, J. 2004.</w:t>
      </w:r>
      <w:r w:rsidRPr="00A36F54">
        <w:rPr>
          <w:i/>
          <w:iCs/>
          <w:lang w:val="sv-SE"/>
        </w:rPr>
        <w:t> 'On German Knights in Denmark during the reign of Valdemar Atterdag 1340-1375'</w:t>
      </w:r>
      <w:r w:rsidRPr="00A36F54">
        <w:rPr>
          <w:lang w:val="sv-SE"/>
        </w:rPr>
        <w:t>, Ennen Ja Nyt, 4</w:t>
      </w:r>
    </w:p>
    <w:p w:rsidR="00BB4F1D" w:rsidRPr="00A36F54" w:rsidRDefault="00BB4F1D" w:rsidP="00D8042F">
      <w:pPr>
        <w:jc w:val="both"/>
        <w:rPr>
          <w:lang w:val="sv-SE"/>
        </w:rPr>
      </w:pPr>
      <w:r w:rsidRPr="00A36F54">
        <w:rPr>
          <w:lang w:val="sv-SE"/>
        </w:rPr>
        <w:t>Koht, H. 1956.</w:t>
      </w:r>
      <w:r w:rsidRPr="00A36F54">
        <w:rPr>
          <w:i/>
          <w:iCs/>
          <w:lang w:val="sv-SE"/>
        </w:rPr>
        <w:t> Dronning Margareta og Kalmar-Unionen</w:t>
      </w:r>
      <w:r w:rsidRPr="00A36F54">
        <w:rPr>
          <w:lang w:val="sv-SE"/>
        </w:rPr>
        <w:t> (Oslo: Aschehoug)</w:t>
      </w:r>
    </w:p>
    <w:p w:rsidR="00BB4F1D" w:rsidRPr="00A36F54" w:rsidRDefault="00BB4F1D" w:rsidP="00D8042F">
      <w:pPr>
        <w:jc w:val="both"/>
      </w:pPr>
      <w:r w:rsidRPr="00A36F54">
        <w:t>Lindkvist, T. 2004.</w:t>
      </w:r>
      <w:r w:rsidRPr="00A36F54">
        <w:rPr>
          <w:i/>
          <w:iCs/>
        </w:rPr>
        <w:t> 'The Making of a European Society. The Example of Sweden'</w:t>
      </w:r>
      <w:r w:rsidRPr="00A36F54">
        <w:t>, Medieval Encounters, 10: 167-183</w:t>
      </w:r>
    </w:p>
    <w:p w:rsidR="00BB4F1D" w:rsidRPr="00A36F54" w:rsidRDefault="00BB4F1D" w:rsidP="00D8042F">
      <w:pPr>
        <w:jc w:val="both"/>
      </w:pPr>
      <w:r w:rsidRPr="00A36F54">
        <w:t>Lonnroth, E. 1934.</w:t>
      </w:r>
      <w:r w:rsidRPr="00A36F54">
        <w:rPr>
          <w:i/>
          <w:iCs/>
        </w:rPr>
        <w:t> Sverige och Kalmar Unionen 1379 -1457&amp;nbsp;</w:t>
      </w:r>
      <w:r w:rsidRPr="00A36F54">
        <w:t> (Sweden: Gothenburg: University of Gothenburg)</w:t>
      </w:r>
    </w:p>
    <w:p w:rsidR="00BB4F1D" w:rsidRPr="00A36F54" w:rsidRDefault="00BB4F1D" w:rsidP="00D8042F">
      <w:pPr>
        <w:jc w:val="both"/>
      </w:pPr>
      <w:r w:rsidRPr="00A36F54">
        <w:t>Margaretha Nordquist. 2017.</w:t>
      </w:r>
      <w:r w:rsidRPr="00A36F54">
        <w:rPr>
          <w:i/>
          <w:iCs/>
        </w:rPr>
        <w:t> 'Swedes and Others – Identity Formation in Medieval Sweden'</w:t>
      </w:r>
      <w:r w:rsidRPr="00A36F54">
        <w:t>, Frühmittelalterliche Studien, 51: 427-448</w:t>
      </w:r>
    </w:p>
    <w:p w:rsidR="00BB4F1D" w:rsidRPr="00A36F54" w:rsidRDefault="00BB4F1D" w:rsidP="00D8042F">
      <w:pPr>
        <w:jc w:val="both"/>
      </w:pPr>
      <w:r w:rsidRPr="00A36F54">
        <w:t>Muir, E. 1981.</w:t>
      </w:r>
      <w:r w:rsidRPr="00A36F54">
        <w:rPr>
          <w:i/>
          <w:iCs/>
        </w:rPr>
        <w:t> Civic ritual in Renaissance Venice</w:t>
      </w:r>
      <w:r w:rsidRPr="00A36F54">
        <w:t> (Princeton, NJ: Princeton Univ. Press)</w:t>
      </w:r>
    </w:p>
    <w:p w:rsidR="00BB4F1D" w:rsidRPr="00A36F54" w:rsidRDefault="00BB4F1D" w:rsidP="00D8042F">
      <w:pPr>
        <w:jc w:val="both"/>
      </w:pPr>
      <w:r w:rsidRPr="00A36F54">
        <w:t>---1997.</w:t>
      </w:r>
      <w:r w:rsidRPr="00A36F54">
        <w:rPr>
          <w:i/>
          <w:iCs/>
        </w:rPr>
        <w:t> Ritual in Early Modern Europe</w:t>
      </w:r>
      <w:r w:rsidRPr="00A36F54">
        <w:t> (Cambridge: Cambridge Univ. Press)</w:t>
      </w:r>
    </w:p>
    <w:p w:rsidR="00BB4F1D" w:rsidRPr="00A36F54" w:rsidRDefault="00BB4F1D" w:rsidP="00D8042F">
      <w:pPr>
        <w:jc w:val="both"/>
      </w:pPr>
      <w:r w:rsidRPr="00A36F54">
        <w:t>Norde, M. 1997.</w:t>
      </w:r>
      <w:r w:rsidRPr="00A36F54">
        <w:rPr>
          <w:i/>
          <w:iCs/>
        </w:rPr>
        <w:t> 'Middle Low German-Middle Scandinavian Language Contact and Morphological Simplification'</w:t>
      </w:r>
      <w:r w:rsidRPr="00A36F54">
        <w:t>, Multilingua: Journal of Cross-Cultural and Interlanguage Communication, 16: 389-410</w:t>
      </w:r>
    </w:p>
    <w:p w:rsidR="00BB4F1D" w:rsidRPr="00A36F54" w:rsidRDefault="00BB4F1D" w:rsidP="00D8042F">
      <w:pPr>
        <w:jc w:val="both"/>
      </w:pPr>
      <w:r w:rsidRPr="00A36F54">
        <w:lastRenderedPageBreak/>
        <w:t>Opsahl, E. 2017.</w:t>
      </w:r>
      <w:r w:rsidRPr="00A36F54">
        <w:rPr>
          <w:i/>
          <w:iCs/>
        </w:rPr>
        <w:t> 'Foreign Envoys and Resident Norwegians in the Late Middle Ages - a Culture Clash?'</w:t>
      </w:r>
      <w:r w:rsidRPr="00A36F54">
        <w:t>, in Suppersberger-Hamre, S. (ed.)</w:t>
      </w:r>
      <w:r w:rsidRPr="00A36F54">
        <w:rPr>
          <w:i/>
          <w:iCs/>
        </w:rPr>
        <w:t> Foreigners and Outside Influences in Medieval Norway</w:t>
      </w:r>
      <w:r w:rsidRPr="00A36F54">
        <w:t> (Oxford, United KIngdom: Archaeopress Publishing), pp. 97-110</w:t>
      </w:r>
    </w:p>
    <w:p w:rsidR="00BB4F1D" w:rsidRPr="00A36F54" w:rsidRDefault="00BB4F1D" w:rsidP="00D8042F">
      <w:pPr>
        <w:jc w:val="both"/>
      </w:pPr>
      <w:r w:rsidRPr="00A36F54">
        <w:t>Småberg, T. 2012.</w:t>
      </w:r>
      <w:r w:rsidRPr="00A36F54">
        <w:rPr>
          <w:i/>
          <w:iCs/>
        </w:rPr>
        <w:t> 'Rituals of Greeting and Farewell: Reflections on a Visit to the Royal Court of Norway in 1302'</w:t>
      </w:r>
      <w:r w:rsidRPr="00A36F54">
        <w:t>, Collegium Medievale, 25: 3</w:t>
      </w:r>
    </w:p>
    <w:p w:rsidR="00BB4F1D" w:rsidRPr="00A36F54" w:rsidRDefault="00BB4F1D" w:rsidP="00D8042F">
      <w:pPr>
        <w:jc w:val="both"/>
      </w:pPr>
      <w:r w:rsidRPr="00A36F54">
        <w:t>---2013.</w:t>
      </w:r>
      <w:r w:rsidRPr="00A36F54">
        <w:rPr>
          <w:i/>
          <w:iCs/>
        </w:rPr>
        <w:t> 'The Ritual Battle of Tournament: Tornej, Dust, and Bohord in Medieval Sweden ca. 1250-1320'</w:t>
      </w:r>
      <w:r w:rsidRPr="00A36F54">
        <w:t>, in Boute, B., and T. Småberg (eds.)</w:t>
      </w:r>
      <w:r w:rsidRPr="00A36F54">
        <w:rPr>
          <w:i/>
          <w:iCs/>
        </w:rPr>
        <w:t> Devising Order</w:t>
      </w:r>
      <w:r w:rsidRPr="00A36F54">
        <w:t> (Leiden: BRILL), pp. 165-192</w:t>
      </w:r>
    </w:p>
    <w:p w:rsidR="00BB4F1D" w:rsidRPr="00A36F54" w:rsidRDefault="00BB4F1D" w:rsidP="00D8042F">
      <w:pPr>
        <w:jc w:val="both"/>
      </w:pPr>
      <w:r w:rsidRPr="00A36F54">
        <w:t>Steimar, I. 2014.</w:t>
      </w:r>
      <w:r w:rsidRPr="00A36F54">
        <w:rPr>
          <w:i/>
          <w:iCs/>
        </w:rPr>
        <w:t> 'The Union of Calmar - Nordic Great Power or Northern German Outpost?'</w:t>
      </w:r>
      <w:r w:rsidRPr="00A36F54">
        <w:t>, in Printy, M., C. Ocker, P. Wallace, and P. Starenko (eds.)</w:t>
      </w:r>
      <w:r w:rsidRPr="00A36F54">
        <w:rPr>
          <w:i/>
          <w:iCs/>
        </w:rPr>
        <w:t> Politics and Reformations - Communities, Polities, Nations, and Empires : Essays in Honor of Thomas A. Brady, Jr</w:t>
      </w:r>
      <w:r w:rsidRPr="00A36F54">
        <w:t>(Boston: BRILL), pp. 171-186</w:t>
      </w:r>
    </w:p>
    <w:p w:rsidR="00BB4F1D" w:rsidRPr="00A36F54" w:rsidRDefault="00BB4F1D" w:rsidP="00D8042F">
      <w:pPr>
        <w:jc w:val="both"/>
      </w:pPr>
      <w:r w:rsidRPr="00A36F54">
        <w:t>Swanson, A. 2003.</w:t>
      </w:r>
      <w:r w:rsidRPr="00A36F54">
        <w:rPr>
          <w:i/>
          <w:iCs/>
        </w:rPr>
        <w:t> 'Courts and Culture in Renaissance Scandinavia'</w:t>
      </w:r>
      <w:r w:rsidRPr="00A36F54">
        <w:t>, in Gosman, M., A. MacDonald, and A. Vanderjagt (eds.)</w:t>
      </w:r>
      <w:r w:rsidRPr="00A36F54">
        <w:rPr>
          <w:i/>
          <w:iCs/>
        </w:rPr>
        <w:t> Princes and Princely Culture 1450-1650, Volume 1</w:t>
      </w:r>
      <w:r w:rsidRPr="00A36F54">
        <w:t> (Leiden, Germany: Brill), pp. 259-278</w:t>
      </w:r>
    </w:p>
    <w:p w:rsidR="00BB4F1D" w:rsidRPr="00A36F54" w:rsidRDefault="00BB4F1D" w:rsidP="00D8042F">
      <w:pPr>
        <w:jc w:val="both"/>
        <w:rPr>
          <w:lang w:val="sv-SE"/>
        </w:rPr>
      </w:pPr>
      <w:r w:rsidRPr="00A36F54">
        <w:t>Vilhelmsdotter, G. 1999.</w:t>
      </w:r>
      <w:r w:rsidRPr="00A36F54">
        <w:rPr>
          <w:i/>
          <w:iCs/>
        </w:rPr>
        <w:t> </w:t>
      </w:r>
      <w:r w:rsidRPr="00A36F54">
        <w:rPr>
          <w:i/>
          <w:iCs/>
          <w:lang w:val="sv-SE"/>
        </w:rPr>
        <w:t>Riddare, Bonde och Biskop</w:t>
      </w:r>
      <w:r w:rsidRPr="00A36F54">
        <w:rPr>
          <w:lang w:val="sv-SE"/>
        </w:rPr>
        <w:t> (Stockholm: Almqvist &amp; Wiksell International)</w:t>
      </w:r>
    </w:p>
    <w:p w:rsidR="00BB4F1D" w:rsidRPr="00A36F54" w:rsidRDefault="00BB4F1D" w:rsidP="00D8042F">
      <w:pPr>
        <w:jc w:val="both"/>
        <w:rPr>
          <w:lang w:val="de-DE"/>
        </w:rPr>
      </w:pPr>
      <w:r>
        <w:rPr>
          <w:lang w:val="de-DE"/>
        </w:rPr>
        <w:t>Zeevaert,L.</w:t>
      </w:r>
      <w:r w:rsidRPr="00A36F54">
        <w:rPr>
          <w:lang w:val="de-DE"/>
        </w:rPr>
        <w:t>1995.</w:t>
      </w:r>
      <w:r>
        <w:rPr>
          <w:i/>
          <w:iCs/>
          <w:lang w:val="de-DE"/>
        </w:rPr>
        <w:t> ''Wieintensivwar</w:t>
      </w:r>
      <w:r w:rsidRPr="00A36F54">
        <w:rPr>
          <w:i/>
          <w:iCs/>
          <w:lang w:val="de-DE"/>
        </w:rPr>
        <w:t>der</w:t>
      </w:r>
      <w:r w:rsidRPr="00A36F54">
        <w:rPr>
          <w:i/>
          <w:iCs/>
          <w:lang w:val="de-DE"/>
        </w:rPr>
        <w:br/>
        <w:t>Mittelniederdeutsch-Skandinavische Sprachkontakt wirklich?''</w:t>
      </w:r>
      <w:r w:rsidRPr="00A36F54">
        <w:rPr>
          <w:lang w:val="de-DE"/>
        </w:rPr>
        <w:t>, in Braunmuller, K. (ed.)</w:t>
      </w:r>
      <w:r w:rsidRPr="00A36F54">
        <w:rPr>
          <w:i/>
          <w:iCs/>
          <w:lang w:val="de-DE"/>
        </w:rPr>
        <w:t> Nieder-Deutsch und die Skandinavischen Sprachen II</w:t>
      </w:r>
      <w:r w:rsidRPr="00A36F54">
        <w:rPr>
          <w:lang w:val="de-DE"/>
        </w:rPr>
        <w:t> (Heidelberg: Carl Winter), pp. 145-179</w:t>
      </w:r>
    </w:p>
    <w:p w:rsidR="00BB4F1D" w:rsidRPr="00A36F54" w:rsidRDefault="00BB4F1D" w:rsidP="00D8042F">
      <w:pPr>
        <w:jc w:val="both"/>
        <w:rPr>
          <w:lang w:val="de-DE"/>
        </w:rPr>
      </w:pPr>
    </w:p>
    <w:p w:rsidR="00BB4F1D" w:rsidRPr="000E709C" w:rsidRDefault="00BB4F1D" w:rsidP="00BB4F1D">
      <w:pPr>
        <w:rPr>
          <w:lang w:eastAsia="zh-CN"/>
        </w:rPr>
      </w:pPr>
    </w:p>
    <w:sectPr w:rsidR="00BB4F1D" w:rsidRPr="000E709C" w:rsidSect="00D8042F">
      <w:headerReference w:type="default" r:id="rId11"/>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42F" w:rsidRDefault="00D8042F" w:rsidP="00BB4F1D">
      <w:pPr>
        <w:spacing w:after="0" w:line="240" w:lineRule="auto"/>
      </w:pPr>
      <w:r>
        <w:separator/>
      </w:r>
    </w:p>
  </w:endnote>
  <w:endnote w:type="continuationSeparator" w:id="0">
    <w:p w:rsidR="00D8042F" w:rsidRDefault="00D8042F" w:rsidP="00BB4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42F" w:rsidRDefault="00D8042F" w:rsidP="00BB4F1D">
      <w:pPr>
        <w:spacing w:after="0" w:line="240" w:lineRule="auto"/>
      </w:pPr>
      <w:r>
        <w:separator/>
      </w:r>
    </w:p>
  </w:footnote>
  <w:footnote w:type="continuationSeparator" w:id="0">
    <w:p w:rsidR="00D8042F" w:rsidRDefault="00D8042F" w:rsidP="00BB4F1D">
      <w:pPr>
        <w:spacing w:after="0" w:line="240" w:lineRule="auto"/>
      </w:pPr>
      <w:r>
        <w:continuationSeparator/>
      </w:r>
    </w:p>
  </w:footnote>
  <w:footnote w:id="1">
    <w:p w:rsidR="00D8042F" w:rsidRDefault="00D8042F">
      <w:pPr>
        <w:pStyle w:val="FootnoteText"/>
      </w:pPr>
      <w:r>
        <w:rPr>
          <w:rStyle w:val="FootnoteReference"/>
        </w:rPr>
        <w:footnoteRef/>
      </w:r>
      <w:r>
        <w:t xml:space="preserve"> </w:t>
      </w:r>
      <w:r w:rsidRPr="002864F2">
        <w:t>Gustafsson, H. 2006.</w:t>
      </w:r>
      <w:r w:rsidRPr="002864F2">
        <w:rPr>
          <w:i/>
          <w:iCs/>
        </w:rPr>
        <w:t> 'A State That Failed?'</w:t>
      </w:r>
      <w:r w:rsidRPr="002864F2">
        <w:t xml:space="preserve">, Scandinavian Journal of History, </w:t>
      </w:r>
      <w:r>
        <w:t>v31, pp205</w:t>
      </w:r>
    </w:p>
  </w:footnote>
  <w:footnote w:id="2">
    <w:p w:rsidR="00D8042F" w:rsidRPr="00622D59" w:rsidRDefault="00D8042F" w:rsidP="00D8042F">
      <w:pPr>
        <w:pStyle w:val="FootnoteText"/>
        <w:rPr>
          <w:lang w:val="sv-SE"/>
        </w:rPr>
      </w:pPr>
      <w:r>
        <w:rPr>
          <w:rStyle w:val="FootnoteReference"/>
        </w:rPr>
        <w:footnoteRef/>
      </w:r>
      <w:r>
        <w:t xml:space="preserve"> </w:t>
      </w:r>
      <w:r w:rsidRPr="00B1143B">
        <w:t>Allen, C.F. 1840.</w:t>
      </w:r>
      <w:r w:rsidRPr="00B1143B">
        <w:rPr>
          <w:i/>
          <w:iCs/>
        </w:rPr>
        <w:t> Haandbog i Fædrelandets&amp;nbsp; Historie</w:t>
      </w:r>
      <w:r w:rsidRPr="00B1143B">
        <w:t> (Denmark: Copenhagen: University of Copenhagen)</w:t>
      </w:r>
      <w:r>
        <w:t xml:space="preserve">, pp10, </w:t>
      </w:r>
      <w:r w:rsidRPr="002864F2">
        <w:t>Koht, H. 1956.</w:t>
      </w:r>
      <w:r w:rsidRPr="002864F2">
        <w:rPr>
          <w:i/>
          <w:iCs/>
        </w:rPr>
        <w:t> </w:t>
      </w:r>
      <w:r w:rsidRPr="00622D59">
        <w:rPr>
          <w:i/>
          <w:iCs/>
          <w:lang w:val="sv-SE"/>
        </w:rPr>
        <w:t>Dronning Margareta og Kalmar-Unionen</w:t>
      </w:r>
      <w:r w:rsidRPr="00622D59">
        <w:rPr>
          <w:lang w:val="sv-SE"/>
        </w:rPr>
        <w:t> (Oslo: Aschehoug), pp11</w:t>
      </w:r>
    </w:p>
    <w:p w:rsidR="00D8042F" w:rsidRPr="00622D59" w:rsidRDefault="00D8042F">
      <w:pPr>
        <w:pStyle w:val="FootnoteText"/>
        <w:rPr>
          <w:lang w:val="sv-SE"/>
        </w:rPr>
      </w:pPr>
    </w:p>
  </w:footnote>
  <w:footnote w:id="3">
    <w:p w:rsidR="00D8042F" w:rsidRDefault="00D8042F">
      <w:pPr>
        <w:pStyle w:val="FootnoteText"/>
      </w:pPr>
      <w:r>
        <w:rPr>
          <w:rStyle w:val="FootnoteReference"/>
        </w:rPr>
        <w:footnoteRef/>
      </w:r>
      <w:r w:rsidRPr="00622D59">
        <w:rPr>
          <w:lang w:val="sv-SE"/>
        </w:rPr>
        <w:t xml:space="preserve"> Gustafsson, H., 2006, pp205 Småberg, T. 2013.</w:t>
      </w:r>
      <w:r w:rsidRPr="00622D59">
        <w:rPr>
          <w:i/>
          <w:iCs/>
          <w:lang w:val="sv-SE"/>
        </w:rPr>
        <w:t> </w:t>
      </w:r>
      <w:r w:rsidRPr="00AE48F9">
        <w:rPr>
          <w:i/>
          <w:iCs/>
        </w:rPr>
        <w:t>'The Ritual Battle of Tournament: Tornej, Dust, and Bohord in Medieval Sweden ca. 1250-1320'</w:t>
      </w:r>
      <w:r w:rsidRPr="00AE48F9">
        <w:t>, in Boute, B., and T. Småberg (eds.)</w:t>
      </w:r>
      <w:r w:rsidRPr="00AE48F9">
        <w:rPr>
          <w:i/>
          <w:iCs/>
        </w:rPr>
        <w:t> Devising Order</w:t>
      </w:r>
      <w:r>
        <w:t> (Leiden: BRILL), pp. 165</w:t>
      </w:r>
    </w:p>
  </w:footnote>
  <w:footnote w:id="4">
    <w:p w:rsidR="00D8042F" w:rsidRDefault="00D8042F">
      <w:pPr>
        <w:pStyle w:val="FootnoteText"/>
      </w:pPr>
      <w:r>
        <w:rPr>
          <w:rStyle w:val="FootnoteReference"/>
        </w:rPr>
        <w:footnoteRef/>
      </w:r>
      <w:r>
        <w:t xml:space="preserve"> Småberg, T. 2013, pp165</w:t>
      </w:r>
    </w:p>
  </w:footnote>
  <w:footnote w:id="5">
    <w:p w:rsidR="00D8042F" w:rsidRPr="00575CD5" w:rsidRDefault="00D8042F" w:rsidP="00D8042F">
      <w:pPr>
        <w:pStyle w:val="FootnoteText"/>
        <w:jc w:val="both"/>
      </w:pPr>
      <w:r>
        <w:rPr>
          <w:rStyle w:val="FootnoteReference"/>
        </w:rPr>
        <w:footnoteRef/>
      </w:r>
      <w:r>
        <w:t xml:space="preserve"> </w:t>
      </w:r>
      <w:r w:rsidRPr="00575CD5">
        <w:t>Bøgh, A. 1997.</w:t>
      </w:r>
      <w:r w:rsidRPr="00575CD5">
        <w:rPr>
          <w:i/>
          <w:iCs/>
        </w:rPr>
        <w:t> 'On the Causes of the Kalmar Union'</w:t>
      </w:r>
      <w:r w:rsidRPr="00575CD5">
        <w:t>, Greifswalder Historische Studien, 2</w:t>
      </w:r>
    </w:p>
    <w:p w:rsidR="00D8042F" w:rsidRPr="00575CD5" w:rsidRDefault="00D8042F" w:rsidP="00D8042F">
      <w:pPr>
        <w:pStyle w:val="FootnoteText"/>
        <w:jc w:val="both"/>
      </w:pPr>
      <w:r w:rsidRPr="00575CD5">
        <w:t>Gustafsson, H. 2006.</w:t>
      </w:r>
      <w:r>
        <w:t xml:space="preserve"> pp1, </w:t>
      </w:r>
      <w:r w:rsidRPr="00575CD5">
        <w:rPr>
          <w:i/>
          <w:iCs/>
        </w:rPr>
        <w:t>‘A State That Failed?’</w:t>
      </w:r>
      <w:r w:rsidRPr="00575CD5">
        <w:t xml:space="preserve"> Scandinavian Journal of History, </w:t>
      </w:r>
      <w:r>
        <w:t>v</w:t>
      </w:r>
      <w:r w:rsidRPr="00575CD5">
        <w:t xml:space="preserve">31: </w:t>
      </w:r>
      <w:r>
        <w:t>pp</w:t>
      </w:r>
      <w:r w:rsidRPr="00575CD5">
        <w:t>20</w:t>
      </w:r>
      <w:r>
        <w:t xml:space="preserve">5 </w:t>
      </w:r>
      <w:r w:rsidRPr="00575CD5">
        <w:t>Steimar, I. 2014.</w:t>
      </w:r>
      <w:r w:rsidRPr="00575CD5">
        <w:rPr>
          <w:i/>
          <w:iCs/>
        </w:rPr>
        <w:t> 'The Union of Calmar - Nordic Great Power or Northern German Outpost?'</w:t>
      </w:r>
      <w:r w:rsidRPr="00575CD5">
        <w:t>, in Printy, M., C. Ocker, P. Wallace, and P. Starenko (eds.)</w:t>
      </w:r>
      <w:r w:rsidRPr="00575CD5">
        <w:rPr>
          <w:i/>
          <w:iCs/>
        </w:rPr>
        <w:t> Politics and Reformations - Communities, Polities, Nations, and Empires : Essays in Honor of Thomas A. Brady, Jr</w:t>
      </w:r>
      <w:r>
        <w:t> (Boston: BRILL), pp. 171</w:t>
      </w:r>
    </w:p>
    <w:p w:rsidR="00D8042F" w:rsidRDefault="00D8042F">
      <w:pPr>
        <w:pStyle w:val="FootnoteText"/>
      </w:pPr>
    </w:p>
  </w:footnote>
  <w:footnote w:id="6">
    <w:p w:rsidR="00D8042F" w:rsidRDefault="00D8042F">
      <w:pPr>
        <w:pStyle w:val="FootnoteText"/>
      </w:pPr>
      <w:r>
        <w:rPr>
          <w:rStyle w:val="FootnoteReference"/>
        </w:rPr>
        <w:footnoteRef/>
      </w:r>
      <w:r>
        <w:t xml:space="preserve"> </w:t>
      </w:r>
      <w:r w:rsidRPr="00AD2C8A">
        <w:t>Bøgh, A. 1997</w:t>
      </w:r>
      <w:r>
        <w:t xml:space="preserve">, pp2, </w:t>
      </w:r>
      <w:r w:rsidRPr="00AD2C8A">
        <w:t>Gustafsson, H. 2006</w:t>
      </w:r>
      <w:r>
        <w:t>, pp205, Stemair, I. 2014, pp172</w:t>
      </w:r>
    </w:p>
  </w:footnote>
  <w:footnote w:id="7">
    <w:p w:rsidR="00D8042F" w:rsidRDefault="00D8042F">
      <w:pPr>
        <w:pStyle w:val="FootnoteText"/>
      </w:pPr>
      <w:r>
        <w:rPr>
          <w:rStyle w:val="FootnoteReference"/>
        </w:rPr>
        <w:footnoteRef/>
      </w:r>
      <w:r>
        <w:t xml:space="preserve"> </w:t>
      </w:r>
      <w:r w:rsidRPr="00BA58ED">
        <w:t>Bøgh, A. 1997, pp2, Gustafsson, H. 2006, pp205, Stemair, I. 2014, pp172</w:t>
      </w:r>
    </w:p>
  </w:footnote>
  <w:footnote w:id="8">
    <w:p w:rsidR="00D8042F" w:rsidRDefault="00D8042F">
      <w:pPr>
        <w:pStyle w:val="FootnoteText"/>
      </w:pPr>
      <w:r>
        <w:rPr>
          <w:rStyle w:val="FootnoteReference"/>
        </w:rPr>
        <w:footnoteRef/>
      </w:r>
      <w:r>
        <w:t xml:space="preserve"> </w:t>
      </w:r>
      <w:r w:rsidRPr="00BA58ED">
        <w:t>Bøgh, A. 1997, pp2, Gustafsson, H. 2006</w:t>
      </w:r>
      <w:r>
        <w:t>, pp206, Stemair, I. 2014, pp173</w:t>
      </w:r>
    </w:p>
  </w:footnote>
  <w:footnote w:id="9">
    <w:p w:rsidR="00D8042F" w:rsidRDefault="00D8042F">
      <w:pPr>
        <w:pStyle w:val="FootnoteText"/>
      </w:pPr>
      <w:r>
        <w:rPr>
          <w:rStyle w:val="FootnoteReference"/>
        </w:rPr>
        <w:footnoteRef/>
      </w:r>
      <w:r>
        <w:t xml:space="preserve"> </w:t>
      </w:r>
      <w:bookmarkStart w:id="6" w:name="_Hlk513780640"/>
      <w:r w:rsidRPr="00CB7721">
        <w:t>Bøgh, A. 1997, pp2, Gustafsson, H. 2006, pp206, Stemair, I. 2014, pp173</w:t>
      </w:r>
      <w:bookmarkEnd w:id="6"/>
    </w:p>
  </w:footnote>
  <w:footnote w:id="10">
    <w:p w:rsidR="00D8042F" w:rsidRDefault="00D8042F">
      <w:pPr>
        <w:pStyle w:val="FootnoteText"/>
      </w:pPr>
      <w:r>
        <w:rPr>
          <w:rStyle w:val="FootnoteReference"/>
        </w:rPr>
        <w:footnoteRef/>
      </w:r>
      <w:r>
        <w:t xml:space="preserve"> </w:t>
      </w:r>
      <w:r w:rsidRPr="00CB7721">
        <w:t>Bøgh, A. 1997, pp2, Gustafsson, H. 2006, pp206, Stemair, I. 2014, pp173</w:t>
      </w:r>
    </w:p>
  </w:footnote>
  <w:footnote w:id="11">
    <w:p w:rsidR="00D8042F" w:rsidRDefault="00D8042F">
      <w:pPr>
        <w:pStyle w:val="FootnoteText"/>
      </w:pPr>
      <w:r>
        <w:rPr>
          <w:rStyle w:val="FootnoteReference"/>
        </w:rPr>
        <w:footnoteRef/>
      </w:r>
      <w:r>
        <w:t xml:space="preserve"> </w:t>
      </w:r>
      <w:r w:rsidRPr="00556359">
        <w:t>Bøgh, A. 1997, pp2</w:t>
      </w:r>
    </w:p>
  </w:footnote>
  <w:footnote w:id="12">
    <w:p w:rsidR="00D8042F" w:rsidRDefault="00D8042F">
      <w:pPr>
        <w:pStyle w:val="FootnoteText"/>
      </w:pPr>
      <w:r>
        <w:rPr>
          <w:rStyle w:val="FootnoteReference"/>
        </w:rPr>
        <w:footnoteRef/>
      </w:r>
      <w:r>
        <w:t xml:space="preserve"> </w:t>
      </w:r>
      <w:r w:rsidRPr="00467491">
        <w:t>Bøgh, A. 1997, pp2</w:t>
      </w:r>
    </w:p>
  </w:footnote>
  <w:footnote w:id="13">
    <w:p w:rsidR="00D8042F" w:rsidRDefault="00D8042F">
      <w:pPr>
        <w:pStyle w:val="FootnoteText"/>
      </w:pPr>
      <w:r>
        <w:rPr>
          <w:rStyle w:val="FootnoteReference"/>
        </w:rPr>
        <w:footnoteRef/>
      </w:r>
      <w:r>
        <w:t xml:space="preserve"> </w:t>
      </w:r>
      <w:r w:rsidRPr="00C36D94">
        <w:t>Allen, C.F. 1840.</w:t>
      </w:r>
      <w:r w:rsidRPr="00C36D94">
        <w:rPr>
          <w:i/>
          <w:iCs/>
        </w:rPr>
        <w:t> Haandbog i Fædrelandets&amp;nbsp; Historie</w:t>
      </w:r>
      <w:r w:rsidRPr="00C36D94">
        <w:t> (Denmark: Copenhagen: University of Copenhagen)</w:t>
      </w:r>
      <w:r>
        <w:t xml:space="preserve">, pp12 </w:t>
      </w:r>
      <w:r w:rsidRPr="00467491">
        <w:t>Bøgh, A. 1997, pp2</w:t>
      </w:r>
    </w:p>
  </w:footnote>
  <w:footnote w:id="14">
    <w:p w:rsidR="00D8042F" w:rsidRDefault="00D8042F">
      <w:pPr>
        <w:pStyle w:val="FootnoteText"/>
      </w:pPr>
      <w:r>
        <w:rPr>
          <w:rStyle w:val="FootnoteReference"/>
        </w:rPr>
        <w:footnoteRef/>
      </w:r>
      <w:r>
        <w:t xml:space="preserve"> </w:t>
      </w:r>
      <w:r w:rsidRPr="00467491">
        <w:t>Bøgh, A. 1997, pp2</w:t>
      </w:r>
    </w:p>
  </w:footnote>
  <w:footnote w:id="15">
    <w:p w:rsidR="00D8042F" w:rsidRDefault="00D8042F">
      <w:pPr>
        <w:pStyle w:val="FootnoteText"/>
      </w:pPr>
      <w:r>
        <w:rPr>
          <w:rStyle w:val="FootnoteReference"/>
        </w:rPr>
        <w:footnoteRef/>
      </w:r>
      <w:r>
        <w:t xml:space="preserve"> </w:t>
      </w:r>
      <w:r w:rsidRPr="00B90495">
        <w:t>Bøgh, A. 1997, pp</w:t>
      </w:r>
      <w:r>
        <w:t>3</w:t>
      </w:r>
    </w:p>
  </w:footnote>
  <w:footnote w:id="16">
    <w:p w:rsidR="00D8042F" w:rsidRDefault="00D8042F">
      <w:pPr>
        <w:pStyle w:val="FootnoteText"/>
      </w:pPr>
      <w:r>
        <w:rPr>
          <w:rStyle w:val="FootnoteReference"/>
        </w:rPr>
        <w:footnoteRef/>
      </w:r>
      <w:r>
        <w:t xml:space="preserve"> </w:t>
      </w:r>
      <w:bookmarkStart w:id="8" w:name="_Hlk513780589"/>
      <w:r w:rsidRPr="00C36D94">
        <w:t>Bøgh, A. 1997, pp3</w:t>
      </w:r>
      <w:bookmarkEnd w:id="8"/>
    </w:p>
  </w:footnote>
  <w:footnote w:id="17">
    <w:p w:rsidR="00D8042F" w:rsidRDefault="00D8042F">
      <w:pPr>
        <w:pStyle w:val="FootnoteText"/>
      </w:pPr>
      <w:r>
        <w:rPr>
          <w:rStyle w:val="FootnoteReference"/>
        </w:rPr>
        <w:footnoteRef/>
      </w:r>
      <w:r>
        <w:t xml:space="preserve"> Bøgh, A. 1997, pp4</w:t>
      </w:r>
    </w:p>
  </w:footnote>
  <w:footnote w:id="18">
    <w:p w:rsidR="00D8042F" w:rsidRPr="00B14BAF" w:rsidRDefault="00D8042F">
      <w:pPr>
        <w:pStyle w:val="FootnoteText"/>
        <w:rPr>
          <w:lang w:val="sv-SE"/>
        </w:rPr>
      </w:pPr>
      <w:r>
        <w:rPr>
          <w:rStyle w:val="FootnoteReference"/>
        </w:rPr>
        <w:footnoteRef/>
      </w:r>
      <w:r w:rsidRPr="004253A5">
        <w:t>Bøgh, A. 1997, pp2</w:t>
      </w:r>
      <w:r>
        <w:t xml:space="preserve">, </w:t>
      </w:r>
      <w:r w:rsidRPr="004253A5">
        <w:t>Lonnroth, E. 1934.</w:t>
      </w:r>
      <w:r w:rsidRPr="004253A5">
        <w:rPr>
          <w:i/>
          <w:iCs/>
        </w:rPr>
        <w:t> </w:t>
      </w:r>
      <w:r w:rsidRPr="00B14BAF">
        <w:rPr>
          <w:i/>
          <w:iCs/>
          <w:lang w:val="sv-SE"/>
        </w:rPr>
        <w:t>Sverige och Kalmar Unionen 1379 -1457</w:t>
      </w:r>
      <w:r w:rsidRPr="00B14BAF">
        <w:rPr>
          <w:lang w:val="sv-SE"/>
        </w:rPr>
        <w:t> (Sweden: Gothenburg: University of Gothenburg),pp20</w:t>
      </w:r>
    </w:p>
  </w:footnote>
  <w:footnote w:id="19">
    <w:p w:rsidR="00D8042F" w:rsidRPr="00B14BAF" w:rsidRDefault="00D8042F">
      <w:pPr>
        <w:pStyle w:val="FootnoteText"/>
        <w:rPr>
          <w:lang w:val="sv-SE"/>
        </w:rPr>
      </w:pPr>
      <w:r>
        <w:rPr>
          <w:rStyle w:val="FootnoteReference"/>
        </w:rPr>
        <w:footnoteRef/>
      </w:r>
      <w:r w:rsidRPr="00B14BAF">
        <w:rPr>
          <w:lang w:val="sv-SE"/>
        </w:rPr>
        <w:t xml:space="preserve"> Bøgh, A. 1997, pp3, Koht, H. 1956.</w:t>
      </w:r>
      <w:r w:rsidRPr="00B14BAF">
        <w:rPr>
          <w:i/>
          <w:iCs/>
          <w:lang w:val="sv-SE"/>
        </w:rPr>
        <w:t> Dronning Margareta og Kalmar-Unionen</w:t>
      </w:r>
      <w:r w:rsidRPr="00B14BAF">
        <w:rPr>
          <w:lang w:val="sv-SE"/>
        </w:rPr>
        <w:t> (Oslo: Aschehoug), pp121</w:t>
      </w:r>
    </w:p>
  </w:footnote>
  <w:footnote w:id="20">
    <w:p w:rsidR="00D8042F" w:rsidRPr="00BB4F1D" w:rsidRDefault="00D8042F">
      <w:pPr>
        <w:pStyle w:val="FootnoteText"/>
        <w:rPr>
          <w:lang w:val="sv-SE"/>
        </w:rPr>
      </w:pPr>
      <w:r>
        <w:rPr>
          <w:rStyle w:val="FootnoteReference"/>
        </w:rPr>
        <w:footnoteRef/>
      </w:r>
      <w:r w:rsidRPr="00BB4F1D">
        <w:rPr>
          <w:lang w:val="sv-SE"/>
        </w:rPr>
        <w:t xml:space="preserve"> </w:t>
      </w:r>
      <w:bookmarkStart w:id="9" w:name="_Hlk513780625"/>
      <w:r w:rsidRPr="00BB4F1D">
        <w:rPr>
          <w:lang w:val="sv-SE"/>
        </w:rPr>
        <w:t>Bøgh, A. 1997, pp5</w:t>
      </w:r>
      <w:bookmarkEnd w:id="9"/>
    </w:p>
  </w:footnote>
  <w:footnote w:id="21">
    <w:p w:rsidR="00D8042F" w:rsidRPr="00BB4F1D" w:rsidRDefault="00D8042F">
      <w:pPr>
        <w:pStyle w:val="FootnoteText"/>
        <w:rPr>
          <w:lang w:val="sv-SE"/>
        </w:rPr>
      </w:pPr>
      <w:r>
        <w:rPr>
          <w:rStyle w:val="FootnoteReference"/>
        </w:rPr>
        <w:footnoteRef/>
      </w:r>
      <w:r w:rsidRPr="00BB4F1D">
        <w:rPr>
          <w:lang w:val="sv-SE"/>
        </w:rPr>
        <w:t xml:space="preserve"> Bøgh, A. 1997, pp5</w:t>
      </w:r>
    </w:p>
  </w:footnote>
  <w:footnote w:id="22">
    <w:p w:rsidR="00D8042F" w:rsidRDefault="00D8042F">
      <w:pPr>
        <w:pStyle w:val="FootnoteText"/>
      </w:pPr>
      <w:r>
        <w:rPr>
          <w:rStyle w:val="FootnoteReference"/>
        </w:rPr>
        <w:footnoteRef/>
      </w:r>
      <w:r>
        <w:t xml:space="preserve"> Bøgh, A. 1997, pp6</w:t>
      </w:r>
      <w:r w:rsidRPr="00DE2A03">
        <w:t>, Gustafsson, H. 2006</w:t>
      </w:r>
      <w:r>
        <w:t>, pp208, Stemair, I. 2014, pp177</w:t>
      </w:r>
    </w:p>
  </w:footnote>
  <w:footnote w:id="23">
    <w:p w:rsidR="00D8042F" w:rsidRDefault="00D8042F">
      <w:pPr>
        <w:pStyle w:val="FootnoteText"/>
      </w:pPr>
      <w:r>
        <w:rPr>
          <w:rStyle w:val="FootnoteReference"/>
        </w:rPr>
        <w:footnoteRef/>
      </w:r>
      <w:r>
        <w:t xml:space="preserve"> </w:t>
      </w:r>
      <w:r w:rsidRPr="00F73AD3">
        <w:t xml:space="preserve">Bøgh, A. 1997, pp6, </w:t>
      </w:r>
      <w:bookmarkStart w:id="10" w:name="_Hlk513786871"/>
      <w:r w:rsidRPr="00F73AD3">
        <w:t>Gustafsson, H. 2006, pp208, Stemair, I. 2014, pp177</w:t>
      </w:r>
      <w:bookmarkEnd w:id="10"/>
    </w:p>
  </w:footnote>
  <w:footnote w:id="24">
    <w:p w:rsidR="00D8042F" w:rsidRDefault="00D8042F">
      <w:pPr>
        <w:pStyle w:val="FootnoteText"/>
      </w:pPr>
      <w:r>
        <w:rPr>
          <w:rStyle w:val="FootnoteReference"/>
        </w:rPr>
        <w:footnoteRef/>
      </w:r>
      <w:r>
        <w:t xml:space="preserve"> </w:t>
      </w:r>
      <w:bookmarkStart w:id="12" w:name="_Hlk513786890"/>
      <w:r>
        <w:t>Gustafsson, H. 2006, pp209, Stemair, I. 2014, pp180</w:t>
      </w:r>
      <w:bookmarkEnd w:id="12"/>
    </w:p>
  </w:footnote>
  <w:footnote w:id="25">
    <w:p w:rsidR="00D8042F" w:rsidRDefault="00D8042F">
      <w:pPr>
        <w:pStyle w:val="FootnoteText"/>
      </w:pPr>
      <w:r>
        <w:rPr>
          <w:rStyle w:val="FootnoteReference"/>
        </w:rPr>
        <w:footnoteRef/>
      </w:r>
      <w:r>
        <w:t xml:space="preserve"> </w:t>
      </w:r>
      <w:r w:rsidRPr="00555F48">
        <w:t>Gustafsson, H. 2006, pp209, Stemair, I. 2014, pp180</w:t>
      </w:r>
    </w:p>
  </w:footnote>
  <w:footnote w:id="26">
    <w:p w:rsidR="00D8042F" w:rsidRDefault="00D8042F">
      <w:pPr>
        <w:pStyle w:val="FootnoteText"/>
      </w:pPr>
      <w:r>
        <w:rPr>
          <w:rStyle w:val="FootnoteReference"/>
        </w:rPr>
        <w:footnoteRef/>
      </w:r>
      <w:r>
        <w:t xml:space="preserve"> </w:t>
      </w:r>
      <w:bookmarkStart w:id="13" w:name="_Hlk513786908"/>
      <w:r>
        <w:t>Gustafsson, H. 2006, pp210</w:t>
      </w:r>
      <w:r w:rsidRPr="00555F48">
        <w:t>, Stemair, I. 2014, pp18</w:t>
      </w:r>
      <w:r>
        <w:t>1</w:t>
      </w:r>
      <w:bookmarkEnd w:id="13"/>
    </w:p>
  </w:footnote>
  <w:footnote w:id="27">
    <w:p w:rsidR="00D8042F" w:rsidRDefault="00D8042F">
      <w:pPr>
        <w:pStyle w:val="FootnoteText"/>
      </w:pPr>
      <w:r>
        <w:rPr>
          <w:rStyle w:val="FootnoteReference"/>
        </w:rPr>
        <w:footnoteRef/>
      </w:r>
      <w:r>
        <w:t xml:space="preserve"> </w:t>
      </w:r>
      <w:r w:rsidRPr="00555F48">
        <w:t>Gustafsson, H. 2006, pp210, Stemair, I. 2014, pp181</w:t>
      </w:r>
    </w:p>
  </w:footnote>
  <w:footnote w:id="28">
    <w:p w:rsidR="00D8042F" w:rsidRDefault="00D8042F">
      <w:pPr>
        <w:pStyle w:val="FootnoteText"/>
      </w:pPr>
      <w:r>
        <w:rPr>
          <w:rStyle w:val="FootnoteReference"/>
        </w:rPr>
        <w:footnoteRef/>
      </w:r>
      <w:r>
        <w:t xml:space="preserve"> </w:t>
      </w:r>
      <w:r w:rsidRPr="00555F48">
        <w:t>Gustafsson, H. 2006, pp210, Stemair, I. 2014, pp181</w:t>
      </w:r>
    </w:p>
  </w:footnote>
  <w:footnote w:id="29">
    <w:p w:rsidR="00D8042F" w:rsidRDefault="00D8042F">
      <w:pPr>
        <w:pStyle w:val="FootnoteText"/>
      </w:pPr>
      <w:r>
        <w:rPr>
          <w:rStyle w:val="FootnoteReference"/>
        </w:rPr>
        <w:footnoteRef/>
      </w:r>
      <w:r>
        <w:t xml:space="preserve"> </w:t>
      </w:r>
      <w:r w:rsidRPr="00555F48">
        <w:t>Gustafsson, H. 2006, pp210, Stemair, I. 2014, pp181</w:t>
      </w:r>
    </w:p>
  </w:footnote>
  <w:footnote w:id="30">
    <w:p w:rsidR="00D8042F" w:rsidRDefault="00D8042F">
      <w:pPr>
        <w:pStyle w:val="FootnoteText"/>
      </w:pPr>
      <w:r>
        <w:rPr>
          <w:rStyle w:val="FootnoteReference"/>
        </w:rPr>
        <w:footnoteRef/>
      </w:r>
      <w:r>
        <w:t xml:space="preserve"> </w:t>
      </w:r>
      <w:r w:rsidRPr="00555F48">
        <w:t>Gustafsson, H. 2006, pp21</w:t>
      </w:r>
      <w:r>
        <w:t>1</w:t>
      </w:r>
      <w:r w:rsidRPr="00555F48">
        <w:t>, Stemair, I. 2014, pp18</w:t>
      </w:r>
      <w:r>
        <w:t>2</w:t>
      </w:r>
    </w:p>
  </w:footnote>
  <w:footnote w:id="31">
    <w:p w:rsidR="00D8042F" w:rsidRDefault="00D8042F">
      <w:pPr>
        <w:pStyle w:val="FootnoteText"/>
      </w:pPr>
      <w:r>
        <w:rPr>
          <w:rStyle w:val="FootnoteReference"/>
        </w:rPr>
        <w:footnoteRef/>
      </w:r>
      <w:r>
        <w:t xml:space="preserve"> </w:t>
      </w:r>
      <w:r w:rsidRPr="004E6431">
        <w:t>Gustafsson, H. 2006, pp211, Stemair, I. 2014, pp182</w:t>
      </w:r>
    </w:p>
  </w:footnote>
  <w:footnote w:id="32">
    <w:p w:rsidR="00D8042F" w:rsidRPr="00BB4F1D" w:rsidRDefault="00D8042F" w:rsidP="00D8042F">
      <w:pPr>
        <w:pStyle w:val="FootnoteText"/>
        <w:rPr>
          <w:lang w:val="sv-SE"/>
        </w:rPr>
      </w:pPr>
      <w:r>
        <w:rPr>
          <w:rStyle w:val="FootnoteReference"/>
        </w:rPr>
        <w:footnoteRef/>
      </w:r>
      <w:r w:rsidRPr="00BB4F1D">
        <w:rPr>
          <w:lang w:val="sv-SE"/>
        </w:rPr>
        <w:t xml:space="preserve"> Brégaint, D. 2016.</w:t>
      </w:r>
      <w:r w:rsidRPr="00BB4F1D">
        <w:rPr>
          <w:i/>
          <w:iCs/>
          <w:lang w:val="sv-SE"/>
        </w:rPr>
        <w:t> 'Civilizing the ‘Viking’'</w:t>
      </w:r>
      <w:r w:rsidRPr="00BB4F1D">
        <w:rPr>
          <w:lang w:val="sv-SE"/>
        </w:rPr>
        <w:t>, Bulletin du Centre de Recherche du Château de Versailles, v1, pp6,</w:t>
      </w:r>
    </w:p>
    <w:p w:rsidR="00D8042F" w:rsidRPr="00BB4F1D" w:rsidRDefault="00D8042F" w:rsidP="00D8042F">
      <w:pPr>
        <w:pStyle w:val="FootnoteText"/>
        <w:rPr>
          <w:vanish/>
          <w:lang w:val="sv-SE"/>
        </w:rPr>
      </w:pPr>
      <w:r w:rsidRPr="00BB4F1D">
        <w:rPr>
          <w:vanish/>
          <w:lang w:val="sv-SE"/>
        </w:rPr>
        <w:t>Top of Form</w:t>
      </w:r>
    </w:p>
    <w:p w:rsidR="00D8042F" w:rsidRPr="00BB4F1D" w:rsidRDefault="00D8042F" w:rsidP="00D8042F">
      <w:pPr>
        <w:pStyle w:val="FootnoteText"/>
        <w:rPr>
          <w:vanish/>
          <w:lang w:val="sv-SE"/>
        </w:rPr>
      </w:pPr>
      <w:r w:rsidRPr="00BB4F1D">
        <w:rPr>
          <w:vanish/>
          <w:lang w:val="sv-SE"/>
        </w:rPr>
        <w:t>Bottom of Form</w:t>
      </w:r>
    </w:p>
    <w:p w:rsidR="00D8042F" w:rsidRPr="00CE5CC6" w:rsidRDefault="00D8042F" w:rsidP="00D8042F">
      <w:pPr>
        <w:pStyle w:val="FootnoteText"/>
      </w:pPr>
      <w:r w:rsidRPr="00BB4F1D">
        <w:rPr>
          <w:lang w:val="sv-SE"/>
        </w:rPr>
        <w:t xml:space="preserve">  Småberg, T. 2013.</w:t>
      </w:r>
      <w:r w:rsidRPr="00BB4F1D">
        <w:rPr>
          <w:i/>
          <w:iCs/>
          <w:lang w:val="sv-SE"/>
        </w:rPr>
        <w:t> </w:t>
      </w:r>
      <w:r w:rsidRPr="00EE0973">
        <w:rPr>
          <w:i/>
          <w:iCs/>
        </w:rPr>
        <w:t>'The Ritual Battle of Tournament: Tornej, Dust, and Bohord in Medieval Sweden ca. 1250-1320'</w:t>
      </w:r>
      <w:r w:rsidRPr="00EE0973">
        <w:t>, in Boute, B., and T. Småberg (eds.)</w:t>
      </w:r>
      <w:r w:rsidRPr="00EE0973">
        <w:rPr>
          <w:i/>
          <w:iCs/>
        </w:rPr>
        <w:t> Devising Order</w:t>
      </w:r>
      <w:r>
        <w:t xml:space="preserve"> (Leiden: BRILL), pp. 165, </w:t>
      </w:r>
      <w:r w:rsidRPr="00CE5CC6">
        <w:t>Småberg, T. 2012.</w:t>
      </w:r>
      <w:r w:rsidRPr="00CE5CC6">
        <w:rPr>
          <w:i/>
          <w:iCs/>
        </w:rPr>
        <w:t> 'Rituals of Greeting and Farewell: Reflections on a Visit to the Royal Court of Norway in 1302'</w:t>
      </w:r>
      <w:r w:rsidRPr="00CE5CC6">
        <w:t xml:space="preserve">, Collegium Medievale, </w:t>
      </w:r>
      <w:r>
        <w:t>v</w:t>
      </w:r>
      <w:r w:rsidRPr="00CE5CC6">
        <w:t xml:space="preserve">25: </w:t>
      </w:r>
      <w:r>
        <w:t>(</w:t>
      </w:r>
      <w:r w:rsidRPr="00CE5CC6">
        <w:t>3</w:t>
      </w:r>
      <w:r>
        <w:t>), pp12</w:t>
      </w:r>
    </w:p>
    <w:p w:rsidR="00D8042F" w:rsidRPr="00CE5CC6" w:rsidRDefault="00D8042F" w:rsidP="00D8042F">
      <w:pPr>
        <w:pStyle w:val="FootnoteText"/>
        <w:rPr>
          <w:vanish/>
        </w:rPr>
      </w:pPr>
      <w:r w:rsidRPr="00CE5CC6">
        <w:rPr>
          <w:vanish/>
        </w:rPr>
        <w:t>Top of Form</w:t>
      </w:r>
    </w:p>
    <w:p w:rsidR="00D8042F" w:rsidRPr="00CE5CC6" w:rsidRDefault="00D8042F" w:rsidP="00D8042F">
      <w:pPr>
        <w:pStyle w:val="FootnoteText"/>
        <w:rPr>
          <w:vanish/>
        </w:rPr>
      </w:pPr>
      <w:r w:rsidRPr="00CE5CC6">
        <w:rPr>
          <w:vanish/>
        </w:rPr>
        <w:t>Bottom of Form</w:t>
      </w:r>
    </w:p>
    <w:p w:rsidR="00D8042F" w:rsidRDefault="00D8042F">
      <w:pPr>
        <w:pStyle w:val="FootnoteText"/>
      </w:pPr>
      <w:r w:rsidRPr="00EE0973">
        <w:rPr>
          <w:vanish/>
        </w:rPr>
        <w:t>Top of FormBottom of Form</w:t>
      </w:r>
    </w:p>
  </w:footnote>
  <w:footnote w:id="33">
    <w:p w:rsidR="00D8042F" w:rsidRPr="00BB4F1D" w:rsidRDefault="00D8042F">
      <w:pPr>
        <w:pStyle w:val="FootnoteText"/>
      </w:pPr>
      <w:r>
        <w:rPr>
          <w:rStyle w:val="FootnoteReference"/>
        </w:rPr>
        <w:footnoteRef/>
      </w:r>
      <w:r w:rsidRPr="00BB4F1D">
        <w:t xml:space="preserve"> Småberg, T. 2013, pp166</w:t>
      </w:r>
    </w:p>
  </w:footnote>
  <w:footnote w:id="34">
    <w:p w:rsidR="00D8042F" w:rsidRPr="00154893" w:rsidRDefault="00D8042F" w:rsidP="00D8042F">
      <w:pPr>
        <w:pStyle w:val="FootnoteText"/>
      </w:pPr>
      <w:r>
        <w:rPr>
          <w:rStyle w:val="FootnoteReference"/>
        </w:rPr>
        <w:footnoteRef/>
      </w:r>
      <w:r w:rsidRPr="00BB4F1D">
        <w:t xml:space="preserve"> Damen, M., H. Skoda, P. Lantschner, and R.L.J. Shaw. 2012.</w:t>
      </w:r>
      <w:r w:rsidRPr="00BB4F1D">
        <w:rPr>
          <w:i/>
          <w:iCs/>
        </w:rPr>
        <w:t> </w:t>
      </w:r>
      <w:r w:rsidRPr="00154893">
        <w:rPr>
          <w:i/>
          <w:iCs/>
        </w:rPr>
        <w:t>'Tournament culture in the Low Countries and England'</w:t>
      </w:r>
      <w:r w:rsidRPr="00154893">
        <w:t>, in Anonymous </w:t>
      </w:r>
      <w:r w:rsidRPr="00154893">
        <w:rPr>
          <w:i/>
          <w:iCs/>
        </w:rPr>
        <w:t>Contact and exchange in later medieval Europe: essays in honour of Malcolm Vale</w:t>
      </w:r>
      <w:r>
        <w:t> (: Boydell), pp. 249</w:t>
      </w:r>
    </w:p>
    <w:p w:rsidR="00D8042F" w:rsidRPr="00154893" w:rsidRDefault="00D8042F" w:rsidP="00D8042F">
      <w:pPr>
        <w:pStyle w:val="FootnoteText"/>
        <w:rPr>
          <w:vanish/>
        </w:rPr>
      </w:pPr>
      <w:r w:rsidRPr="00154893">
        <w:rPr>
          <w:vanish/>
        </w:rPr>
        <w:t>Top of Form</w:t>
      </w:r>
    </w:p>
    <w:p w:rsidR="00D8042F" w:rsidRPr="00154893" w:rsidRDefault="00D8042F" w:rsidP="00D8042F">
      <w:pPr>
        <w:pStyle w:val="FootnoteText"/>
        <w:rPr>
          <w:vanish/>
        </w:rPr>
      </w:pPr>
      <w:r w:rsidRPr="00154893">
        <w:rPr>
          <w:vanish/>
        </w:rPr>
        <w:t>Bottom of Form</w:t>
      </w:r>
    </w:p>
    <w:p w:rsidR="00D8042F" w:rsidRDefault="00D8042F">
      <w:pPr>
        <w:pStyle w:val="FootnoteText"/>
      </w:pPr>
    </w:p>
  </w:footnote>
  <w:footnote w:id="35">
    <w:p w:rsidR="00D8042F" w:rsidRDefault="00D8042F">
      <w:pPr>
        <w:pStyle w:val="FootnoteText"/>
      </w:pPr>
      <w:r>
        <w:rPr>
          <w:rStyle w:val="FootnoteReference"/>
        </w:rPr>
        <w:footnoteRef/>
      </w:r>
      <w:r>
        <w:t xml:space="preserve"> </w:t>
      </w:r>
      <w:r w:rsidRPr="00B047B4">
        <w:t>Lindkvist, T. 2004.</w:t>
      </w:r>
      <w:r w:rsidRPr="00B047B4">
        <w:rPr>
          <w:i/>
          <w:iCs/>
        </w:rPr>
        <w:t> 'The Making of a European Society. The Example of Sweden'</w:t>
      </w:r>
      <w:r w:rsidRPr="00B047B4">
        <w:t xml:space="preserve">, Medieval Encounters, </w:t>
      </w:r>
      <w:r>
        <w:t xml:space="preserve">v10, pp177, Småberg, T. 2013, pp167 </w:t>
      </w:r>
    </w:p>
  </w:footnote>
  <w:footnote w:id="36">
    <w:p w:rsidR="00D8042F" w:rsidRDefault="00D8042F">
      <w:pPr>
        <w:pStyle w:val="FootnoteText"/>
      </w:pPr>
      <w:r>
        <w:rPr>
          <w:rStyle w:val="FootnoteReference"/>
        </w:rPr>
        <w:footnoteRef/>
      </w:r>
      <w:r>
        <w:t xml:space="preserve"> </w:t>
      </w:r>
      <w:r w:rsidRPr="00E0503B">
        <w:t>Carlquist, E., and P.C. Hogg. 2012.</w:t>
      </w:r>
      <w:r w:rsidRPr="00E0503B">
        <w:rPr>
          <w:i/>
          <w:iCs/>
        </w:rPr>
        <w:t> Chronicle of Duke Erik : A Verse Epic from Medieval Sweden</w:t>
      </w:r>
      <w:r w:rsidRPr="00E0503B">
        <w:t> (Lund: Nordic Academic Press)</w:t>
      </w:r>
      <w:r>
        <w:t>, pp7, Småberg, T., 2013, pp167</w:t>
      </w:r>
    </w:p>
  </w:footnote>
  <w:footnote w:id="37">
    <w:p w:rsidR="00D8042F" w:rsidRDefault="00D8042F">
      <w:pPr>
        <w:pStyle w:val="FootnoteText"/>
      </w:pPr>
      <w:r>
        <w:rPr>
          <w:rStyle w:val="FootnoteReference"/>
        </w:rPr>
        <w:footnoteRef/>
      </w:r>
      <w:r>
        <w:t xml:space="preserve"> </w:t>
      </w:r>
      <w:r w:rsidRPr="00C17292">
        <w:t>Eriksen, T.H. 1993.</w:t>
      </w:r>
      <w:r>
        <w:rPr>
          <w:i/>
          <w:iCs/>
        </w:rPr>
        <w:t> Ethnicity and Nationalism</w:t>
      </w:r>
      <w:r w:rsidRPr="00C17292">
        <w:rPr>
          <w:i/>
          <w:iCs/>
        </w:rPr>
        <w:t>: Anthropological Perspectives</w:t>
      </w:r>
      <w:r w:rsidRPr="00C17292">
        <w:t> (United Kingdom: Pluto Press)</w:t>
      </w:r>
      <w:r>
        <w:t>, pp23, Opsahl, E., 2017, pp98</w:t>
      </w:r>
    </w:p>
  </w:footnote>
  <w:footnote w:id="38">
    <w:p w:rsidR="00D8042F" w:rsidRPr="0048452E" w:rsidRDefault="00D8042F">
      <w:pPr>
        <w:pStyle w:val="FootnoteText"/>
        <w:rPr>
          <w:lang w:val="sv-SE"/>
        </w:rPr>
      </w:pPr>
      <w:r>
        <w:rPr>
          <w:rStyle w:val="FootnoteReference"/>
        </w:rPr>
        <w:footnoteRef/>
      </w:r>
      <w:r w:rsidRPr="0048452E">
        <w:rPr>
          <w:lang w:val="sv-SE"/>
        </w:rPr>
        <w:t xml:space="preserve"> Småberg, T. 2013, pp171</w:t>
      </w:r>
    </w:p>
  </w:footnote>
  <w:footnote w:id="39">
    <w:p w:rsidR="00D8042F" w:rsidRPr="0048452E" w:rsidRDefault="00D8042F">
      <w:pPr>
        <w:pStyle w:val="FootnoteText"/>
        <w:rPr>
          <w:lang w:val="sv-SE"/>
        </w:rPr>
      </w:pPr>
      <w:r>
        <w:rPr>
          <w:rStyle w:val="FootnoteReference"/>
        </w:rPr>
        <w:footnoteRef/>
      </w:r>
      <w:r w:rsidRPr="0048452E">
        <w:rPr>
          <w:lang w:val="sv-SE"/>
        </w:rPr>
        <w:t xml:space="preserve"> Småberg, T. 2013, pp171</w:t>
      </w:r>
    </w:p>
  </w:footnote>
  <w:footnote w:id="40">
    <w:p w:rsidR="00D8042F" w:rsidRPr="0048452E" w:rsidRDefault="00D8042F" w:rsidP="00D8042F">
      <w:pPr>
        <w:pStyle w:val="FootnoteText"/>
        <w:rPr>
          <w:lang w:val="sv-SE"/>
        </w:rPr>
      </w:pPr>
      <w:r>
        <w:rPr>
          <w:rStyle w:val="FootnoteReference"/>
        </w:rPr>
        <w:footnoteRef/>
      </w:r>
      <w:r w:rsidRPr="0048452E">
        <w:rPr>
          <w:lang w:val="sv-SE"/>
        </w:rPr>
        <w:t xml:space="preserve"> Bengtsson, H. 1999.</w:t>
      </w:r>
      <w:r w:rsidRPr="0048452E">
        <w:rPr>
          <w:i/>
          <w:iCs/>
          <w:lang w:val="sv-SE"/>
        </w:rPr>
        <w:t> </w:t>
      </w:r>
      <w:r w:rsidRPr="00BE5997">
        <w:rPr>
          <w:i/>
          <w:iCs/>
          <w:lang w:val="sv-SE"/>
        </w:rPr>
        <w:t>Denoe höviska kulturen i norden</w:t>
      </w:r>
      <w:r w:rsidRPr="0048452E">
        <w:rPr>
          <w:lang w:val="sv-SE"/>
        </w:rPr>
        <w:t xml:space="preserve"> (Stockholm: Kungl. Vitterhets Historie och Antikvitets Akad), pp45, Småberg, T., 2013, pp170 </w:t>
      </w:r>
    </w:p>
    <w:p w:rsidR="00D8042F" w:rsidRPr="0048452E" w:rsidRDefault="00D8042F" w:rsidP="00D8042F">
      <w:pPr>
        <w:pStyle w:val="FootnoteText"/>
        <w:rPr>
          <w:vanish/>
          <w:lang w:val="sv-SE"/>
        </w:rPr>
      </w:pPr>
      <w:r w:rsidRPr="0048452E">
        <w:rPr>
          <w:vanish/>
          <w:lang w:val="sv-SE"/>
        </w:rPr>
        <w:t>Top of Form</w:t>
      </w:r>
    </w:p>
    <w:p w:rsidR="00D8042F" w:rsidRPr="0048452E" w:rsidRDefault="00D8042F" w:rsidP="00D8042F">
      <w:pPr>
        <w:pStyle w:val="FootnoteText"/>
        <w:rPr>
          <w:vanish/>
          <w:lang w:val="sv-SE"/>
        </w:rPr>
      </w:pPr>
      <w:r w:rsidRPr="0048452E">
        <w:rPr>
          <w:vanish/>
          <w:lang w:val="sv-SE"/>
        </w:rPr>
        <w:t>Bottom of Form</w:t>
      </w:r>
    </w:p>
    <w:p w:rsidR="00D8042F" w:rsidRPr="0048452E" w:rsidRDefault="00D8042F">
      <w:pPr>
        <w:pStyle w:val="FootnoteText"/>
        <w:rPr>
          <w:lang w:val="sv-SE"/>
        </w:rPr>
      </w:pPr>
    </w:p>
  </w:footnote>
  <w:footnote w:id="41">
    <w:p w:rsidR="00D8042F" w:rsidRDefault="00D8042F">
      <w:pPr>
        <w:pStyle w:val="FootnoteText"/>
      </w:pPr>
      <w:r>
        <w:rPr>
          <w:rStyle w:val="FootnoteReference"/>
        </w:rPr>
        <w:footnoteRef/>
      </w:r>
      <w:r w:rsidRPr="0048452E">
        <w:rPr>
          <w:lang w:val="sv-SE"/>
        </w:rPr>
        <w:t xml:space="preserve"> </w:t>
      </w:r>
      <w:bookmarkStart w:id="16" w:name="_Hlk512030511"/>
      <w:r w:rsidRPr="0048452E">
        <w:rPr>
          <w:lang w:val="sv-SE"/>
        </w:rPr>
        <w:t>Muir, E. 1997.</w:t>
      </w:r>
      <w:r w:rsidRPr="0048452E">
        <w:rPr>
          <w:i/>
          <w:iCs/>
          <w:lang w:val="sv-SE"/>
        </w:rPr>
        <w:t> </w:t>
      </w:r>
      <w:r w:rsidRPr="009813C9">
        <w:rPr>
          <w:i/>
          <w:iCs/>
        </w:rPr>
        <w:t>Ritual in Early Modern Europe</w:t>
      </w:r>
      <w:r w:rsidRPr="009813C9">
        <w:t> (Cambridge: Cambridge Univ. Press)</w:t>
      </w:r>
      <w:r>
        <w:t>, pp5, Småberg, T. 2013, pp171</w:t>
      </w:r>
      <w:bookmarkEnd w:id="16"/>
    </w:p>
  </w:footnote>
  <w:footnote w:id="42">
    <w:p w:rsidR="00D8042F" w:rsidRPr="00EB4F40" w:rsidRDefault="00D8042F" w:rsidP="00D8042F">
      <w:pPr>
        <w:pStyle w:val="FootnoteText"/>
      </w:pPr>
      <w:r>
        <w:rPr>
          <w:rStyle w:val="FootnoteReference"/>
        </w:rPr>
        <w:footnoteRef/>
      </w:r>
      <w:r>
        <w:t xml:space="preserve"> </w:t>
      </w:r>
      <w:r w:rsidRPr="00EB4F40">
        <w:t>Geertz, C. (ed.). 1976.</w:t>
      </w:r>
      <w:r w:rsidRPr="00EB4F40">
        <w:rPr>
          <w:i/>
          <w:iCs/>
        </w:rPr>
        <w:t> The Interpretation of Cultures</w:t>
      </w:r>
      <w:r w:rsidRPr="00EB4F40">
        <w:t> (New York: Basic Books)</w:t>
      </w:r>
      <w:r>
        <w:t xml:space="preserve">, pp112, </w:t>
      </w:r>
      <w:r w:rsidRPr="00EB4F40">
        <w:t>Muir, E. 1997</w:t>
      </w:r>
      <w:r>
        <w:t>, pp5, Småberg, T., 2013, pp171</w:t>
      </w:r>
    </w:p>
    <w:p w:rsidR="00D8042F" w:rsidRDefault="00D8042F">
      <w:pPr>
        <w:pStyle w:val="FootnoteText"/>
      </w:pPr>
    </w:p>
  </w:footnote>
  <w:footnote w:id="43">
    <w:p w:rsidR="00D8042F" w:rsidRDefault="00D8042F">
      <w:pPr>
        <w:pStyle w:val="FootnoteText"/>
      </w:pPr>
      <w:r>
        <w:rPr>
          <w:rStyle w:val="FootnoteReference"/>
        </w:rPr>
        <w:footnoteRef/>
      </w:r>
      <w:r>
        <w:t xml:space="preserve"> </w:t>
      </w:r>
      <w:r w:rsidRPr="001107C6">
        <w:t>Muir, E. 1997.</w:t>
      </w:r>
      <w:r w:rsidRPr="001107C6">
        <w:rPr>
          <w:i/>
          <w:iCs/>
        </w:rPr>
        <w:t> Ritual in Early Modern Europe</w:t>
      </w:r>
      <w:r w:rsidRPr="001107C6">
        <w:t> (Cambridge: Cambridge Univ. Press), pp5, Småberg, T. 2013, pp171</w:t>
      </w:r>
    </w:p>
  </w:footnote>
  <w:footnote w:id="44">
    <w:p w:rsidR="00D8042F" w:rsidRDefault="00D8042F">
      <w:pPr>
        <w:pStyle w:val="FootnoteText"/>
      </w:pPr>
      <w:r>
        <w:rPr>
          <w:rStyle w:val="FootnoteReference"/>
        </w:rPr>
        <w:footnoteRef/>
      </w:r>
      <w:r>
        <w:t xml:space="preserve"> </w:t>
      </w:r>
      <w:r w:rsidRPr="00E22909">
        <w:t>Geertz, C. (e</w:t>
      </w:r>
      <w:r>
        <w:t>d.). 1976, pp112,</w:t>
      </w:r>
      <w:r w:rsidRPr="00E22909">
        <w:t xml:space="preserve"> Småberg, T., 2013, pp171</w:t>
      </w:r>
    </w:p>
  </w:footnote>
  <w:footnote w:id="45">
    <w:p w:rsidR="00D8042F" w:rsidRPr="00BB4F1D" w:rsidRDefault="00D8042F">
      <w:pPr>
        <w:pStyle w:val="FootnoteText"/>
      </w:pPr>
      <w:r>
        <w:rPr>
          <w:rStyle w:val="FootnoteReference"/>
        </w:rPr>
        <w:footnoteRef/>
      </w:r>
      <w:r w:rsidRPr="00BB4F1D">
        <w:t xml:space="preserve"> Geertz, C. (ed.). 1976, pp112, Småberg, T., 2013, pp171</w:t>
      </w:r>
    </w:p>
  </w:footnote>
  <w:footnote w:id="46">
    <w:p w:rsidR="00D8042F" w:rsidRPr="003266FD" w:rsidRDefault="00D8042F" w:rsidP="00D8042F">
      <w:pPr>
        <w:pStyle w:val="FootnoteText"/>
      </w:pPr>
      <w:r>
        <w:rPr>
          <w:rStyle w:val="FootnoteReference"/>
        </w:rPr>
        <w:footnoteRef/>
      </w:r>
      <w:r>
        <w:t xml:space="preserve"> D</w:t>
      </w:r>
      <w:r w:rsidRPr="003266FD">
        <w:t>e Vivo</w:t>
      </w:r>
      <w:r>
        <w:t>, F.</w:t>
      </w:r>
      <w:r w:rsidRPr="003266FD">
        <w:t xml:space="preserve"> 2003.</w:t>
      </w:r>
      <w:r w:rsidRPr="003266FD">
        <w:rPr>
          <w:i/>
          <w:iCs/>
        </w:rPr>
        <w:t> 'Historical Justifications of Venetian Power in the Adriatic'</w:t>
      </w:r>
      <w:r w:rsidRPr="003266FD">
        <w:t xml:space="preserve">, Journal of the History of Ideas, </w:t>
      </w:r>
      <w:r>
        <w:t>v64, pp161</w:t>
      </w:r>
    </w:p>
    <w:p w:rsidR="00D8042F" w:rsidRPr="003266FD" w:rsidRDefault="00D8042F" w:rsidP="00D8042F">
      <w:pPr>
        <w:pStyle w:val="FootnoteText"/>
      </w:pPr>
      <w:r w:rsidRPr="003266FD">
        <w:t>Swanson, A. 2003.</w:t>
      </w:r>
      <w:r w:rsidRPr="003266FD">
        <w:rPr>
          <w:i/>
          <w:iCs/>
        </w:rPr>
        <w:t> 'Courts and Culture in Renaissance Scandinavia'</w:t>
      </w:r>
      <w:r w:rsidRPr="003266FD">
        <w:t>, in Gosman, M., A. MacDonald, and A. Vanderjagt (eds.)</w:t>
      </w:r>
      <w:r w:rsidRPr="003266FD">
        <w:rPr>
          <w:i/>
          <w:iCs/>
        </w:rPr>
        <w:t> Princes and Princely Culture 1450-1650, Volume 1</w:t>
      </w:r>
      <w:r>
        <w:t> (Leiden, Germany: Brill), pp262</w:t>
      </w:r>
    </w:p>
    <w:p w:rsidR="00D8042F" w:rsidRDefault="00D8042F">
      <w:pPr>
        <w:pStyle w:val="FootnoteText"/>
      </w:pPr>
    </w:p>
  </w:footnote>
  <w:footnote w:id="47">
    <w:p w:rsidR="00D8042F" w:rsidRPr="0048452E" w:rsidRDefault="00D8042F">
      <w:pPr>
        <w:pStyle w:val="FootnoteText"/>
        <w:rPr>
          <w:lang w:val="sv-SE"/>
        </w:rPr>
      </w:pPr>
      <w:r>
        <w:rPr>
          <w:rStyle w:val="FootnoteReference"/>
        </w:rPr>
        <w:footnoteRef/>
      </w:r>
      <w:r w:rsidRPr="00BB4F1D">
        <w:t xml:space="preserve"> De Vivo, F., 2003, pp161, Swanson. </w:t>
      </w:r>
      <w:r w:rsidRPr="0048452E">
        <w:rPr>
          <w:lang w:val="sv-SE"/>
        </w:rPr>
        <w:t>A. 2003, pp262</w:t>
      </w:r>
    </w:p>
  </w:footnote>
  <w:footnote w:id="48">
    <w:p w:rsidR="00D8042F" w:rsidRPr="0048452E" w:rsidRDefault="00D8042F">
      <w:pPr>
        <w:pStyle w:val="FootnoteText"/>
        <w:rPr>
          <w:lang w:val="sv-SE"/>
        </w:rPr>
      </w:pPr>
      <w:r>
        <w:rPr>
          <w:rStyle w:val="FootnoteReference"/>
        </w:rPr>
        <w:footnoteRef/>
      </w:r>
      <w:r w:rsidRPr="0048452E">
        <w:rPr>
          <w:lang w:val="sv-SE"/>
        </w:rPr>
        <w:t xml:space="preserve"> De Vivo, F., 2003, pp162</w:t>
      </w:r>
    </w:p>
  </w:footnote>
  <w:footnote w:id="49">
    <w:p w:rsidR="00D8042F" w:rsidRPr="0048452E" w:rsidRDefault="00D8042F">
      <w:pPr>
        <w:pStyle w:val="FootnoteText"/>
        <w:rPr>
          <w:lang w:val="sv-SE"/>
        </w:rPr>
      </w:pPr>
      <w:r>
        <w:rPr>
          <w:rStyle w:val="FootnoteReference"/>
        </w:rPr>
        <w:footnoteRef/>
      </w:r>
      <w:r w:rsidRPr="0048452E">
        <w:rPr>
          <w:lang w:val="sv-SE"/>
        </w:rPr>
        <w:t xml:space="preserve"> De Vivo, F., 2003, pp163</w:t>
      </w:r>
    </w:p>
  </w:footnote>
  <w:footnote w:id="50">
    <w:p w:rsidR="00D8042F" w:rsidRPr="0048452E" w:rsidRDefault="00D8042F">
      <w:pPr>
        <w:pStyle w:val="FootnoteText"/>
        <w:rPr>
          <w:lang w:val="sv-SE"/>
        </w:rPr>
      </w:pPr>
      <w:r>
        <w:rPr>
          <w:rStyle w:val="FootnoteReference"/>
        </w:rPr>
        <w:footnoteRef/>
      </w:r>
      <w:r w:rsidRPr="0048452E">
        <w:rPr>
          <w:lang w:val="sv-SE"/>
        </w:rPr>
        <w:t xml:space="preserve"> De Vivo, F., 2003, pp163</w:t>
      </w:r>
    </w:p>
  </w:footnote>
  <w:footnote w:id="51">
    <w:p w:rsidR="00D8042F" w:rsidRPr="0048452E" w:rsidRDefault="00D8042F" w:rsidP="00D8042F">
      <w:pPr>
        <w:pStyle w:val="FootnoteText"/>
        <w:rPr>
          <w:lang w:val="sv-SE"/>
        </w:rPr>
      </w:pPr>
      <w:r>
        <w:rPr>
          <w:rStyle w:val="FootnoteReference"/>
        </w:rPr>
        <w:footnoteRef/>
      </w:r>
      <w:r w:rsidRPr="0048452E">
        <w:rPr>
          <w:lang w:val="sv-SE"/>
        </w:rPr>
        <w:t xml:space="preserve"> De Vivo, F., 2003, pp165, Muir, E. 1981.</w:t>
      </w:r>
      <w:r w:rsidRPr="0048452E">
        <w:rPr>
          <w:i/>
          <w:iCs/>
          <w:lang w:val="sv-SE"/>
        </w:rPr>
        <w:t> </w:t>
      </w:r>
      <w:r w:rsidRPr="00B650CF">
        <w:rPr>
          <w:i/>
          <w:iCs/>
        </w:rPr>
        <w:t>Civic ritual in Renaissance Venice</w:t>
      </w:r>
      <w:r w:rsidRPr="00B650CF">
        <w:t xml:space="preserve"> (Princeton, NJ: Princeton Univ. </w:t>
      </w:r>
      <w:r w:rsidRPr="0048452E">
        <w:rPr>
          <w:lang w:val="sv-SE"/>
        </w:rPr>
        <w:t>Press), pp103</w:t>
      </w:r>
    </w:p>
    <w:p w:rsidR="00D8042F" w:rsidRPr="0048452E" w:rsidRDefault="00D8042F" w:rsidP="00D8042F">
      <w:pPr>
        <w:pStyle w:val="FootnoteText"/>
        <w:rPr>
          <w:vanish/>
          <w:lang w:val="sv-SE"/>
        </w:rPr>
      </w:pPr>
      <w:r w:rsidRPr="0048452E">
        <w:rPr>
          <w:vanish/>
          <w:lang w:val="sv-SE"/>
        </w:rPr>
        <w:t>Top of Form</w:t>
      </w:r>
    </w:p>
    <w:p w:rsidR="00D8042F" w:rsidRPr="0048452E" w:rsidRDefault="00D8042F" w:rsidP="00D8042F">
      <w:pPr>
        <w:pStyle w:val="FootnoteText"/>
        <w:rPr>
          <w:vanish/>
          <w:lang w:val="sv-SE"/>
        </w:rPr>
      </w:pPr>
      <w:r w:rsidRPr="0048452E">
        <w:rPr>
          <w:vanish/>
          <w:lang w:val="sv-SE"/>
        </w:rPr>
        <w:t>Bottom of Form</w:t>
      </w:r>
    </w:p>
    <w:p w:rsidR="00D8042F" w:rsidRPr="0048452E" w:rsidRDefault="00D8042F">
      <w:pPr>
        <w:pStyle w:val="FootnoteText"/>
        <w:rPr>
          <w:lang w:val="sv-SE"/>
        </w:rPr>
      </w:pPr>
    </w:p>
  </w:footnote>
  <w:footnote w:id="52">
    <w:p w:rsidR="00D8042F" w:rsidRPr="0048452E" w:rsidRDefault="00D8042F">
      <w:pPr>
        <w:pStyle w:val="FootnoteText"/>
        <w:rPr>
          <w:lang w:val="sv-SE"/>
        </w:rPr>
      </w:pPr>
      <w:r>
        <w:rPr>
          <w:rStyle w:val="FootnoteReference"/>
        </w:rPr>
        <w:footnoteRef/>
      </w:r>
      <w:r w:rsidRPr="0048452E">
        <w:rPr>
          <w:lang w:val="sv-SE"/>
        </w:rPr>
        <w:t xml:space="preserve"> De Vivo, F. 2003, pp166</w:t>
      </w:r>
    </w:p>
  </w:footnote>
  <w:footnote w:id="53">
    <w:p w:rsidR="00D8042F" w:rsidRPr="0048452E" w:rsidRDefault="00D8042F">
      <w:pPr>
        <w:pStyle w:val="FootnoteText"/>
        <w:rPr>
          <w:lang w:val="sv-SE"/>
        </w:rPr>
      </w:pPr>
      <w:r>
        <w:rPr>
          <w:rStyle w:val="FootnoteReference"/>
        </w:rPr>
        <w:footnoteRef/>
      </w:r>
      <w:r w:rsidRPr="0048452E">
        <w:rPr>
          <w:lang w:val="sv-SE"/>
        </w:rPr>
        <w:t xml:space="preserve"> De Vivo, F. 2003, pp166</w:t>
      </w:r>
    </w:p>
  </w:footnote>
  <w:footnote w:id="54">
    <w:p w:rsidR="00D8042F" w:rsidRPr="0048452E" w:rsidRDefault="00D8042F">
      <w:pPr>
        <w:pStyle w:val="FootnoteText"/>
        <w:rPr>
          <w:lang w:val="sv-SE"/>
        </w:rPr>
      </w:pPr>
      <w:r>
        <w:rPr>
          <w:rStyle w:val="FootnoteReference"/>
        </w:rPr>
        <w:footnoteRef/>
      </w:r>
      <w:r w:rsidRPr="0048452E">
        <w:rPr>
          <w:lang w:val="sv-SE"/>
        </w:rPr>
        <w:t xml:space="preserve"> De Vivo, F. 2003, pp169, Muir, 1981, pp120</w:t>
      </w:r>
    </w:p>
  </w:footnote>
  <w:footnote w:id="55">
    <w:p w:rsidR="00D8042F" w:rsidRPr="0048452E" w:rsidRDefault="00D8042F">
      <w:pPr>
        <w:pStyle w:val="FootnoteText"/>
        <w:rPr>
          <w:lang w:val="sv-SE"/>
        </w:rPr>
      </w:pPr>
      <w:r>
        <w:rPr>
          <w:rStyle w:val="FootnoteReference"/>
        </w:rPr>
        <w:footnoteRef/>
      </w:r>
      <w:r w:rsidRPr="0048452E">
        <w:rPr>
          <w:lang w:val="sv-SE"/>
        </w:rPr>
        <w:t xml:space="preserve"> De Vivo, F. 2003, pp169</w:t>
      </w:r>
    </w:p>
  </w:footnote>
  <w:footnote w:id="56">
    <w:p w:rsidR="00D8042F" w:rsidRPr="0048452E" w:rsidRDefault="00D8042F">
      <w:pPr>
        <w:pStyle w:val="FootnoteText"/>
        <w:rPr>
          <w:lang w:val="sv-SE"/>
        </w:rPr>
      </w:pPr>
      <w:r>
        <w:rPr>
          <w:rStyle w:val="FootnoteReference"/>
        </w:rPr>
        <w:footnoteRef/>
      </w:r>
      <w:r w:rsidRPr="0048452E">
        <w:rPr>
          <w:lang w:val="sv-SE"/>
        </w:rPr>
        <w:t xml:space="preserve"> De Vivo, F. 2003, pp170</w:t>
      </w:r>
    </w:p>
  </w:footnote>
  <w:footnote w:id="57">
    <w:p w:rsidR="00D8042F" w:rsidRPr="00A518D1" w:rsidRDefault="00D8042F">
      <w:pPr>
        <w:pStyle w:val="FootnoteText"/>
        <w:rPr>
          <w:lang w:val="sv-SE"/>
        </w:rPr>
      </w:pPr>
      <w:r>
        <w:rPr>
          <w:rStyle w:val="FootnoteReference"/>
        </w:rPr>
        <w:footnoteRef/>
      </w:r>
      <w:r w:rsidRPr="00A518D1">
        <w:rPr>
          <w:lang w:val="sv-SE"/>
        </w:rPr>
        <w:t xml:space="preserve"> Småberg, T. 2013, pp173</w:t>
      </w:r>
    </w:p>
  </w:footnote>
  <w:footnote w:id="58">
    <w:p w:rsidR="00D8042F" w:rsidRPr="004405E2" w:rsidRDefault="00D8042F" w:rsidP="00D8042F">
      <w:pPr>
        <w:pStyle w:val="FootnoteText"/>
      </w:pPr>
      <w:r>
        <w:rPr>
          <w:rStyle w:val="FootnoteReference"/>
        </w:rPr>
        <w:footnoteRef/>
      </w:r>
      <w:r w:rsidRPr="00BB4F1D">
        <w:rPr>
          <w:lang w:val="sv-SE"/>
        </w:rPr>
        <w:t xml:space="preserve">Carlquist, E., and P.C. Hogg. 2012, pp7, Fulvio, F. 2008. </w:t>
      </w:r>
      <w:r w:rsidRPr="004405E2">
        <w:rPr>
          <w:i/>
          <w:iCs/>
        </w:rPr>
        <w:t>'Literature as a Performative Act. Erikskrönikan and the Making of a Nation'</w:t>
      </w:r>
      <w:r w:rsidRPr="004405E2">
        <w:t>, in Bampi, M. (ed.)</w:t>
      </w:r>
      <w:r w:rsidRPr="004405E2">
        <w:rPr>
          <w:i/>
          <w:iCs/>
        </w:rPr>
        <w:t> </w:t>
      </w:r>
      <w:r w:rsidRPr="0048452E">
        <w:rPr>
          <w:i/>
          <w:iCs/>
        </w:rPr>
        <w:t>Lärdomber oc Skämptan</w:t>
      </w:r>
      <w:r w:rsidRPr="004405E2">
        <w:rPr>
          <w:i/>
          <w:iCs/>
        </w:rPr>
        <w:t>. Medieval Swedish Literature Reconsidered</w:t>
      </w:r>
      <w:r w:rsidRPr="004405E2">
        <w:t> (Sweden: Uppsala: University of Uppsala)</w:t>
      </w:r>
      <w:r>
        <w:t>, pp55</w:t>
      </w:r>
    </w:p>
    <w:p w:rsidR="00D8042F" w:rsidRPr="004405E2" w:rsidRDefault="00D8042F" w:rsidP="00D8042F">
      <w:pPr>
        <w:pStyle w:val="FootnoteText"/>
      </w:pPr>
      <w:r w:rsidRPr="004405E2">
        <w:t>Nordquist</w:t>
      </w:r>
      <w:r>
        <w:t>, M</w:t>
      </w:r>
      <w:r w:rsidRPr="004405E2">
        <w:t>. 2017.</w:t>
      </w:r>
      <w:r w:rsidRPr="004405E2">
        <w:rPr>
          <w:i/>
          <w:iCs/>
        </w:rPr>
        <w:t> 'Swedes and Others – Identity Formation in Medieval Sweden'</w:t>
      </w:r>
      <w:r w:rsidRPr="004405E2">
        <w:t xml:space="preserve">, </w:t>
      </w:r>
      <w:r w:rsidRPr="00A518D1">
        <w:t xml:space="preserve">Frühmittelalterliche </w:t>
      </w:r>
      <w:r w:rsidRPr="004405E2">
        <w:t xml:space="preserve">Studien, </w:t>
      </w:r>
      <w:r>
        <w:t>v51, pp446</w:t>
      </w:r>
    </w:p>
    <w:p w:rsidR="00D8042F" w:rsidRPr="004405E2" w:rsidRDefault="00D8042F" w:rsidP="00D8042F">
      <w:pPr>
        <w:pStyle w:val="FootnoteText"/>
      </w:pPr>
      <w:r w:rsidRPr="004405E2">
        <w:t>Norde, M. 1997.</w:t>
      </w:r>
      <w:r w:rsidRPr="004405E2">
        <w:rPr>
          <w:i/>
          <w:iCs/>
        </w:rPr>
        <w:t> 'Middle Low German-Middle Scandinavian Language Contact and Morphological Simplification'</w:t>
      </w:r>
      <w:r w:rsidRPr="004405E2">
        <w:t xml:space="preserve">, Multilingua: Journal of Cross-Cultural and Interlanguage Communication, </w:t>
      </w:r>
      <w:r>
        <w:t>v16, pp391</w:t>
      </w:r>
    </w:p>
    <w:p w:rsidR="00D8042F" w:rsidRDefault="00D8042F">
      <w:pPr>
        <w:pStyle w:val="FootnoteText"/>
      </w:pPr>
    </w:p>
  </w:footnote>
  <w:footnote w:id="59">
    <w:p w:rsidR="00D8042F" w:rsidRDefault="00D8042F">
      <w:pPr>
        <w:pStyle w:val="FootnoteText"/>
      </w:pPr>
      <w:r>
        <w:rPr>
          <w:rStyle w:val="FootnoteReference"/>
        </w:rPr>
        <w:footnoteRef/>
      </w:r>
      <w:r>
        <w:t xml:space="preserve"> </w:t>
      </w:r>
      <w:bookmarkStart w:id="18" w:name="_Hlk513500597"/>
      <w:r w:rsidRPr="007153D8">
        <w:t>Carlquist, E., and P.C. Hogg. 2012</w:t>
      </w:r>
      <w:r>
        <w:t>, pp7, Fulvio, F. 2008, pp50, Nordquist M. 2017, pp446, Norde M. 1997, pp391, Småberg T., 2013, pp173</w:t>
      </w:r>
      <w:bookmarkEnd w:id="18"/>
    </w:p>
  </w:footnote>
  <w:footnote w:id="60">
    <w:p w:rsidR="00D8042F" w:rsidRDefault="00D8042F">
      <w:pPr>
        <w:pStyle w:val="FootnoteText"/>
      </w:pPr>
      <w:r>
        <w:rPr>
          <w:rStyle w:val="FootnoteReference"/>
        </w:rPr>
        <w:footnoteRef/>
      </w:r>
      <w:r>
        <w:t xml:space="preserve"> </w:t>
      </w:r>
    </w:p>
  </w:footnote>
  <w:footnote w:id="61">
    <w:p w:rsidR="00D8042F" w:rsidRDefault="00D8042F">
      <w:pPr>
        <w:pStyle w:val="FootnoteText"/>
      </w:pPr>
      <w:r>
        <w:rPr>
          <w:rStyle w:val="FootnoteReference"/>
        </w:rPr>
        <w:footnoteRef/>
      </w:r>
      <w:r>
        <w:t xml:space="preserve"> </w:t>
      </w:r>
      <w:r w:rsidRPr="00553CED">
        <w:t xml:space="preserve">Carlquist, E., and P.C. Hogg. 2012, pp7, Fulvio, F. 2008, </w:t>
      </w:r>
      <w:r>
        <w:t>pp52, Nordquist M. 2017, pp447</w:t>
      </w:r>
      <w:r w:rsidRPr="00553CED">
        <w:t>, Norde M. 1997, pp391, Småberg T., 2013, pp173</w:t>
      </w:r>
    </w:p>
  </w:footnote>
  <w:footnote w:id="62">
    <w:p w:rsidR="00D8042F" w:rsidRDefault="00D8042F">
      <w:pPr>
        <w:pStyle w:val="FootnoteText"/>
      </w:pPr>
      <w:r>
        <w:rPr>
          <w:rStyle w:val="FootnoteReference"/>
        </w:rPr>
        <w:footnoteRef/>
      </w:r>
      <w:r>
        <w:t xml:space="preserve"> </w:t>
      </w:r>
      <w:r w:rsidRPr="005D77B4">
        <w:t xml:space="preserve">Carlquist, E., and P.C. Hogg. </w:t>
      </w:r>
      <w:r>
        <w:t>2012, pp12</w:t>
      </w:r>
      <w:r w:rsidRPr="005D77B4">
        <w:t>, Fulvio, F. 2008, pp52, Nordquist M. 2017, pp447, Norde M. 1997, pp391, Småberg T., 2013, pp173</w:t>
      </w:r>
    </w:p>
  </w:footnote>
  <w:footnote w:id="63">
    <w:p w:rsidR="00D8042F" w:rsidRDefault="00D8042F">
      <w:pPr>
        <w:pStyle w:val="FootnoteText"/>
      </w:pPr>
      <w:r>
        <w:rPr>
          <w:rStyle w:val="FootnoteReference"/>
        </w:rPr>
        <w:footnoteRef/>
      </w:r>
      <w:r>
        <w:t xml:space="preserve"> </w:t>
      </w:r>
      <w:r w:rsidRPr="00570342">
        <w:t xml:space="preserve">Carlquist, E., and P.C. Hogg. </w:t>
      </w:r>
      <w:r>
        <w:t>2012, pp12</w:t>
      </w:r>
      <w:r w:rsidRPr="00570342">
        <w:t xml:space="preserve">, Fulvio, F. 2008, </w:t>
      </w:r>
      <w:r>
        <w:t>pp53</w:t>
      </w:r>
      <w:r w:rsidRPr="00570342">
        <w:t>, Nordquist M. 2017, pp447, Norde M. 1997, pp391, Småberg T., 2013, pp173</w:t>
      </w:r>
    </w:p>
  </w:footnote>
  <w:footnote w:id="64">
    <w:p w:rsidR="00D8042F" w:rsidRDefault="00D8042F">
      <w:pPr>
        <w:pStyle w:val="FootnoteText"/>
      </w:pPr>
      <w:r>
        <w:rPr>
          <w:rStyle w:val="FootnoteReference"/>
        </w:rPr>
        <w:footnoteRef/>
      </w:r>
      <w:r>
        <w:t xml:space="preserve"> </w:t>
      </w:r>
      <w:r w:rsidRPr="00FD1D22">
        <w:t>Carlquist, E., and P.C. Hogg. 2012, pp</w:t>
      </w:r>
      <w:r>
        <w:t>13</w:t>
      </w:r>
      <w:r w:rsidRPr="00FD1D22">
        <w:t>, Fulvio, F. 2008</w:t>
      </w:r>
      <w:r>
        <w:t>, pp53, Nordquist M. 2017, pp435,</w:t>
      </w:r>
      <w:r w:rsidRPr="00FD1D22">
        <w:t xml:space="preserve"> Småberg T., 2013, pp173</w:t>
      </w:r>
    </w:p>
  </w:footnote>
  <w:footnote w:id="65">
    <w:p w:rsidR="00D8042F" w:rsidRDefault="00D8042F">
      <w:pPr>
        <w:pStyle w:val="FootnoteText"/>
      </w:pPr>
      <w:r>
        <w:rPr>
          <w:rStyle w:val="FootnoteReference"/>
        </w:rPr>
        <w:footnoteRef/>
      </w:r>
      <w:r>
        <w:t xml:space="preserve"> </w:t>
      </w:r>
      <w:r w:rsidRPr="00D676B4">
        <w:t>Carlquist, E., and P.C. Hogg. 2012, pp</w:t>
      </w:r>
      <w:r>
        <w:t>13</w:t>
      </w:r>
      <w:r w:rsidRPr="00D676B4">
        <w:t>, Fulvio, F. 2008</w:t>
      </w:r>
      <w:r>
        <w:t>, pp53, Nordquist M. 2017, pp435</w:t>
      </w:r>
      <w:r w:rsidRPr="00D676B4">
        <w:t>, Småberg T., 2013,</w:t>
      </w:r>
      <w:r>
        <w:t xml:space="preserve"> pp173</w:t>
      </w:r>
    </w:p>
  </w:footnote>
  <w:footnote w:id="66">
    <w:p w:rsidR="00D8042F" w:rsidRDefault="00D8042F">
      <w:pPr>
        <w:pStyle w:val="FootnoteText"/>
      </w:pPr>
      <w:r>
        <w:rPr>
          <w:rStyle w:val="FootnoteReference"/>
        </w:rPr>
        <w:footnoteRef/>
      </w:r>
      <w:r>
        <w:t xml:space="preserve"> </w:t>
      </w:r>
      <w:r w:rsidRPr="00D676B4">
        <w:t>Carlquist, E., and P.C. Hogg. 2012, pp</w:t>
      </w:r>
      <w:r>
        <w:t>13</w:t>
      </w:r>
      <w:r w:rsidRPr="00D676B4">
        <w:t>, Fulvio, F. 2008</w:t>
      </w:r>
      <w:r>
        <w:t>, pp53, Nordquist M. 2017, pp435</w:t>
      </w:r>
      <w:r w:rsidRPr="00D676B4">
        <w:t>, Småberg T., 2013, pp173</w:t>
      </w:r>
    </w:p>
  </w:footnote>
  <w:footnote w:id="67">
    <w:p w:rsidR="00D8042F" w:rsidRDefault="00D8042F">
      <w:pPr>
        <w:pStyle w:val="FootnoteText"/>
      </w:pPr>
      <w:r>
        <w:rPr>
          <w:rStyle w:val="FootnoteReference"/>
        </w:rPr>
        <w:footnoteRef/>
      </w:r>
      <w:r>
        <w:t xml:space="preserve"> </w:t>
      </w:r>
      <w:r w:rsidRPr="00D676B4">
        <w:t>Carlquist, E., and P.C. Hogg. 2012, pp</w:t>
      </w:r>
      <w:r>
        <w:t>14</w:t>
      </w:r>
      <w:r w:rsidRPr="00D676B4">
        <w:t>, Fulvio, F. 2008, pp53,</w:t>
      </w:r>
    </w:p>
  </w:footnote>
  <w:footnote w:id="68">
    <w:p w:rsidR="00D8042F" w:rsidRDefault="00D8042F">
      <w:pPr>
        <w:pStyle w:val="FootnoteText"/>
      </w:pPr>
      <w:r>
        <w:rPr>
          <w:rStyle w:val="FootnoteReference"/>
        </w:rPr>
        <w:footnoteRef/>
      </w:r>
      <w:r>
        <w:t xml:space="preserve"> </w:t>
      </w:r>
      <w:r w:rsidRPr="00AA70A6">
        <w:t>Carlquist, E., and P.C. Hogg. 2012, pp</w:t>
      </w:r>
      <w:r>
        <w:t>14</w:t>
      </w:r>
      <w:r w:rsidRPr="00AA70A6">
        <w:t>, Fulvio, F. 2008, pp53,</w:t>
      </w:r>
    </w:p>
  </w:footnote>
  <w:footnote w:id="69">
    <w:p w:rsidR="00D8042F" w:rsidRDefault="00D8042F">
      <w:pPr>
        <w:pStyle w:val="FootnoteText"/>
      </w:pPr>
      <w:r>
        <w:rPr>
          <w:rStyle w:val="FootnoteReference"/>
        </w:rPr>
        <w:footnoteRef/>
      </w:r>
      <w:r>
        <w:t xml:space="preserve"> </w:t>
      </w:r>
      <w:r w:rsidRPr="005D77B4">
        <w:t xml:space="preserve">Carlquist, E., and P.C. Hogg. </w:t>
      </w:r>
      <w:r>
        <w:t>2012, pp14</w:t>
      </w:r>
    </w:p>
  </w:footnote>
  <w:footnote w:id="70">
    <w:p w:rsidR="00D8042F" w:rsidRDefault="00D8042F">
      <w:pPr>
        <w:pStyle w:val="FootnoteText"/>
      </w:pPr>
      <w:r>
        <w:rPr>
          <w:rStyle w:val="FootnoteReference"/>
        </w:rPr>
        <w:footnoteRef/>
      </w:r>
      <w:r>
        <w:t xml:space="preserve"> </w:t>
      </w:r>
      <w:r w:rsidRPr="002A30AF">
        <w:t>Carlquist, E., and P.C. Hogg. 2012, pp14, Fulvio, F. 2008, pp5</w:t>
      </w:r>
      <w:r>
        <w:t>4</w:t>
      </w:r>
    </w:p>
  </w:footnote>
  <w:footnote w:id="71">
    <w:p w:rsidR="00D8042F" w:rsidRPr="002A30AF" w:rsidRDefault="00D8042F" w:rsidP="00D8042F">
      <w:pPr>
        <w:pStyle w:val="FootnoteText"/>
      </w:pPr>
      <w:r>
        <w:rPr>
          <w:rStyle w:val="FootnoteReference"/>
        </w:rPr>
        <w:footnoteRef/>
      </w:r>
      <w:r>
        <w:t xml:space="preserve"> </w:t>
      </w:r>
      <w:r w:rsidRPr="002A30AF">
        <w:t>Carlquist, E., and P.C. Hogg. 2012, pp14, Fulvio, F. 2008, pp54</w:t>
      </w:r>
    </w:p>
    <w:p w:rsidR="00D8042F" w:rsidRDefault="00D8042F">
      <w:pPr>
        <w:pStyle w:val="FootnoteText"/>
      </w:pPr>
    </w:p>
  </w:footnote>
  <w:footnote w:id="72">
    <w:p w:rsidR="00D8042F" w:rsidRPr="002A30AF" w:rsidRDefault="00D8042F" w:rsidP="00D8042F">
      <w:pPr>
        <w:pStyle w:val="FootnoteText"/>
      </w:pPr>
      <w:r>
        <w:rPr>
          <w:rStyle w:val="FootnoteReference"/>
        </w:rPr>
        <w:footnoteRef/>
      </w:r>
      <w:r>
        <w:t xml:space="preserve"> </w:t>
      </w:r>
      <w:r w:rsidRPr="002A30AF">
        <w:t>Carlquist, E., and P.C. Hogg. 2012, pp</w:t>
      </w:r>
      <w:r>
        <w:t>15</w:t>
      </w:r>
      <w:r w:rsidRPr="002A30AF">
        <w:t>, Fulvio, F. 2008, pp54</w:t>
      </w:r>
    </w:p>
    <w:p w:rsidR="00D8042F" w:rsidRDefault="00D8042F">
      <w:pPr>
        <w:pStyle w:val="FootnoteText"/>
      </w:pPr>
    </w:p>
  </w:footnote>
  <w:footnote w:id="73">
    <w:p w:rsidR="00D8042F" w:rsidRDefault="00D8042F">
      <w:pPr>
        <w:pStyle w:val="FootnoteText"/>
      </w:pPr>
      <w:r>
        <w:rPr>
          <w:rStyle w:val="FootnoteReference"/>
        </w:rPr>
        <w:footnoteRef/>
      </w:r>
      <w:r>
        <w:t xml:space="preserve"> </w:t>
      </w:r>
      <w:r w:rsidRPr="002A30AF">
        <w:t>Carlquist, E., and P.C. Hogg. 2012, pp15, Fulvio, F. 2008, pp54</w:t>
      </w:r>
    </w:p>
  </w:footnote>
  <w:footnote w:id="74">
    <w:p w:rsidR="00D8042F" w:rsidRDefault="00D8042F">
      <w:pPr>
        <w:pStyle w:val="FootnoteText"/>
      </w:pPr>
      <w:r>
        <w:rPr>
          <w:rStyle w:val="FootnoteReference"/>
        </w:rPr>
        <w:footnoteRef/>
      </w:r>
      <w:r>
        <w:t xml:space="preserve"> </w:t>
      </w:r>
      <w:r w:rsidRPr="002A30AF">
        <w:t>Carlquist, E., and P.C. Hogg. 2012, pp15, Fulvio, F. 2008, pp54</w:t>
      </w:r>
    </w:p>
  </w:footnote>
  <w:footnote w:id="75">
    <w:p w:rsidR="00D8042F" w:rsidRDefault="00D8042F">
      <w:pPr>
        <w:pStyle w:val="FootnoteText"/>
      </w:pPr>
      <w:r>
        <w:rPr>
          <w:rStyle w:val="FootnoteReference"/>
        </w:rPr>
        <w:footnoteRef/>
      </w:r>
      <w:r>
        <w:t xml:space="preserve"> </w:t>
      </w:r>
      <w:r w:rsidRPr="002A30AF">
        <w:t>Carlquist, E., and P.C. Hogg. 2012, pp15, Fulvio, F. 2008, pp54</w:t>
      </w:r>
    </w:p>
  </w:footnote>
  <w:footnote w:id="76">
    <w:p w:rsidR="00D8042F" w:rsidRPr="00BC0FC7" w:rsidRDefault="00D8042F" w:rsidP="00D8042F">
      <w:pPr>
        <w:pStyle w:val="FootnoteText"/>
      </w:pPr>
      <w:r>
        <w:rPr>
          <w:rStyle w:val="FootnoteReference"/>
        </w:rPr>
        <w:footnoteRef/>
      </w:r>
      <w:r>
        <w:t xml:space="preserve"> </w:t>
      </w:r>
      <w:r w:rsidRPr="00BC0FC7">
        <w:t>Carlquist, E., and P.C. Hogg. 2012, pp15, Fulvio, F. 2008, pp54</w:t>
      </w:r>
    </w:p>
    <w:p w:rsidR="00D8042F" w:rsidRDefault="00D8042F">
      <w:pPr>
        <w:pStyle w:val="FootnoteText"/>
      </w:pPr>
    </w:p>
  </w:footnote>
  <w:footnote w:id="77">
    <w:p w:rsidR="00D8042F" w:rsidRDefault="00D8042F">
      <w:pPr>
        <w:pStyle w:val="FootnoteText"/>
      </w:pPr>
      <w:r>
        <w:rPr>
          <w:rStyle w:val="FootnoteReference"/>
        </w:rPr>
        <w:footnoteRef/>
      </w:r>
      <w:r>
        <w:t xml:space="preserve"> </w:t>
      </w:r>
      <w:r w:rsidRPr="002A30AF">
        <w:t>Carlquist, E., and P.C. Hogg. 2012, pp1</w:t>
      </w:r>
      <w:r>
        <w:t>6</w:t>
      </w:r>
      <w:r w:rsidRPr="002A30AF">
        <w:t>, Fulvio, F. 2008, pp5</w:t>
      </w:r>
      <w:r>
        <w:t>5</w:t>
      </w:r>
    </w:p>
  </w:footnote>
  <w:footnote w:id="78">
    <w:p w:rsidR="00D8042F" w:rsidRDefault="00D8042F">
      <w:pPr>
        <w:pStyle w:val="FootnoteText"/>
      </w:pPr>
      <w:r>
        <w:rPr>
          <w:rStyle w:val="FootnoteReference"/>
        </w:rPr>
        <w:footnoteRef/>
      </w:r>
      <w:r>
        <w:t xml:space="preserve"> </w:t>
      </w:r>
      <w:r w:rsidRPr="009A22CC">
        <w:t>Carlquist, E., and P.C. Hogg. 2012, pp16, Fulvio, F. 2008, pp5</w:t>
      </w:r>
      <w:r>
        <w:t>6</w:t>
      </w:r>
    </w:p>
  </w:footnote>
  <w:footnote w:id="79">
    <w:p w:rsidR="00D8042F" w:rsidRDefault="00D8042F">
      <w:pPr>
        <w:pStyle w:val="FootnoteText"/>
      </w:pPr>
      <w:r>
        <w:rPr>
          <w:rStyle w:val="FootnoteReference"/>
        </w:rPr>
        <w:footnoteRef/>
      </w:r>
      <w:r>
        <w:t xml:space="preserve"> </w:t>
      </w:r>
      <w:r w:rsidRPr="003E5920">
        <w:t>Carlquist, E., and P.C. Hogg. 2012, pp16, Fulvio, F. 2008, pp55</w:t>
      </w:r>
    </w:p>
  </w:footnote>
  <w:footnote w:id="80">
    <w:p w:rsidR="00D8042F" w:rsidRDefault="00D8042F">
      <w:pPr>
        <w:pStyle w:val="FootnoteText"/>
      </w:pPr>
      <w:r>
        <w:rPr>
          <w:rStyle w:val="FootnoteReference"/>
        </w:rPr>
        <w:footnoteRef/>
      </w:r>
      <w:r>
        <w:t xml:space="preserve"> </w:t>
      </w:r>
      <w:r w:rsidRPr="002A30AF">
        <w:t>Carlquist, E., and P.C. Hogg. 2012, pp1</w:t>
      </w:r>
      <w:r>
        <w:t>6</w:t>
      </w:r>
      <w:r w:rsidRPr="002A30AF">
        <w:t>, Fulvio, F. 2008, pp5</w:t>
      </w:r>
      <w:r>
        <w:t>5</w:t>
      </w:r>
    </w:p>
  </w:footnote>
  <w:footnote w:id="81">
    <w:p w:rsidR="00D8042F" w:rsidRDefault="00D8042F">
      <w:pPr>
        <w:pStyle w:val="FootnoteText"/>
      </w:pPr>
      <w:r>
        <w:rPr>
          <w:rStyle w:val="FootnoteReference"/>
        </w:rPr>
        <w:footnoteRef/>
      </w:r>
      <w:r>
        <w:t xml:space="preserve"> </w:t>
      </w:r>
      <w:r w:rsidRPr="002A30AF">
        <w:t>Carlquist, E., and P.C. Hogg. 2012, pp1</w:t>
      </w:r>
      <w:r>
        <w:t>6</w:t>
      </w:r>
      <w:r w:rsidRPr="002A30AF">
        <w:t>, Fulvio, F. 2008, pp5</w:t>
      </w:r>
      <w:r>
        <w:t>5</w:t>
      </w:r>
    </w:p>
  </w:footnote>
  <w:footnote w:id="82">
    <w:p w:rsidR="00D8042F" w:rsidRDefault="00D8042F">
      <w:pPr>
        <w:pStyle w:val="FootnoteText"/>
      </w:pPr>
      <w:r>
        <w:rPr>
          <w:rStyle w:val="FootnoteReference"/>
        </w:rPr>
        <w:footnoteRef/>
      </w:r>
      <w:r>
        <w:t xml:space="preserve"> </w:t>
      </w:r>
      <w:r w:rsidRPr="002A30AF">
        <w:t>Carlquist, E., and P.C. Hogg. 2012, pp1</w:t>
      </w:r>
      <w:r>
        <w:t>6</w:t>
      </w:r>
      <w:r w:rsidRPr="002A30AF">
        <w:t>, Fulvio, F. 2008, pp5</w:t>
      </w:r>
      <w:r>
        <w:t>5</w:t>
      </w:r>
    </w:p>
  </w:footnote>
  <w:footnote w:id="83">
    <w:p w:rsidR="00D8042F" w:rsidRDefault="00D8042F">
      <w:pPr>
        <w:pStyle w:val="FootnoteText"/>
      </w:pPr>
      <w:r>
        <w:rPr>
          <w:rStyle w:val="FootnoteReference"/>
        </w:rPr>
        <w:footnoteRef/>
      </w:r>
      <w:r>
        <w:t xml:space="preserve"> </w:t>
      </w:r>
      <w:r w:rsidRPr="0017270B">
        <w:t>Carlquist, E., and P.C. Hogg. 2012, pp16, Fulvio, F. 2008, pp5</w:t>
      </w:r>
      <w:r>
        <w:t>6</w:t>
      </w:r>
    </w:p>
  </w:footnote>
  <w:footnote w:id="84">
    <w:p w:rsidR="00D8042F" w:rsidRDefault="00D8042F">
      <w:pPr>
        <w:pStyle w:val="FootnoteText"/>
      </w:pPr>
      <w:r>
        <w:rPr>
          <w:rStyle w:val="FootnoteReference"/>
        </w:rPr>
        <w:footnoteRef/>
      </w:r>
      <w:r>
        <w:t xml:space="preserve"> </w:t>
      </w:r>
      <w:r w:rsidRPr="0017270B">
        <w:t>Carlquist, E., and P.C. Hogg. 2012, pp16, Fulvio, F. 2008, pp5</w:t>
      </w:r>
      <w:r>
        <w:t>6</w:t>
      </w:r>
    </w:p>
  </w:footnote>
  <w:footnote w:id="85">
    <w:p w:rsidR="00D8042F" w:rsidRDefault="00D8042F">
      <w:pPr>
        <w:pStyle w:val="FootnoteText"/>
      </w:pPr>
      <w:r>
        <w:rPr>
          <w:rStyle w:val="FootnoteReference"/>
        </w:rPr>
        <w:footnoteRef/>
      </w:r>
      <w:r>
        <w:t xml:space="preserve"> </w:t>
      </w:r>
      <w:r w:rsidRPr="0017270B">
        <w:t>Carlquist, E., and P.C. Hogg. 2012, pp16, Fulvio, F. 2008, pp5</w:t>
      </w:r>
      <w:r>
        <w:t>6</w:t>
      </w:r>
    </w:p>
  </w:footnote>
  <w:footnote w:id="86">
    <w:p w:rsidR="00D8042F" w:rsidRDefault="00D8042F">
      <w:pPr>
        <w:pStyle w:val="FootnoteText"/>
      </w:pPr>
      <w:r>
        <w:rPr>
          <w:rStyle w:val="FootnoteReference"/>
        </w:rPr>
        <w:footnoteRef/>
      </w:r>
      <w:r>
        <w:t xml:space="preserve"> </w:t>
      </w:r>
      <w:r w:rsidRPr="0017270B">
        <w:t>Carlquist, E., and P.C. Hogg. 2012, pp16, Fulvio, F. 2008, pp5</w:t>
      </w:r>
      <w:r>
        <w:t>6</w:t>
      </w:r>
    </w:p>
  </w:footnote>
  <w:footnote w:id="87">
    <w:p w:rsidR="00D8042F" w:rsidRPr="00874AEE" w:rsidRDefault="00D8042F">
      <w:pPr>
        <w:pStyle w:val="FootnoteText"/>
        <w:rPr>
          <w:lang w:val="sv-SE"/>
        </w:rPr>
      </w:pPr>
      <w:r>
        <w:rPr>
          <w:rStyle w:val="FootnoteReference"/>
        </w:rPr>
        <w:footnoteRef/>
      </w:r>
      <w:r w:rsidRPr="00874AEE">
        <w:rPr>
          <w:lang w:val="sv-SE"/>
        </w:rPr>
        <w:t xml:space="preserve"> Nordquist, M. 2017, pp436</w:t>
      </w:r>
    </w:p>
  </w:footnote>
  <w:footnote w:id="88">
    <w:p w:rsidR="00D8042F" w:rsidRPr="00CD6057" w:rsidRDefault="00D8042F">
      <w:pPr>
        <w:pStyle w:val="FootnoteText"/>
        <w:rPr>
          <w:lang w:val="sv-SE"/>
        </w:rPr>
      </w:pPr>
      <w:r>
        <w:rPr>
          <w:rStyle w:val="FootnoteReference"/>
        </w:rPr>
        <w:footnoteRef/>
      </w:r>
      <w:r w:rsidRPr="00CD6057">
        <w:rPr>
          <w:lang w:val="sv-SE"/>
        </w:rPr>
        <w:t xml:space="preserve"> Nordquist, M. 2017, pp436, Vilhelmsdotter, G. 1999.</w:t>
      </w:r>
      <w:r w:rsidRPr="00CD6057">
        <w:rPr>
          <w:i/>
          <w:iCs/>
          <w:lang w:val="sv-SE"/>
        </w:rPr>
        <w:t> Riddare, Bonde och Biskop</w:t>
      </w:r>
      <w:r w:rsidRPr="00CD6057">
        <w:rPr>
          <w:lang w:val="sv-SE"/>
        </w:rPr>
        <w:t> (Stockholm: Almqvist &amp; Wiksell International), pp43</w:t>
      </w:r>
    </w:p>
  </w:footnote>
  <w:footnote w:id="89">
    <w:p w:rsidR="00D8042F" w:rsidRPr="00117211" w:rsidRDefault="00D8042F">
      <w:pPr>
        <w:pStyle w:val="FootnoteText"/>
        <w:rPr>
          <w:lang w:val="sv-SE"/>
        </w:rPr>
      </w:pPr>
      <w:r>
        <w:rPr>
          <w:rStyle w:val="FootnoteReference"/>
        </w:rPr>
        <w:footnoteRef/>
      </w:r>
      <w:r w:rsidRPr="000073A5">
        <w:rPr>
          <w:lang w:val="sv-SE"/>
        </w:rPr>
        <w:t>Nordquist, M. 2017, pp436, Vilhelmsdotter, G. 1999</w:t>
      </w:r>
      <w:r>
        <w:rPr>
          <w:lang w:val="sv-SE"/>
        </w:rPr>
        <w:t>, pp32</w:t>
      </w:r>
    </w:p>
  </w:footnote>
  <w:footnote w:id="90">
    <w:p w:rsidR="00D8042F" w:rsidRPr="00117211" w:rsidRDefault="00D8042F">
      <w:pPr>
        <w:pStyle w:val="FootnoteText"/>
        <w:rPr>
          <w:lang w:val="sv-SE"/>
        </w:rPr>
      </w:pPr>
      <w:r>
        <w:rPr>
          <w:rStyle w:val="FootnoteReference"/>
        </w:rPr>
        <w:footnoteRef/>
      </w:r>
      <w:r w:rsidRPr="00117211">
        <w:rPr>
          <w:lang w:val="sv-SE"/>
        </w:rPr>
        <w:t xml:space="preserve"> </w:t>
      </w:r>
      <w:r w:rsidRPr="006234B7">
        <w:rPr>
          <w:lang w:val="sv-SE"/>
        </w:rPr>
        <w:t>Nordquist, M. 2017, pp436, Vilhelmsdotter, G. 1999, pp32</w:t>
      </w:r>
    </w:p>
  </w:footnote>
  <w:footnote w:id="91">
    <w:p w:rsidR="00D8042F" w:rsidRPr="00BB4F1D" w:rsidRDefault="00D8042F">
      <w:pPr>
        <w:pStyle w:val="FootnoteText"/>
        <w:rPr>
          <w:lang w:val="sv-SE"/>
        </w:rPr>
      </w:pPr>
      <w:r>
        <w:rPr>
          <w:rStyle w:val="FootnoteReference"/>
        </w:rPr>
        <w:footnoteRef/>
      </w:r>
      <w:r w:rsidRPr="00BB4F1D">
        <w:rPr>
          <w:lang w:val="sv-SE"/>
        </w:rPr>
        <w:t xml:space="preserve"> </w:t>
      </w:r>
      <w:r w:rsidRPr="00532283">
        <w:rPr>
          <w:lang w:val="sv-SE"/>
        </w:rPr>
        <w:t>Nordquist, M. 2017, pp436, Vilhelmsdotter, G. 1999, pp32</w:t>
      </w:r>
    </w:p>
  </w:footnote>
  <w:footnote w:id="92">
    <w:p w:rsidR="00D8042F" w:rsidRPr="00117211" w:rsidRDefault="00D8042F">
      <w:pPr>
        <w:pStyle w:val="FootnoteText"/>
        <w:rPr>
          <w:lang w:val="de-DE"/>
        </w:rPr>
      </w:pPr>
      <w:r>
        <w:rPr>
          <w:rStyle w:val="FootnoteReference"/>
        </w:rPr>
        <w:footnoteRef/>
      </w:r>
      <w:r w:rsidRPr="00117211">
        <w:rPr>
          <w:lang w:val="de-DE"/>
        </w:rPr>
        <w:t xml:space="preserve"> </w:t>
      </w:r>
      <w:r w:rsidRPr="00BB4F1D">
        <w:rPr>
          <w:lang w:val="de-DE"/>
        </w:rPr>
        <w:t>Nordquist, M. 2017, pp437</w:t>
      </w:r>
    </w:p>
  </w:footnote>
  <w:footnote w:id="93">
    <w:p w:rsidR="00D8042F" w:rsidRPr="00117211" w:rsidRDefault="00D8042F">
      <w:pPr>
        <w:pStyle w:val="FootnoteText"/>
        <w:rPr>
          <w:lang w:val="de-DE"/>
        </w:rPr>
      </w:pPr>
      <w:r>
        <w:rPr>
          <w:rStyle w:val="FootnoteReference"/>
        </w:rPr>
        <w:footnoteRef/>
      </w:r>
      <w:r w:rsidRPr="00117211">
        <w:rPr>
          <w:lang w:val="de-DE"/>
        </w:rPr>
        <w:t xml:space="preserve"> </w:t>
      </w:r>
      <w:r w:rsidRPr="00BB4F1D">
        <w:rPr>
          <w:lang w:val="de-DE"/>
        </w:rPr>
        <w:t>Nordquist, M. 2017, pp437</w:t>
      </w:r>
    </w:p>
  </w:footnote>
  <w:footnote w:id="94">
    <w:p w:rsidR="00D8042F" w:rsidRPr="00117211" w:rsidRDefault="00D8042F">
      <w:pPr>
        <w:pStyle w:val="FootnoteText"/>
        <w:rPr>
          <w:lang w:val="de-DE"/>
        </w:rPr>
      </w:pPr>
      <w:r>
        <w:rPr>
          <w:rStyle w:val="FootnoteReference"/>
        </w:rPr>
        <w:footnoteRef/>
      </w:r>
      <w:r w:rsidRPr="00117211">
        <w:rPr>
          <w:lang w:val="de-DE"/>
        </w:rPr>
        <w:t>Norde, M. 1997, pp391, Zeevaert, L. 1995.</w:t>
      </w:r>
      <w:r w:rsidRPr="00117211">
        <w:rPr>
          <w:i/>
          <w:iCs/>
          <w:lang w:val="de-DE"/>
        </w:rPr>
        <w:t> </w:t>
      </w:r>
      <w:r w:rsidRPr="0002676A">
        <w:rPr>
          <w:i/>
          <w:iCs/>
          <w:lang w:val="de-DE"/>
        </w:rPr>
        <w:t>''Wie intensiv war der Mittelniederdeutsch-Skandinavische Sprachkontakt wirklich?''</w:t>
      </w:r>
      <w:r w:rsidRPr="0002676A">
        <w:rPr>
          <w:lang w:val="de-DE"/>
        </w:rPr>
        <w:t>, in Braunmuller, K. (ed.)</w:t>
      </w:r>
      <w:r w:rsidRPr="0002676A">
        <w:rPr>
          <w:i/>
          <w:iCs/>
          <w:lang w:val="de-DE"/>
        </w:rPr>
        <w:t> Nieder-Deutsch und die Skandinavischen Sprachen II</w:t>
      </w:r>
      <w:r w:rsidRPr="00117211">
        <w:rPr>
          <w:lang w:val="de-DE"/>
        </w:rPr>
        <w:t> (Heidelberg: Carl Winter), pp. 151</w:t>
      </w:r>
    </w:p>
  </w:footnote>
  <w:footnote w:id="95">
    <w:p w:rsidR="00D8042F" w:rsidRPr="00BB4F1D" w:rsidRDefault="00D8042F">
      <w:pPr>
        <w:pStyle w:val="FootnoteText"/>
        <w:rPr>
          <w:lang w:val="sv-SE"/>
        </w:rPr>
      </w:pPr>
      <w:r>
        <w:rPr>
          <w:rStyle w:val="FootnoteReference"/>
        </w:rPr>
        <w:footnoteRef/>
      </w:r>
      <w:r w:rsidRPr="00BB4F1D">
        <w:rPr>
          <w:lang w:val="sv-SE"/>
        </w:rPr>
        <w:t xml:space="preserve"> Norde, M. 1997, pp391</w:t>
      </w:r>
    </w:p>
  </w:footnote>
  <w:footnote w:id="96">
    <w:p w:rsidR="00D8042F" w:rsidRPr="00BB4F1D" w:rsidRDefault="00D8042F">
      <w:pPr>
        <w:pStyle w:val="FootnoteText"/>
        <w:rPr>
          <w:lang w:val="sv-SE"/>
        </w:rPr>
      </w:pPr>
      <w:r>
        <w:rPr>
          <w:rStyle w:val="FootnoteReference"/>
        </w:rPr>
        <w:footnoteRef/>
      </w:r>
      <w:r w:rsidRPr="00BB4F1D">
        <w:rPr>
          <w:lang w:val="sv-SE"/>
        </w:rPr>
        <w:t xml:space="preserve"> Norde, M., 1997,pp391</w:t>
      </w:r>
    </w:p>
  </w:footnote>
  <w:footnote w:id="97">
    <w:p w:rsidR="00D8042F" w:rsidRPr="00BB4F1D" w:rsidRDefault="00D8042F">
      <w:pPr>
        <w:pStyle w:val="FootnoteText"/>
        <w:rPr>
          <w:lang w:val="sv-SE"/>
        </w:rPr>
      </w:pPr>
      <w:r>
        <w:rPr>
          <w:rStyle w:val="FootnoteReference"/>
        </w:rPr>
        <w:footnoteRef/>
      </w:r>
      <w:r w:rsidRPr="00BB4F1D">
        <w:rPr>
          <w:lang w:val="sv-SE"/>
        </w:rPr>
        <w:t xml:space="preserve"> Norde, M., 1997, pp391, Nordquist M., 2017, pp437</w:t>
      </w:r>
    </w:p>
  </w:footnote>
  <w:footnote w:id="98">
    <w:p w:rsidR="00D8042F" w:rsidRPr="00BB4F1D" w:rsidRDefault="00D8042F">
      <w:pPr>
        <w:pStyle w:val="FootnoteText"/>
        <w:rPr>
          <w:lang w:val="sv-SE"/>
        </w:rPr>
      </w:pPr>
      <w:r>
        <w:rPr>
          <w:rStyle w:val="FootnoteReference"/>
        </w:rPr>
        <w:footnoteRef/>
      </w:r>
      <w:r w:rsidRPr="00BB4F1D">
        <w:rPr>
          <w:lang w:val="sv-SE"/>
        </w:rPr>
        <w:t xml:space="preserve"> Norde, M., 1997, pp391, Nordquist M., 2017, pp437</w:t>
      </w:r>
    </w:p>
  </w:footnote>
  <w:footnote w:id="99">
    <w:p w:rsidR="00D8042F" w:rsidRPr="00BB4F1D" w:rsidRDefault="00D8042F">
      <w:pPr>
        <w:pStyle w:val="FootnoteText"/>
        <w:rPr>
          <w:lang w:val="sv-SE"/>
        </w:rPr>
      </w:pPr>
      <w:r>
        <w:rPr>
          <w:rStyle w:val="FootnoteReference"/>
        </w:rPr>
        <w:footnoteRef/>
      </w:r>
      <w:r w:rsidRPr="00BB4F1D">
        <w:rPr>
          <w:lang w:val="sv-SE"/>
        </w:rPr>
        <w:t xml:space="preserve"> Norde, M., 1997, pp391, Nordquist M., 2017, pp437</w:t>
      </w:r>
    </w:p>
  </w:footnote>
  <w:footnote w:id="100">
    <w:p w:rsidR="00D8042F" w:rsidRPr="00BB4F1D" w:rsidRDefault="00D8042F">
      <w:pPr>
        <w:pStyle w:val="FootnoteText"/>
        <w:rPr>
          <w:lang w:val="sv-SE"/>
        </w:rPr>
      </w:pPr>
      <w:r>
        <w:rPr>
          <w:rStyle w:val="FootnoteReference"/>
        </w:rPr>
        <w:footnoteRef/>
      </w:r>
      <w:r w:rsidRPr="00BB4F1D">
        <w:rPr>
          <w:lang w:val="sv-SE"/>
        </w:rPr>
        <w:t xml:space="preserve"> Norde, M., 1997, pp391, Nordquist M., 2017, pp438</w:t>
      </w:r>
    </w:p>
  </w:footnote>
  <w:footnote w:id="101">
    <w:p w:rsidR="00D8042F" w:rsidRPr="00BB4F1D" w:rsidRDefault="00D8042F">
      <w:pPr>
        <w:pStyle w:val="FootnoteText"/>
        <w:rPr>
          <w:lang w:val="sv-SE"/>
        </w:rPr>
      </w:pPr>
      <w:r>
        <w:rPr>
          <w:rStyle w:val="FootnoteReference"/>
        </w:rPr>
        <w:footnoteRef/>
      </w:r>
      <w:r w:rsidRPr="00BB4F1D">
        <w:rPr>
          <w:lang w:val="sv-SE"/>
        </w:rPr>
        <w:t xml:space="preserve"> Småberg, T., 2013, pp176</w:t>
      </w:r>
    </w:p>
  </w:footnote>
  <w:footnote w:id="102">
    <w:p w:rsidR="00D8042F" w:rsidRPr="00BB4F1D" w:rsidRDefault="00D8042F">
      <w:pPr>
        <w:pStyle w:val="FootnoteText"/>
        <w:rPr>
          <w:lang w:val="sv-SE"/>
        </w:rPr>
      </w:pPr>
      <w:r>
        <w:rPr>
          <w:rStyle w:val="FootnoteReference"/>
        </w:rPr>
        <w:footnoteRef/>
      </w:r>
      <w:r w:rsidRPr="00BB4F1D">
        <w:rPr>
          <w:lang w:val="sv-SE"/>
        </w:rPr>
        <w:t xml:space="preserve"> Småberg, T., 2013, pp176, Damen, M., H. Skoda, P. Lantschner, and R.L.J. Shaw. 2012, pp247</w:t>
      </w:r>
    </w:p>
  </w:footnote>
  <w:footnote w:id="103">
    <w:p w:rsidR="00D8042F" w:rsidRPr="00BB4F1D" w:rsidRDefault="00D8042F">
      <w:pPr>
        <w:pStyle w:val="FootnoteText"/>
        <w:rPr>
          <w:lang w:val="sv-SE"/>
        </w:rPr>
      </w:pPr>
      <w:r>
        <w:rPr>
          <w:rStyle w:val="FootnoteReference"/>
        </w:rPr>
        <w:footnoteRef/>
      </w:r>
      <w:r w:rsidRPr="00BB4F1D">
        <w:rPr>
          <w:lang w:val="sv-SE"/>
        </w:rPr>
        <w:t xml:space="preserve"> Småberg, T., pp177, Damen, M., H. Skoda, P. Lantschner, and R.L.J. Shaw. 2012, pp248</w:t>
      </w:r>
    </w:p>
  </w:footnote>
  <w:footnote w:id="104">
    <w:p w:rsidR="00D8042F" w:rsidRPr="00BB4F1D" w:rsidRDefault="00D8042F">
      <w:pPr>
        <w:pStyle w:val="FootnoteText"/>
        <w:rPr>
          <w:lang w:val="sv-SE"/>
        </w:rPr>
      </w:pPr>
      <w:r>
        <w:rPr>
          <w:rStyle w:val="FootnoteReference"/>
        </w:rPr>
        <w:footnoteRef/>
      </w:r>
      <w:r w:rsidRPr="00BB4F1D">
        <w:rPr>
          <w:lang w:val="sv-SE"/>
        </w:rPr>
        <w:t xml:space="preserve"> Småberg, T., pp177</w:t>
      </w:r>
    </w:p>
  </w:footnote>
  <w:footnote w:id="105">
    <w:p w:rsidR="00D8042F" w:rsidRPr="00BB4F1D" w:rsidRDefault="00D8042F">
      <w:pPr>
        <w:pStyle w:val="FootnoteText"/>
        <w:rPr>
          <w:lang w:val="sv-SE"/>
        </w:rPr>
      </w:pPr>
      <w:r>
        <w:rPr>
          <w:rStyle w:val="FootnoteReference"/>
        </w:rPr>
        <w:footnoteRef/>
      </w:r>
      <w:r w:rsidRPr="00BB4F1D">
        <w:rPr>
          <w:lang w:val="sv-SE"/>
        </w:rPr>
        <w:t xml:space="preserve"> Småberg, T., pp177</w:t>
      </w:r>
    </w:p>
  </w:footnote>
  <w:footnote w:id="106">
    <w:p w:rsidR="00D8042F" w:rsidRPr="00BB4F1D" w:rsidRDefault="00D8042F">
      <w:pPr>
        <w:pStyle w:val="FootnoteText"/>
        <w:rPr>
          <w:lang w:val="sv-SE"/>
        </w:rPr>
      </w:pPr>
      <w:r>
        <w:rPr>
          <w:rStyle w:val="FootnoteReference"/>
        </w:rPr>
        <w:footnoteRef/>
      </w:r>
      <w:r w:rsidRPr="00BB4F1D">
        <w:rPr>
          <w:lang w:val="sv-SE"/>
        </w:rPr>
        <w:t xml:space="preserve"> Damen, M., H. Skoda, P. Lantschner, and R.L.J. Shaw. 2012, pp250</w:t>
      </w:r>
    </w:p>
  </w:footnote>
  <w:footnote w:id="107">
    <w:p w:rsidR="00D8042F" w:rsidRPr="00BB4F1D" w:rsidRDefault="00D8042F">
      <w:pPr>
        <w:pStyle w:val="FootnoteText"/>
        <w:rPr>
          <w:lang w:val="sv-SE"/>
        </w:rPr>
      </w:pPr>
      <w:r>
        <w:rPr>
          <w:rStyle w:val="FootnoteReference"/>
        </w:rPr>
        <w:footnoteRef/>
      </w:r>
      <w:r w:rsidRPr="00BB4F1D">
        <w:rPr>
          <w:lang w:val="sv-SE"/>
        </w:rPr>
        <w:t xml:space="preserve"> Damen, M., H. Skoda, P. Lantschner, and R.L.J. Shaw. 2012, pp250</w:t>
      </w:r>
    </w:p>
  </w:footnote>
  <w:footnote w:id="108">
    <w:p w:rsidR="00D8042F" w:rsidRPr="00BB4F1D" w:rsidRDefault="00D8042F">
      <w:pPr>
        <w:pStyle w:val="FootnoteText"/>
        <w:rPr>
          <w:lang w:val="de-DE"/>
        </w:rPr>
      </w:pPr>
      <w:r>
        <w:rPr>
          <w:rStyle w:val="FootnoteReference"/>
        </w:rPr>
        <w:footnoteRef/>
      </w:r>
      <w:r w:rsidRPr="00BB4F1D">
        <w:rPr>
          <w:lang w:val="de-DE"/>
        </w:rPr>
        <w:t xml:space="preserve"> </w:t>
      </w:r>
      <w:r w:rsidRPr="000E2E34">
        <w:rPr>
          <w:lang w:val="de-DE"/>
        </w:rPr>
        <w:t>Damen, M., H. Skoda, P. Lantschner, and R.L.J. Shaw. 2012, pp</w:t>
      </w:r>
      <w:r>
        <w:rPr>
          <w:lang w:val="de-DE"/>
        </w:rPr>
        <w:t>251</w:t>
      </w:r>
    </w:p>
  </w:footnote>
  <w:footnote w:id="109">
    <w:p w:rsidR="00D8042F" w:rsidRPr="00BB4F1D" w:rsidRDefault="00D8042F">
      <w:pPr>
        <w:pStyle w:val="FootnoteText"/>
        <w:rPr>
          <w:lang w:val="de-DE"/>
        </w:rPr>
      </w:pPr>
      <w:r>
        <w:rPr>
          <w:rStyle w:val="FootnoteReference"/>
        </w:rPr>
        <w:footnoteRef/>
      </w:r>
      <w:r w:rsidRPr="00BB4F1D">
        <w:rPr>
          <w:lang w:val="de-DE"/>
        </w:rPr>
        <w:t xml:space="preserve"> </w:t>
      </w:r>
      <w:r w:rsidRPr="00F60EFA">
        <w:rPr>
          <w:lang w:val="de-DE"/>
        </w:rPr>
        <w:t>Damen, M., H. Skoda, P. Lantschner, and R.L.J. Shaw. 2012, pp251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51702"/>
      <w:docPartObj>
        <w:docPartGallery w:val="Page Numbers (Top of Page)"/>
        <w:docPartUnique/>
      </w:docPartObj>
    </w:sdtPr>
    <w:sdtEndPr>
      <w:rPr>
        <w:noProof/>
      </w:rPr>
    </w:sdtEndPr>
    <w:sdtContent>
      <w:p w:rsidR="00D8042F" w:rsidRDefault="00D8042F">
        <w:pPr>
          <w:pStyle w:val="Header"/>
          <w:jc w:val="right"/>
        </w:pPr>
        <w:r>
          <w:fldChar w:fldCharType="begin"/>
        </w:r>
        <w:r>
          <w:instrText xml:space="preserve"> PAGE   \* MERGEFORMAT </w:instrText>
        </w:r>
        <w:r>
          <w:fldChar w:fldCharType="separate"/>
        </w:r>
        <w:r w:rsidR="00E4431F">
          <w:rPr>
            <w:noProof/>
          </w:rPr>
          <w:t>6</w:t>
        </w:r>
        <w:r>
          <w:rPr>
            <w:noProof/>
          </w:rPr>
          <w:fldChar w:fldCharType="end"/>
        </w:r>
      </w:p>
    </w:sdtContent>
  </w:sdt>
  <w:p w:rsidR="00D8042F" w:rsidRDefault="00D804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87761D"/>
    <w:multiLevelType w:val="hybridMultilevel"/>
    <w:tmpl w:val="0CF2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09C"/>
    <w:rsid w:val="0000282A"/>
    <w:rsid w:val="00030906"/>
    <w:rsid w:val="00056B93"/>
    <w:rsid w:val="00072DD1"/>
    <w:rsid w:val="00087234"/>
    <w:rsid w:val="000E709C"/>
    <w:rsid w:val="000E7A14"/>
    <w:rsid w:val="00117C10"/>
    <w:rsid w:val="00161638"/>
    <w:rsid w:val="001716B6"/>
    <w:rsid w:val="00172FD5"/>
    <w:rsid w:val="0017309B"/>
    <w:rsid w:val="0017341E"/>
    <w:rsid w:val="00177178"/>
    <w:rsid w:val="00182E3B"/>
    <w:rsid w:val="001868A6"/>
    <w:rsid w:val="001B2924"/>
    <w:rsid w:val="001E7422"/>
    <w:rsid w:val="001F18EA"/>
    <w:rsid w:val="00200F89"/>
    <w:rsid w:val="00216FCC"/>
    <w:rsid w:val="002255D3"/>
    <w:rsid w:val="002559E3"/>
    <w:rsid w:val="00260C3D"/>
    <w:rsid w:val="002750A1"/>
    <w:rsid w:val="00287769"/>
    <w:rsid w:val="002A0A5D"/>
    <w:rsid w:val="002A31FB"/>
    <w:rsid w:val="002C4333"/>
    <w:rsid w:val="002C55CF"/>
    <w:rsid w:val="002D66F6"/>
    <w:rsid w:val="002F6B2D"/>
    <w:rsid w:val="0031400D"/>
    <w:rsid w:val="003162C7"/>
    <w:rsid w:val="00317CFC"/>
    <w:rsid w:val="00325FE5"/>
    <w:rsid w:val="003415F8"/>
    <w:rsid w:val="00343E10"/>
    <w:rsid w:val="00345B6A"/>
    <w:rsid w:val="00365026"/>
    <w:rsid w:val="0037775F"/>
    <w:rsid w:val="00380BC3"/>
    <w:rsid w:val="00391CDE"/>
    <w:rsid w:val="003955CD"/>
    <w:rsid w:val="003B3DFD"/>
    <w:rsid w:val="003B44DC"/>
    <w:rsid w:val="003B5759"/>
    <w:rsid w:val="003D67C7"/>
    <w:rsid w:val="003D6ED9"/>
    <w:rsid w:val="0042542A"/>
    <w:rsid w:val="00475792"/>
    <w:rsid w:val="00490644"/>
    <w:rsid w:val="00493303"/>
    <w:rsid w:val="00494048"/>
    <w:rsid w:val="00494AD6"/>
    <w:rsid w:val="00497687"/>
    <w:rsid w:val="004B1FAA"/>
    <w:rsid w:val="004B2FA4"/>
    <w:rsid w:val="004C0A54"/>
    <w:rsid w:val="005038E6"/>
    <w:rsid w:val="00535EA3"/>
    <w:rsid w:val="00537308"/>
    <w:rsid w:val="00546D6A"/>
    <w:rsid w:val="00551442"/>
    <w:rsid w:val="0055352A"/>
    <w:rsid w:val="005537BC"/>
    <w:rsid w:val="0055634F"/>
    <w:rsid w:val="00557BA1"/>
    <w:rsid w:val="0057750B"/>
    <w:rsid w:val="005B4F1B"/>
    <w:rsid w:val="005C055B"/>
    <w:rsid w:val="005E64D5"/>
    <w:rsid w:val="005F169A"/>
    <w:rsid w:val="005F68E0"/>
    <w:rsid w:val="006011EE"/>
    <w:rsid w:val="0061158C"/>
    <w:rsid w:val="00611C61"/>
    <w:rsid w:val="00617AD4"/>
    <w:rsid w:val="00634805"/>
    <w:rsid w:val="00651C14"/>
    <w:rsid w:val="00651E1A"/>
    <w:rsid w:val="0065250C"/>
    <w:rsid w:val="00662280"/>
    <w:rsid w:val="00665652"/>
    <w:rsid w:val="006955C4"/>
    <w:rsid w:val="006A4A58"/>
    <w:rsid w:val="006A64F7"/>
    <w:rsid w:val="006A656B"/>
    <w:rsid w:val="006B45C2"/>
    <w:rsid w:val="006E7078"/>
    <w:rsid w:val="006F0D71"/>
    <w:rsid w:val="006F5AE5"/>
    <w:rsid w:val="00707386"/>
    <w:rsid w:val="007246B0"/>
    <w:rsid w:val="00726EA5"/>
    <w:rsid w:val="00736459"/>
    <w:rsid w:val="00761CC0"/>
    <w:rsid w:val="00765FF5"/>
    <w:rsid w:val="007D3B9E"/>
    <w:rsid w:val="007D6F0D"/>
    <w:rsid w:val="0080003B"/>
    <w:rsid w:val="00815939"/>
    <w:rsid w:val="0083129F"/>
    <w:rsid w:val="0083399A"/>
    <w:rsid w:val="00834EB0"/>
    <w:rsid w:val="0084532B"/>
    <w:rsid w:val="00854156"/>
    <w:rsid w:val="00863F62"/>
    <w:rsid w:val="00867EF2"/>
    <w:rsid w:val="00886E88"/>
    <w:rsid w:val="00894A09"/>
    <w:rsid w:val="008A5787"/>
    <w:rsid w:val="008C022A"/>
    <w:rsid w:val="008D44A6"/>
    <w:rsid w:val="008E1888"/>
    <w:rsid w:val="008E533F"/>
    <w:rsid w:val="008E6D8A"/>
    <w:rsid w:val="008F166C"/>
    <w:rsid w:val="0090221C"/>
    <w:rsid w:val="009109FA"/>
    <w:rsid w:val="00916156"/>
    <w:rsid w:val="009322E9"/>
    <w:rsid w:val="0099216C"/>
    <w:rsid w:val="009D121A"/>
    <w:rsid w:val="009F7923"/>
    <w:rsid w:val="00A10BB9"/>
    <w:rsid w:val="00A170E9"/>
    <w:rsid w:val="00A25E13"/>
    <w:rsid w:val="00A445BC"/>
    <w:rsid w:val="00A5608C"/>
    <w:rsid w:val="00A9023E"/>
    <w:rsid w:val="00AA04E2"/>
    <w:rsid w:val="00AB1B68"/>
    <w:rsid w:val="00AB41AC"/>
    <w:rsid w:val="00AD025D"/>
    <w:rsid w:val="00AF412C"/>
    <w:rsid w:val="00AF44D4"/>
    <w:rsid w:val="00AF6116"/>
    <w:rsid w:val="00B15730"/>
    <w:rsid w:val="00B210E7"/>
    <w:rsid w:val="00B263AC"/>
    <w:rsid w:val="00B7121A"/>
    <w:rsid w:val="00B71475"/>
    <w:rsid w:val="00B90E6A"/>
    <w:rsid w:val="00BA5510"/>
    <w:rsid w:val="00BB4F1D"/>
    <w:rsid w:val="00BC5D8A"/>
    <w:rsid w:val="00BD0B04"/>
    <w:rsid w:val="00BD63F8"/>
    <w:rsid w:val="00C05E85"/>
    <w:rsid w:val="00C34AFE"/>
    <w:rsid w:val="00C42E65"/>
    <w:rsid w:val="00C60773"/>
    <w:rsid w:val="00C76CAE"/>
    <w:rsid w:val="00CD071D"/>
    <w:rsid w:val="00CD76BC"/>
    <w:rsid w:val="00CE20FD"/>
    <w:rsid w:val="00D245BA"/>
    <w:rsid w:val="00D2510A"/>
    <w:rsid w:val="00D256E5"/>
    <w:rsid w:val="00D458FE"/>
    <w:rsid w:val="00D62482"/>
    <w:rsid w:val="00D7532D"/>
    <w:rsid w:val="00D8042F"/>
    <w:rsid w:val="00D87CE9"/>
    <w:rsid w:val="00DC75B5"/>
    <w:rsid w:val="00E03659"/>
    <w:rsid w:val="00E4431F"/>
    <w:rsid w:val="00E464F6"/>
    <w:rsid w:val="00E5072E"/>
    <w:rsid w:val="00E6082A"/>
    <w:rsid w:val="00E64162"/>
    <w:rsid w:val="00E84214"/>
    <w:rsid w:val="00EB0A9F"/>
    <w:rsid w:val="00EB5256"/>
    <w:rsid w:val="00EC6541"/>
    <w:rsid w:val="00EE42BB"/>
    <w:rsid w:val="00F00BA6"/>
    <w:rsid w:val="00F10AB3"/>
    <w:rsid w:val="00F1196E"/>
    <w:rsid w:val="00F178DB"/>
    <w:rsid w:val="00F35FB0"/>
    <w:rsid w:val="00F84FF7"/>
    <w:rsid w:val="00FA696B"/>
    <w:rsid w:val="00FD3B08"/>
    <w:rsid w:val="00FE3EEE"/>
    <w:rsid w:val="00FE7CAB"/>
    <w:rsid w:val="00FF0C07"/>
    <w:rsid w:val="00FF1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709C"/>
    <w:pPr>
      <w:keepNext/>
      <w:spacing w:before="240" w:after="60" w:line="240" w:lineRule="auto"/>
      <w:outlineLvl w:val="0"/>
    </w:pPr>
    <w:rPr>
      <w:rFonts w:ascii="Arial" w:eastAsia="SimSun" w:hAnsi="Arial" w:cs="Arial"/>
      <w:b/>
      <w:bCs/>
      <w:kern w:val="32"/>
      <w:sz w:val="32"/>
      <w:szCs w:val="32"/>
      <w:lang w:eastAsia="zh-CN"/>
    </w:rPr>
  </w:style>
  <w:style w:type="paragraph" w:styleId="Heading2">
    <w:name w:val="heading 2"/>
    <w:basedOn w:val="Normal"/>
    <w:next w:val="Normal"/>
    <w:link w:val="Heading2Char"/>
    <w:uiPriority w:val="9"/>
    <w:unhideWhenUsed/>
    <w:qFormat/>
    <w:rsid w:val="00BB4F1D"/>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0E709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09C"/>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0E709C"/>
    <w:rPr>
      <w:rFonts w:ascii="Tahoma" w:eastAsia="SimSun" w:hAnsi="Tahoma" w:cs="Tahoma"/>
      <w:b/>
      <w:bCs/>
      <w:sz w:val="20"/>
      <w:szCs w:val="20"/>
      <w:lang w:eastAsia="zh-CN"/>
    </w:rPr>
  </w:style>
  <w:style w:type="character" w:styleId="BookTitle">
    <w:name w:val="Book Title"/>
    <w:basedOn w:val="DefaultParagraphFont"/>
    <w:uiPriority w:val="33"/>
    <w:qFormat/>
    <w:rsid w:val="000E709C"/>
    <w:rPr>
      <w:b/>
      <w:bCs/>
      <w:smallCaps/>
      <w:spacing w:val="5"/>
    </w:rPr>
  </w:style>
  <w:style w:type="character" w:styleId="Emphasis">
    <w:name w:val="Emphasis"/>
    <w:basedOn w:val="DefaultParagraphFont"/>
    <w:uiPriority w:val="20"/>
    <w:qFormat/>
    <w:rsid w:val="000E709C"/>
    <w:rPr>
      <w:i/>
      <w:iCs/>
    </w:rPr>
  </w:style>
  <w:style w:type="paragraph" w:styleId="NormalWeb">
    <w:name w:val="Normal (Web)"/>
    <w:basedOn w:val="Normal"/>
    <w:rsid w:val="000E709C"/>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0E7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09C"/>
    <w:rPr>
      <w:rFonts w:ascii="Tahoma" w:hAnsi="Tahoma" w:cs="Tahoma"/>
      <w:sz w:val="16"/>
      <w:szCs w:val="16"/>
    </w:rPr>
  </w:style>
  <w:style w:type="paragraph" w:styleId="ListParagraph">
    <w:name w:val="List Paragraph"/>
    <w:basedOn w:val="Normal"/>
    <w:uiPriority w:val="34"/>
    <w:qFormat/>
    <w:rsid w:val="000E709C"/>
    <w:pPr>
      <w:ind w:left="720"/>
      <w:contextualSpacing/>
    </w:pPr>
  </w:style>
  <w:style w:type="paragraph" w:styleId="Header">
    <w:name w:val="header"/>
    <w:basedOn w:val="Normal"/>
    <w:link w:val="HeaderChar"/>
    <w:uiPriority w:val="99"/>
    <w:unhideWhenUsed/>
    <w:rsid w:val="00BB4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F1D"/>
  </w:style>
  <w:style w:type="paragraph" w:styleId="Footer">
    <w:name w:val="footer"/>
    <w:basedOn w:val="Normal"/>
    <w:link w:val="FooterChar"/>
    <w:uiPriority w:val="99"/>
    <w:unhideWhenUsed/>
    <w:rsid w:val="00BB4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F1D"/>
  </w:style>
  <w:style w:type="paragraph" w:styleId="FootnoteText">
    <w:name w:val="footnote text"/>
    <w:basedOn w:val="Normal"/>
    <w:link w:val="FootnoteTextChar"/>
    <w:uiPriority w:val="99"/>
    <w:semiHidden/>
    <w:unhideWhenUsed/>
    <w:rsid w:val="00BB4F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4F1D"/>
    <w:rPr>
      <w:sz w:val="20"/>
      <w:szCs w:val="20"/>
    </w:rPr>
  </w:style>
  <w:style w:type="character" w:styleId="FootnoteReference">
    <w:name w:val="footnote reference"/>
    <w:basedOn w:val="DefaultParagraphFont"/>
    <w:uiPriority w:val="99"/>
    <w:semiHidden/>
    <w:unhideWhenUsed/>
    <w:rsid w:val="00BB4F1D"/>
    <w:rPr>
      <w:vertAlign w:val="superscript"/>
    </w:rPr>
  </w:style>
  <w:style w:type="character" w:customStyle="1" w:styleId="Heading2Char">
    <w:name w:val="Heading 2 Char"/>
    <w:basedOn w:val="DefaultParagraphFont"/>
    <w:link w:val="Heading2"/>
    <w:uiPriority w:val="9"/>
    <w:rsid w:val="00BB4F1D"/>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semiHidden/>
    <w:unhideWhenUsed/>
    <w:qFormat/>
    <w:rsid w:val="00D8042F"/>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D8042F"/>
    <w:pPr>
      <w:spacing w:after="100"/>
    </w:pPr>
  </w:style>
  <w:style w:type="paragraph" w:styleId="TOC3">
    <w:name w:val="toc 3"/>
    <w:basedOn w:val="Normal"/>
    <w:next w:val="Normal"/>
    <w:autoRedefine/>
    <w:uiPriority w:val="39"/>
    <w:unhideWhenUsed/>
    <w:rsid w:val="00D8042F"/>
    <w:pPr>
      <w:spacing w:after="100"/>
      <w:ind w:left="440"/>
    </w:pPr>
  </w:style>
  <w:style w:type="paragraph" w:styleId="TOC2">
    <w:name w:val="toc 2"/>
    <w:basedOn w:val="Normal"/>
    <w:next w:val="Normal"/>
    <w:autoRedefine/>
    <w:uiPriority w:val="39"/>
    <w:unhideWhenUsed/>
    <w:rsid w:val="00D8042F"/>
    <w:pPr>
      <w:spacing w:after="100"/>
      <w:ind w:left="220"/>
    </w:pPr>
  </w:style>
  <w:style w:type="character" w:styleId="Hyperlink">
    <w:name w:val="Hyperlink"/>
    <w:basedOn w:val="DefaultParagraphFont"/>
    <w:uiPriority w:val="99"/>
    <w:unhideWhenUsed/>
    <w:rsid w:val="00D804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709C"/>
    <w:pPr>
      <w:keepNext/>
      <w:spacing w:before="240" w:after="60" w:line="240" w:lineRule="auto"/>
      <w:outlineLvl w:val="0"/>
    </w:pPr>
    <w:rPr>
      <w:rFonts w:ascii="Arial" w:eastAsia="SimSun" w:hAnsi="Arial" w:cs="Arial"/>
      <w:b/>
      <w:bCs/>
      <w:kern w:val="32"/>
      <w:sz w:val="32"/>
      <w:szCs w:val="32"/>
      <w:lang w:eastAsia="zh-CN"/>
    </w:rPr>
  </w:style>
  <w:style w:type="paragraph" w:styleId="Heading2">
    <w:name w:val="heading 2"/>
    <w:basedOn w:val="Normal"/>
    <w:next w:val="Normal"/>
    <w:link w:val="Heading2Char"/>
    <w:uiPriority w:val="9"/>
    <w:unhideWhenUsed/>
    <w:qFormat/>
    <w:rsid w:val="00BB4F1D"/>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0E709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09C"/>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0E709C"/>
    <w:rPr>
      <w:rFonts w:ascii="Tahoma" w:eastAsia="SimSun" w:hAnsi="Tahoma" w:cs="Tahoma"/>
      <w:b/>
      <w:bCs/>
      <w:sz w:val="20"/>
      <w:szCs w:val="20"/>
      <w:lang w:eastAsia="zh-CN"/>
    </w:rPr>
  </w:style>
  <w:style w:type="character" w:styleId="BookTitle">
    <w:name w:val="Book Title"/>
    <w:basedOn w:val="DefaultParagraphFont"/>
    <w:uiPriority w:val="33"/>
    <w:qFormat/>
    <w:rsid w:val="000E709C"/>
    <w:rPr>
      <w:b/>
      <w:bCs/>
      <w:smallCaps/>
      <w:spacing w:val="5"/>
    </w:rPr>
  </w:style>
  <w:style w:type="character" w:styleId="Emphasis">
    <w:name w:val="Emphasis"/>
    <w:basedOn w:val="DefaultParagraphFont"/>
    <w:uiPriority w:val="20"/>
    <w:qFormat/>
    <w:rsid w:val="000E709C"/>
    <w:rPr>
      <w:i/>
      <w:iCs/>
    </w:rPr>
  </w:style>
  <w:style w:type="paragraph" w:styleId="NormalWeb">
    <w:name w:val="Normal (Web)"/>
    <w:basedOn w:val="Normal"/>
    <w:rsid w:val="000E709C"/>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0E7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09C"/>
    <w:rPr>
      <w:rFonts w:ascii="Tahoma" w:hAnsi="Tahoma" w:cs="Tahoma"/>
      <w:sz w:val="16"/>
      <w:szCs w:val="16"/>
    </w:rPr>
  </w:style>
  <w:style w:type="paragraph" w:styleId="ListParagraph">
    <w:name w:val="List Paragraph"/>
    <w:basedOn w:val="Normal"/>
    <w:uiPriority w:val="34"/>
    <w:qFormat/>
    <w:rsid w:val="000E709C"/>
    <w:pPr>
      <w:ind w:left="720"/>
      <w:contextualSpacing/>
    </w:pPr>
  </w:style>
  <w:style w:type="paragraph" w:styleId="Header">
    <w:name w:val="header"/>
    <w:basedOn w:val="Normal"/>
    <w:link w:val="HeaderChar"/>
    <w:uiPriority w:val="99"/>
    <w:unhideWhenUsed/>
    <w:rsid w:val="00BB4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F1D"/>
  </w:style>
  <w:style w:type="paragraph" w:styleId="Footer">
    <w:name w:val="footer"/>
    <w:basedOn w:val="Normal"/>
    <w:link w:val="FooterChar"/>
    <w:uiPriority w:val="99"/>
    <w:unhideWhenUsed/>
    <w:rsid w:val="00BB4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F1D"/>
  </w:style>
  <w:style w:type="paragraph" w:styleId="FootnoteText">
    <w:name w:val="footnote text"/>
    <w:basedOn w:val="Normal"/>
    <w:link w:val="FootnoteTextChar"/>
    <w:uiPriority w:val="99"/>
    <w:semiHidden/>
    <w:unhideWhenUsed/>
    <w:rsid w:val="00BB4F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4F1D"/>
    <w:rPr>
      <w:sz w:val="20"/>
      <w:szCs w:val="20"/>
    </w:rPr>
  </w:style>
  <w:style w:type="character" w:styleId="FootnoteReference">
    <w:name w:val="footnote reference"/>
    <w:basedOn w:val="DefaultParagraphFont"/>
    <w:uiPriority w:val="99"/>
    <w:semiHidden/>
    <w:unhideWhenUsed/>
    <w:rsid w:val="00BB4F1D"/>
    <w:rPr>
      <w:vertAlign w:val="superscript"/>
    </w:rPr>
  </w:style>
  <w:style w:type="character" w:customStyle="1" w:styleId="Heading2Char">
    <w:name w:val="Heading 2 Char"/>
    <w:basedOn w:val="DefaultParagraphFont"/>
    <w:link w:val="Heading2"/>
    <w:uiPriority w:val="9"/>
    <w:rsid w:val="00BB4F1D"/>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semiHidden/>
    <w:unhideWhenUsed/>
    <w:qFormat/>
    <w:rsid w:val="00D8042F"/>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D8042F"/>
    <w:pPr>
      <w:spacing w:after="100"/>
    </w:pPr>
  </w:style>
  <w:style w:type="paragraph" w:styleId="TOC3">
    <w:name w:val="toc 3"/>
    <w:basedOn w:val="Normal"/>
    <w:next w:val="Normal"/>
    <w:autoRedefine/>
    <w:uiPriority w:val="39"/>
    <w:unhideWhenUsed/>
    <w:rsid w:val="00D8042F"/>
    <w:pPr>
      <w:spacing w:after="100"/>
      <w:ind w:left="440"/>
    </w:pPr>
  </w:style>
  <w:style w:type="paragraph" w:styleId="TOC2">
    <w:name w:val="toc 2"/>
    <w:basedOn w:val="Normal"/>
    <w:next w:val="Normal"/>
    <w:autoRedefine/>
    <w:uiPriority w:val="39"/>
    <w:unhideWhenUsed/>
    <w:rsid w:val="00D8042F"/>
    <w:pPr>
      <w:spacing w:after="100"/>
      <w:ind w:left="220"/>
    </w:pPr>
  </w:style>
  <w:style w:type="character" w:styleId="Hyperlink">
    <w:name w:val="Hyperlink"/>
    <w:basedOn w:val="DefaultParagraphFont"/>
    <w:uiPriority w:val="99"/>
    <w:unhideWhenUsed/>
    <w:rsid w:val="00D804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B3E5F-99AC-4BF3-BB1D-E4F28C119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33</Pages>
  <Words>9788</Words>
  <Characters>55795</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2018-05-11T08:30:00Z</dcterms:created>
  <dcterms:modified xsi:type="dcterms:W3CDTF">2018-05-11T08:45:00Z</dcterms:modified>
</cp:coreProperties>
</file>