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media/image1.png" ContentType="image/png"/>
  <Override PartName="/word/media/image2.png" ContentType="image/png"/>
  <Override PartName="/word/media/image3.png" ContentType="image/png"/>
  <Override PartName="/word/media/image4.png" ContentType="image/png"/>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rPr>
          <w:rFonts w:ascii="Calibri" w:hAnsi="Calibri"/>
          <w:b/>
          <w:b/>
          <w:bCs/>
          <w:sz w:val="28"/>
          <w:szCs w:val="28"/>
        </w:rPr>
      </w:pPr>
      <w:r>
        <w:rPr>
          <w:rFonts w:ascii="Calibri" w:hAnsi="Calibri"/>
          <w:b/>
          <w:bCs/>
          <w:sz w:val="28"/>
          <w:szCs w:val="28"/>
        </w:rPr>
        <w:t xml:space="preserve">Theological Analysis on Cyril’s ‘On The Unity of Christ’ </w:t>
      </w:r>
    </w:p>
    <w:p>
      <w:pPr>
        <w:pStyle w:val="Normal"/>
        <w:spacing w:lineRule="auto" w:line="360"/>
        <w:rPr>
          <w:rFonts w:ascii="Calibri" w:hAnsi="Calibri"/>
          <w:b/>
          <w:b/>
          <w:bCs/>
          <w:sz w:val="24"/>
          <w:szCs w:val="24"/>
        </w:rPr>
      </w:pPr>
      <w:r>
        <w:rPr>
          <w:rFonts w:ascii="Calibri" w:hAnsi="Calibri"/>
          <w:b/>
          <w:bCs/>
          <w:sz w:val="24"/>
          <w:szCs w:val="24"/>
        </w:rPr>
        <w:t xml:space="preserve">                                                                                                               </w:t>
      </w:r>
      <w:r>
        <w:rPr>
          <w:rFonts w:ascii="Calibri" w:hAnsi="Calibri"/>
          <w:b/>
          <w:bCs/>
          <w:sz w:val="24"/>
          <w:szCs w:val="24"/>
        </w:rPr>
        <w:t>Student number 2234893</w:t>
      </w:r>
    </w:p>
    <w:p>
      <w:pPr>
        <w:pStyle w:val="Normal"/>
        <w:spacing w:lineRule="auto" w:line="360"/>
        <w:rPr>
          <w:rFonts w:ascii="Calibri" w:hAnsi="Calibri" w:cs="Calibri"/>
          <w:b/>
          <w:b/>
          <w:bCs/>
          <w:sz w:val="26"/>
          <w:szCs w:val="26"/>
        </w:rPr>
      </w:pPr>
      <w:r>
        <w:rPr>
          <w:rFonts w:cs="Calibri" w:ascii="Calibri" w:hAnsi="Calibri"/>
          <w:b/>
          <w:bCs/>
          <w:sz w:val="26"/>
          <w:szCs w:val="26"/>
        </w:rPr>
        <w:t>Introduction</w:t>
      </w:r>
    </w:p>
    <w:p>
      <w:pPr>
        <w:pStyle w:val="Normal"/>
        <w:spacing w:lineRule="auto" w:line="360"/>
        <w:rPr>
          <w:rFonts w:ascii="Calibri" w:hAnsi="Calibri"/>
          <w:sz w:val="24"/>
          <w:szCs w:val="24"/>
        </w:rPr>
      </w:pPr>
      <w:r>
        <mc:AlternateContent>
          <mc:Choice Requires="wps">
            <w:drawing>
              <wp:anchor behindDoc="0" distT="0" distB="0" distL="0" distR="0" simplePos="0" locked="0" layoutInCell="1" allowOverlap="1" relativeHeight="2">
                <wp:simplePos x="0" y="0"/>
                <wp:positionH relativeFrom="column">
                  <wp:posOffset>5380990</wp:posOffset>
                </wp:positionH>
                <wp:positionV relativeFrom="paragraph">
                  <wp:posOffset>1166495</wp:posOffset>
                </wp:positionV>
                <wp:extent cx="40640" cy="27940"/>
                <wp:effectExtent l="0" t="0" r="0" b="0"/>
                <wp:wrapNone/>
                <wp:docPr id="1" name="Ink 6"/>
                <a:graphic xmlns:a="http://schemas.openxmlformats.org/drawingml/2006/main">
                  <a:graphicData uri="http://schemas.openxmlformats.org/drawingml/2006/picture">
                    <pic:pic xmlns:pic="http://schemas.openxmlformats.org/drawingml/2006/picture">
                      <pic:nvPicPr>
                        <pic:cNvPr id="0" name="Ink 6" descr=""/>
                        <pic:cNvPicPr/>
                      </pic:nvPicPr>
                      <pic:blipFill>
                        <a:blip r:embed="rId2"/>
                        <a:stretch/>
                      </pic:blipFill>
                      <pic:spPr>
                        <a:xfrm>
                          <a:off x="0" y="0"/>
                          <a:ext cx="39960" cy="27360"/>
                        </a:xfrm>
                        <a:prstGeom prst="rect">
                          <a:avLst/>
                        </a:prstGeom>
                        <a:ln>
                          <a:noFill/>
                        </a:ln>
                      </pic:spPr>
                    </pic:pic>
                  </a:graphicData>
                </a:graphic>
              </wp:anchor>
            </w:drawing>
          </mc:Choice>
          <mc:Fallback>
            <w:pict>
              <v:shapetype id="shapetype_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Ink 6" stroked="f" style="position:absolute;margin-left:423.7pt;margin-top:91.85pt;width:3.1pt;height:2.1pt" type="shapetype_75">
                <v:imagedata r:id="rId2" o:detectmouseclick="t"/>
                <w10:wrap type="none"/>
                <v:stroke color="#3465a4" joinstyle="round" endcap="flat"/>
              </v:shape>
            </w:pict>
          </mc:Fallback>
        </mc:AlternateContent>
      </w:r>
      <w:r>
        <w:rPr>
          <w:rFonts w:cs="Calibri" w:ascii="Calibri" w:hAnsi="Calibri"/>
          <w:sz w:val="24"/>
          <w:szCs w:val="24"/>
        </w:rPr>
        <w:t>C</w:t>
      </w:r>
      <w:r>
        <w:rPr>
          <w:rFonts w:cs="Calibri" w:ascii="Calibri" w:hAnsi="Calibri"/>
          <w:sz w:val="24"/>
          <w:szCs w:val="24"/>
        </w:rPr>
        <w:t>yril, the Archbishop of Alexandria was profoundly known for his work, primarily focused on Christology. He is famous for the part he played in speaking out for the authentic tradition of Christianity. Especially with the Nestorian controversy which centered on the person of Jesus Christ. Cyril refers to Nestorius as the ‘‘serpent, the crooked one whose tongue is drunk on venom, who does not welcome the tradition of all the initiates throughout the world or that of all the God-inspired scriptures but innovates what seems fit to him’’.</w:t>
      </w:r>
      <w:r>
        <w:rPr>
          <w:rStyle w:val="FootnoteAnchor"/>
          <w:rFonts w:cs="Calibri" w:ascii="Calibri" w:hAnsi="Calibri"/>
          <w:sz w:val="24"/>
          <w:szCs w:val="24"/>
        </w:rPr>
        <w:footnoteReference w:id="2"/>
      </w:r>
    </w:p>
    <w:p>
      <w:pPr>
        <w:pStyle w:val="Normal"/>
        <w:spacing w:lineRule="auto" w:line="360"/>
        <w:rPr>
          <w:rFonts w:ascii="Calibri" w:hAnsi="Calibri"/>
          <w:sz w:val="24"/>
          <w:szCs w:val="24"/>
        </w:rPr>
      </w:pPr>
      <w:r>
        <w:rPr>
          <w:rFonts w:cs="Calibri" w:ascii="Calibri" w:hAnsi="Calibri"/>
          <w:sz w:val="24"/>
          <w:szCs w:val="24"/>
        </w:rPr>
        <w:t xml:space="preserve">In Cyril’s thesis </w:t>
      </w:r>
      <w:r>
        <w:rPr>
          <w:rFonts w:cs="Calibri" w:ascii="Calibri" w:hAnsi="Calibri"/>
          <w:i/>
          <w:iCs/>
          <w:sz w:val="24"/>
          <w:szCs w:val="24"/>
        </w:rPr>
        <w:t>On the Unity of Christ’</w:t>
      </w:r>
      <w:r>
        <w:rPr>
          <w:rFonts w:cs="Calibri" w:ascii="Calibri" w:hAnsi="Calibri"/>
          <w:sz w:val="24"/>
          <w:szCs w:val="24"/>
        </w:rPr>
        <w:t>, his main argument was on the belie</w:t>
      </w:r>
      <w:r>
        <w:rPr>
          <w:rFonts w:cs="Calibri" w:ascii="Calibri" w:hAnsi="Calibri"/>
          <w:sz w:val="24"/>
          <w:szCs w:val="24"/>
        </w:rPr>
        <w:t>f</w:t>
      </w:r>
      <w:r>
        <w:rPr>
          <w:rFonts w:cs="Calibri" w:ascii="Calibri" w:hAnsi="Calibri"/>
          <w:sz w:val="24"/>
          <w:szCs w:val="24"/>
        </w:rPr>
        <w:t xml:space="preserve"> surrounding the person of Jesus Christ (Christology). He argued in favor of the name ‘Theotokos’ (God-bearer) for Mary against ‘</w:t>
      </w:r>
      <w:r>
        <w:rPr>
          <w:rFonts w:cs="Calibri" w:ascii="Calibri" w:hAnsi="Calibri"/>
          <w:color w:val="303030"/>
          <w:sz w:val="24"/>
          <w:szCs w:val="24"/>
          <w:highlight w:val="white"/>
        </w:rPr>
        <w:t>Christotokos</w:t>
      </w:r>
      <w:r>
        <w:rPr>
          <w:rFonts w:cs="Calibri" w:ascii="Calibri" w:hAnsi="Calibri"/>
          <w:sz w:val="24"/>
          <w:szCs w:val="24"/>
        </w:rPr>
        <w:t xml:space="preserve">’ </w:t>
      </w:r>
      <w:r>
        <w:rPr>
          <w:rFonts w:cs="Calibri" w:ascii="Calibri" w:hAnsi="Calibri"/>
          <w:color w:val="303030"/>
          <w:sz w:val="24"/>
          <w:szCs w:val="24"/>
          <w:highlight w:val="white"/>
        </w:rPr>
        <w:t>(</w:t>
      </w:r>
      <w:r>
        <w:rPr>
          <w:rFonts w:cs="Calibri" w:ascii="Calibri" w:hAnsi="Calibri"/>
          <w:sz w:val="24"/>
          <w:szCs w:val="24"/>
        </w:rPr>
        <w:t xml:space="preserve">Christ-Mother) which was presented by Nestorius and his chaplains. He also argued in line with the orthodox position in defense </w:t>
      </w:r>
      <w:r>
        <w:rPr>
          <w:rFonts w:cs="Calibri" w:ascii="Calibri" w:hAnsi="Calibri"/>
          <w:sz w:val="24"/>
          <w:szCs w:val="24"/>
        </w:rPr>
        <w:t>of</w:t>
      </w:r>
      <w:r>
        <w:rPr>
          <w:rFonts w:cs="Calibri" w:ascii="Calibri" w:hAnsi="Calibri"/>
          <w:sz w:val="24"/>
          <w:szCs w:val="24"/>
        </w:rPr>
        <w:t xml:space="preserve"> the unity of Christ’s hypostatic union (the union of Christ’s humanity and divinity in one person). He argues that Christ is one Person with two natures, the nature of God and the nature of Man: fully Man and fully God. Cyril thought the unity of Christ is tied to the economic and redemptive act of Jesus Christ. If Jesus was only human and God was elsewhere, Cyril argues that the Incarnation, ‘the Word became flesh would be meaningless.’ </w:t>
      </w:r>
    </w:p>
    <w:p>
      <w:pPr>
        <w:pStyle w:val="Normal"/>
        <w:spacing w:lineRule="auto" w:line="360"/>
        <w:rPr>
          <w:rFonts w:ascii="Calibri" w:hAnsi="Calibri" w:cs="Calibri"/>
          <w:sz w:val="24"/>
          <w:szCs w:val="24"/>
        </w:rPr>
      </w:pPr>
      <w:r>
        <w:rPr>
          <w:rFonts w:cs="Calibri" w:ascii="Calibri" w:hAnsi="Calibri"/>
          <w:sz w:val="24"/>
          <w:szCs w:val="24"/>
        </w:rPr>
        <w:t xml:space="preserve"> </w:t>
      </w:r>
      <w:r>
        <w:rPr>
          <w:rFonts w:cs="Calibri" w:ascii="Calibri" w:hAnsi="Calibri"/>
          <w:sz w:val="24"/>
          <w:szCs w:val="24"/>
        </w:rPr>
        <w:t>Cyril presented his writing in a dialogue format as if he, speaker A is conversing/debating with someone else, speaker B. This was done to explore the underlying beliefs that shape the views of the other person with the aim of addressing wrong beliefs. He states, ‘Come, let us investigate the divine and sacred scripture and let us seek the solution there’.</w:t>
      </w:r>
      <w:r>
        <w:rPr>
          <w:rStyle w:val="FootnoteAnchor"/>
          <w:rFonts w:cs="Calibri" w:ascii="Calibri" w:hAnsi="Calibri"/>
          <w:sz w:val="24"/>
          <w:szCs w:val="24"/>
        </w:rPr>
        <w:footnoteReference w:id="3"/>
      </w:r>
    </w:p>
    <w:p>
      <w:pPr>
        <w:pStyle w:val="Normal"/>
        <w:spacing w:lineRule="auto" w:line="360"/>
        <w:rPr>
          <w:rFonts w:ascii="Calibri" w:hAnsi="Calibri" w:cs="Calibri"/>
          <w:sz w:val="24"/>
          <w:szCs w:val="24"/>
        </w:rPr>
      </w:pPr>
      <w:r>
        <w:rPr>
          <w:rFonts w:cs="Calibri" w:ascii="Calibri" w:hAnsi="Calibri"/>
          <w:sz w:val="24"/>
          <w:szCs w:val="24"/>
        </w:rPr>
        <w:t xml:space="preserve"> </w:t>
      </w:r>
      <w:r>
        <w:rPr>
          <w:rFonts w:cs="Calibri" w:ascii="Calibri" w:hAnsi="Calibri"/>
          <w:sz w:val="24"/>
          <w:szCs w:val="24"/>
        </w:rPr>
        <w:t xml:space="preserve">Cyril made clear the intention of his writing, which was clearly to address the heretic Christological teachings of Nestorius. Using several variations, he tries to elaborate an argument. This style according to </w:t>
      </w:r>
      <w:r>
        <w:rPr>
          <w:rFonts w:cs="Calibri" w:ascii="Calibri" w:hAnsi="Calibri"/>
          <w:sz w:val="24"/>
          <w:szCs w:val="24"/>
        </w:rPr>
        <w:t>Morgan,</w:t>
      </w:r>
      <w:r>
        <w:rPr>
          <w:rFonts w:cs="Calibri" w:ascii="Calibri" w:hAnsi="Calibri"/>
          <w:sz w:val="24"/>
          <w:szCs w:val="24"/>
        </w:rPr>
        <w:t xml:space="preserve"> represents his theological maturity. Reading through his work, ‘one can sense the spirit of passion and dedication to his belief.’,</w:t>
      </w:r>
      <w:r>
        <w:rPr>
          <w:rStyle w:val="FootnoteAnchor"/>
          <w:rFonts w:cs="Calibri" w:ascii="Calibri" w:hAnsi="Calibri"/>
          <w:sz w:val="24"/>
          <w:szCs w:val="24"/>
        </w:rPr>
        <w:footnoteReference w:id="4"/>
      </w:r>
    </w:p>
    <w:p>
      <w:pPr>
        <w:pStyle w:val="Normal"/>
        <w:spacing w:lineRule="auto" w:line="360"/>
        <w:rPr>
          <w:rFonts w:ascii="Calibri" w:hAnsi="Calibri"/>
          <w:sz w:val="24"/>
          <w:szCs w:val="24"/>
        </w:rPr>
      </w:pPr>
      <w:r>
        <w:rPr>
          <w:rFonts w:cs="Calibri" w:ascii="Calibri" w:hAnsi="Calibri"/>
          <w:sz w:val="24"/>
          <w:szCs w:val="24"/>
        </w:rPr>
        <w:t>This essay aims to present a critical analysis of this thesis. It begins with the biography of the Patriarch Cyril of Alexandria; this is then followed by the historical and theological events leading up to the writing ‘</w:t>
      </w:r>
      <w:r>
        <w:rPr>
          <w:rFonts w:cs="Calibri" w:ascii="Calibri" w:hAnsi="Calibri"/>
          <w:i/>
          <w:iCs/>
          <w:sz w:val="24"/>
          <w:szCs w:val="24"/>
        </w:rPr>
        <w:t>On the Unity of Christ’</w:t>
      </w:r>
      <w:r>
        <w:rPr>
          <w:rFonts w:cs="Calibri" w:ascii="Calibri" w:hAnsi="Calibri"/>
          <w:sz w:val="24"/>
          <w:szCs w:val="24"/>
        </w:rPr>
        <w:t xml:space="preserve">. </w:t>
      </w:r>
      <w:r>
        <mc:AlternateContent>
          <mc:Choice Requires="wps">
            <w:drawing>
              <wp:anchor behindDoc="0" distT="0" distB="0" distL="0" distR="0" simplePos="0" locked="0" layoutInCell="1" allowOverlap="1" relativeHeight="3">
                <wp:simplePos x="0" y="0"/>
                <wp:positionH relativeFrom="column">
                  <wp:posOffset>5099050</wp:posOffset>
                </wp:positionH>
                <wp:positionV relativeFrom="paragraph">
                  <wp:posOffset>862965</wp:posOffset>
                </wp:positionV>
                <wp:extent cx="27305" cy="22860"/>
                <wp:effectExtent l="0" t="0" r="0" b="0"/>
                <wp:wrapNone/>
                <wp:docPr id="2" name="Ink 8"/>
                <a:graphic xmlns:a="http://schemas.openxmlformats.org/drawingml/2006/main">
                  <a:graphicData uri="http://schemas.openxmlformats.org/drawingml/2006/picture">
                    <pic:pic xmlns:pic="http://schemas.openxmlformats.org/drawingml/2006/picture">
                      <pic:nvPicPr>
                        <pic:cNvPr id="1" name="Ink 8" descr=""/>
                        <pic:cNvPicPr/>
                      </pic:nvPicPr>
                      <pic:blipFill>
                        <a:blip r:embed="rId3"/>
                        <a:stretch/>
                      </pic:blipFill>
                      <pic:spPr>
                        <a:xfrm>
                          <a:off x="0" y="0"/>
                          <a:ext cx="26640" cy="22320"/>
                        </a:xfrm>
                        <a:prstGeom prst="rect">
                          <a:avLst/>
                        </a:prstGeom>
                        <a:ln>
                          <a:noFill/>
                        </a:ln>
                      </pic:spPr>
                    </pic:pic>
                  </a:graphicData>
                </a:graphic>
              </wp:anchor>
            </w:drawing>
          </mc:Choice>
          <mc:Fallback>
            <w:pict>
              <v:shape id="shape_0" ID="Ink 8" stroked="f" style="position:absolute;margin-left:401.5pt;margin-top:67.95pt;width:2.05pt;height:1.7pt" type="shapetype_75">
                <v:imagedata r:id="rId3" o:detectmouseclick="t"/>
                <w10:wrap type="none"/>
                <v:stroke color="#3465a4" joinstyle="round" endcap="flat"/>
              </v:shape>
            </w:pict>
          </mc:Fallback>
        </mc:AlternateContent>
      </w:r>
      <w:r>
        <w:rPr>
          <w:rFonts w:cs="Calibri" w:ascii="Calibri" w:hAnsi="Calibri"/>
          <w:sz w:val="24"/>
          <w:szCs w:val="24"/>
        </w:rPr>
        <w:t>S</w:t>
      </w:r>
      <w:r>
        <w:rPr>
          <w:rFonts w:cs="Calibri" w:ascii="Calibri" w:hAnsi="Calibri"/>
          <w:sz w:val="24"/>
          <w:szCs w:val="24"/>
        </w:rPr>
        <w:t xml:space="preserve">ubsequent paragraphs examine and analyze three main arguments presented by Cyril in his thesis. First is the justification for the name </w:t>
      </w:r>
      <w:r>
        <w:rPr>
          <w:rFonts w:cs="Calibri" w:ascii="Calibri" w:hAnsi="Calibri"/>
          <w:i/>
          <w:iCs/>
          <w:sz w:val="24"/>
          <w:szCs w:val="24"/>
        </w:rPr>
        <w:t>Theotokos</w:t>
      </w:r>
      <w:r>
        <w:rPr>
          <w:rFonts w:cs="Calibri" w:ascii="Calibri" w:hAnsi="Calibri"/>
          <w:sz w:val="24"/>
          <w:szCs w:val="24"/>
        </w:rPr>
        <w:t>, ‘God-bearer’ for Mary. Second, is Cyril’s argument on the reconciliation of God and man in Jesus Christ, the hypostatic union. And finally, is Cyril’s view of the reason for the incarnation of the Word, exploring the economic and redemptive act of Jesus Christ</w:t>
      </w:r>
    </w:p>
    <w:p>
      <w:pPr>
        <w:pStyle w:val="Normal"/>
        <w:spacing w:lineRule="auto" w:line="360"/>
        <w:rPr>
          <w:rFonts w:ascii="Calibri" w:hAnsi="Calibri" w:cs="Calibri"/>
          <w:b/>
          <w:b/>
          <w:bCs/>
          <w:sz w:val="26"/>
          <w:szCs w:val="26"/>
        </w:rPr>
      </w:pPr>
      <w:r>
        <w:rPr>
          <w:rFonts w:cs="Calibri" w:ascii="Calibri" w:hAnsi="Calibri"/>
          <w:b/>
          <w:bCs/>
          <w:sz w:val="26"/>
          <w:szCs w:val="26"/>
        </w:rPr>
        <w:t>Biography, historical and theological background</w:t>
      </w:r>
    </w:p>
    <w:p>
      <w:pPr>
        <w:pStyle w:val="Normal"/>
        <w:spacing w:lineRule="auto" w:line="360"/>
        <w:rPr>
          <w:rFonts w:ascii="Calibri" w:hAnsi="Calibri" w:cs="Calibri"/>
          <w:sz w:val="24"/>
          <w:szCs w:val="24"/>
        </w:rPr>
      </w:pPr>
      <w:r>
        <w:rPr>
          <w:rFonts w:cs="Calibri" w:ascii="Calibri" w:hAnsi="Calibri"/>
          <w:sz w:val="24"/>
          <w:szCs w:val="24"/>
        </w:rPr>
        <w:t xml:space="preserve">Cyril was born in Egypt in C.378, he died in C. 444. At the age of twelve, Cyril came under the tutelage of his uncle, St.  Theophilus who was the Archbishop of Alexandria from 385 </w:t>
      </w:r>
      <w:r>
        <w:rPr>
          <w:rFonts w:cs="Calibri" w:ascii="Calibri" w:hAnsi="Calibri"/>
          <w:sz w:val="24"/>
          <w:szCs w:val="24"/>
        </w:rPr>
        <w:t xml:space="preserve">to </w:t>
      </w:r>
      <w:r>
        <w:rPr>
          <w:rFonts w:cs="Calibri" w:ascii="Calibri" w:hAnsi="Calibri"/>
          <w:sz w:val="24"/>
          <w:szCs w:val="24"/>
        </w:rPr>
        <w:t xml:space="preserve">412. His uncle was one of the most dominant ecclesiastical leaders of Alexandria. Through his influence, Cyril followed a period of Christian higher studies after studying grammar and rhetoric until the year 397. At the time Cyril was studying Christian education, the school of Alexandria was highly rated under the great exegete, Didymus the Blind. </w:t>
      </w:r>
    </w:p>
    <w:p>
      <w:pPr>
        <w:pStyle w:val="Normal"/>
        <w:spacing w:lineRule="auto" w:line="360"/>
        <w:rPr>
          <w:rFonts w:ascii="Calibri" w:hAnsi="Calibri" w:cs="Calibri"/>
          <w:sz w:val="24"/>
          <w:szCs w:val="24"/>
        </w:rPr>
      </w:pPr>
      <w:r>
        <w:rPr>
          <w:rFonts w:cs="Calibri" w:ascii="Calibri" w:hAnsi="Calibri"/>
          <w:sz w:val="24"/>
          <w:szCs w:val="24"/>
        </w:rPr>
        <w:t>Cyril was introduced to the earlier tradition of the church of Alexandria through the knowledge he acquired from his formal theological and scriptural education. Cyril’s knowledge of the Bible was profound, and he sees himself as the continuer of the earlier Christian tradition. In his address to Nestorius, he tells him, ‘For you know neither the scriptures nor the power of God’. And in page 69, he states, ‘’Surely our exposition follows the mind of the scriptures’’.</w:t>
      </w:r>
    </w:p>
    <w:p>
      <w:pPr>
        <w:pStyle w:val="Normal"/>
        <w:spacing w:lineRule="auto" w:line="360"/>
        <w:rPr>
          <w:rFonts w:ascii="Calibri" w:hAnsi="Calibri" w:cs="Calibri"/>
          <w:sz w:val="24"/>
          <w:szCs w:val="24"/>
        </w:rPr>
      </w:pPr>
      <w:r>
        <w:rPr>
          <w:rFonts w:cs="Calibri" w:ascii="Calibri" w:hAnsi="Calibri"/>
          <w:sz w:val="24"/>
          <w:szCs w:val="24"/>
        </w:rPr>
        <w:t xml:space="preserve">Cyril was ordained lector of the church of Alexandria in 403, the position carrying intellectual and administrative responsibilities at the archbishop's court. Later that year, in the company of his uncle, St. Theophilus, he attended the synod of the </w:t>
      </w:r>
      <w:r>
        <w:rPr>
          <w:rFonts w:cs="Calibri" w:ascii="Calibri" w:hAnsi="Calibri"/>
          <w:sz w:val="24"/>
          <w:szCs w:val="24"/>
        </w:rPr>
        <w:t>O</w:t>
      </w:r>
      <w:r>
        <w:rPr>
          <w:rFonts w:cs="Calibri" w:ascii="Calibri" w:hAnsi="Calibri"/>
          <w:sz w:val="24"/>
          <w:szCs w:val="24"/>
        </w:rPr>
        <w:t>ak and when his uncle died in 412, Cyril was elected as his successor despite attempts to block his nomination. In October 412, Cyril was consecrated Bishop of the See of Alexandria.</w:t>
      </w:r>
    </w:p>
    <w:p>
      <w:pPr>
        <w:pStyle w:val="Normal"/>
        <w:spacing w:lineRule="auto" w:line="360"/>
        <w:rPr>
          <w:rFonts w:ascii="Calibri" w:hAnsi="Calibri"/>
          <w:sz w:val="24"/>
          <w:szCs w:val="24"/>
        </w:rPr>
      </w:pPr>
      <w:r>
        <mc:AlternateContent>
          <mc:Choice Requires="wps">
            <w:drawing>
              <wp:anchor behindDoc="0" distT="0" distB="0" distL="0" distR="0" simplePos="0" locked="0" layoutInCell="1" allowOverlap="1" relativeHeight="4">
                <wp:simplePos x="0" y="0"/>
                <wp:positionH relativeFrom="column">
                  <wp:posOffset>4331970</wp:posOffset>
                </wp:positionH>
                <wp:positionV relativeFrom="paragraph">
                  <wp:posOffset>330835</wp:posOffset>
                </wp:positionV>
                <wp:extent cx="36195" cy="26035"/>
                <wp:effectExtent l="0" t="0" r="0" b="0"/>
                <wp:wrapNone/>
                <wp:docPr id="3" name="Ink 10"/>
                <a:graphic xmlns:a="http://schemas.openxmlformats.org/drawingml/2006/main">
                  <a:graphicData uri="http://schemas.openxmlformats.org/drawingml/2006/picture">
                    <pic:pic xmlns:pic="http://schemas.openxmlformats.org/drawingml/2006/picture">
                      <pic:nvPicPr>
                        <pic:cNvPr id="2" name="Ink 10" descr=""/>
                        <pic:cNvPicPr/>
                      </pic:nvPicPr>
                      <pic:blipFill>
                        <a:blip r:embed="rId4"/>
                        <a:stretch/>
                      </pic:blipFill>
                      <pic:spPr>
                        <a:xfrm>
                          <a:off x="0" y="0"/>
                          <a:ext cx="35640" cy="25560"/>
                        </a:xfrm>
                        <a:prstGeom prst="rect">
                          <a:avLst/>
                        </a:prstGeom>
                        <a:ln>
                          <a:noFill/>
                        </a:ln>
                      </pic:spPr>
                    </pic:pic>
                  </a:graphicData>
                </a:graphic>
              </wp:anchor>
            </w:drawing>
          </mc:Choice>
          <mc:Fallback>
            <w:pict>
              <v:shape id="shape_0" ID="Ink 10" stroked="f" style="position:absolute;margin-left:341.1pt;margin-top:26.05pt;width:2.75pt;height:1.95pt" type="shapetype_75">
                <v:imagedata r:id="rId4" o:detectmouseclick="t"/>
                <w10:wrap type="none"/>
                <v:stroke color="#3465a4" joinstyle="round" endcap="flat"/>
              </v:shape>
            </w:pict>
          </mc:Fallback>
        </mc:AlternateContent>
        <mc:AlternateContent>
          <mc:Choice Requires="wps">
            <w:drawing>
              <wp:anchor behindDoc="0" distT="0" distB="0" distL="0" distR="0" simplePos="0" locked="0" layoutInCell="1" allowOverlap="1" relativeHeight="5">
                <wp:simplePos x="0" y="0"/>
                <wp:positionH relativeFrom="column">
                  <wp:posOffset>4433570</wp:posOffset>
                </wp:positionH>
                <wp:positionV relativeFrom="paragraph">
                  <wp:posOffset>300990</wp:posOffset>
                </wp:positionV>
                <wp:extent cx="64135" cy="36195"/>
                <wp:effectExtent l="0" t="0" r="0" b="0"/>
                <wp:wrapNone/>
                <wp:docPr id="4" name="Ink 14"/>
                <a:graphic xmlns:a="http://schemas.openxmlformats.org/drawingml/2006/main">
                  <a:graphicData uri="http://schemas.openxmlformats.org/drawingml/2006/picture">
                    <pic:pic xmlns:pic="http://schemas.openxmlformats.org/drawingml/2006/picture">
                      <pic:nvPicPr>
                        <pic:cNvPr id="3" name="Ink 14" descr=""/>
                        <pic:cNvPicPr/>
                      </pic:nvPicPr>
                      <pic:blipFill>
                        <a:blip r:embed="rId5"/>
                        <a:stretch/>
                      </pic:blipFill>
                      <pic:spPr>
                        <a:xfrm>
                          <a:off x="0" y="0"/>
                          <a:ext cx="63360" cy="35640"/>
                        </a:xfrm>
                        <a:prstGeom prst="rect">
                          <a:avLst/>
                        </a:prstGeom>
                        <a:ln>
                          <a:noFill/>
                        </a:ln>
                      </pic:spPr>
                    </pic:pic>
                  </a:graphicData>
                </a:graphic>
              </wp:anchor>
            </w:drawing>
          </mc:Choice>
          <mc:Fallback>
            <w:pict>
              <v:shape id="shape_0" ID="Ink 14" stroked="f" style="position:absolute;margin-left:349.1pt;margin-top:23.7pt;width:4.95pt;height:2.75pt" type="shapetype_75">
                <v:imagedata r:id="rId5" o:detectmouseclick="t"/>
                <w10:wrap type="none"/>
                <v:stroke color="#3465a4" joinstyle="round" endcap="flat"/>
              </v:shape>
            </w:pict>
          </mc:Fallback>
        </mc:AlternateContent>
      </w:r>
      <w:r>
        <w:rPr>
          <w:rFonts w:cs="Calibri" w:ascii="Calibri" w:hAnsi="Calibri"/>
          <w:sz w:val="24"/>
          <w:szCs w:val="24"/>
        </w:rPr>
        <w:t>B</w:t>
      </w:r>
      <w:r>
        <w:rPr>
          <w:rFonts w:cs="Calibri" w:ascii="Calibri" w:hAnsi="Calibri"/>
          <w:sz w:val="24"/>
          <w:szCs w:val="24"/>
        </w:rPr>
        <w:t xml:space="preserve">etween 428-430, Cyril was deeply involved in an argument with Nestorius. Nestorius was a Syrian </w:t>
      </w:r>
      <w:r>
        <w:rPr>
          <w:rFonts w:ascii="Calibri" w:hAnsi="Calibri"/>
          <w:sz w:val="24"/>
          <w:szCs w:val="24"/>
        </w:rPr>
        <w:t xml:space="preserve">Monk summoned by the emperor to assume the Patriarchy throne as the Archbishop of Constantinople on the recommendation of the Archbishop John of Antioch. </w:t>
      </w:r>
      <w:r>
        <w:rPr>
          <w:rFonts w:eastAsia="Calibri" w:cs="Calibri" w:ascii="Calibri" w:hAnsi="Calibri"/>
          <w:color w:val="000000"/>
          <w:sz w:val="24"/>
          <w:szCs w:val="24"/>
        </w:rPr>
        <w:t>The greatest conflict of Cyril's career was directed toward Nestorius’</w:t>
      </w:r>
      <w:r>
        <w:rPr>
          <w:rFonts w:eastAsia="Calibri" w:cs="Calibri" w:ascii="Calibri" w:hAnsi="Calibri"/>
          <w:color w:val="000000"/>
          <w:sz w:val="24"/>
          <w:szCs w:val="24"/>
        </w:rPr>
        <w:t>s</w:t>
      </w:r>
      <w:r>
        <w:rPr>
          <w:rFonts w:eastAsia="Calibri" w:cs="Calibri" w:ascii="Calibri" w:hAnsi="Calibri"/>
          <w:color w:val="000000"/>
          <w:sz w:val="24"/>
          <w:szCs w:val="24"/>
        </w:rPr>
        <w:t xml:space="preserve"> teaching.</w:t>
      </w:r>
      <w:r>
        <w:rPr>
          <w:rStyle w:val="FootnoteAnchor"/>
          <w:rFonts w:eastAsia="Calibri" w:cs="Calibri" w:ascii="Calibri" w:hAnsi="Calibri"/>
          <w:color w:val="000000"/>
          <w:sz w:val="24"/>
          <w:szCs w:val="24"/>
        </w:rPr>
        <w:footnoteReference w:id="5"/>
      </w:r>
    </w:p>
    <w:p>
      <w:pPr>
        <w:pStyle w:val="Normal"/>
        <w:spacing w:lineRule="auto" w:line="360"/>
        <w:rPr>
          <w:rFonts w:ascii="Calibri" w:hAnsi="Calibri"/>
          <w:sz w:val="24"/>
          <w:szCs w:val="24"/>
        </w:rPr>
      </w:pPr>
      <w:r>
        <w:rPr>
          <w:rFonts w:eastAsia="Calibri" w:cs="Calibri" w:ascii="Calibri" w:hAnsi="Calibri"/>
          <w:color w:val="000000"/>
          <w:sz w:val="24"/>
          <w:szCs w:val="24"/>
        </w:rPr>
        <w:t>At the heart of this controversy was the doctrine of Christ. E</w:t>
      </w:r>
      <w:r>
        <w:rPr>
          <w:rFonts w:eastAsia="Calibri" w:cs="Calibri" w:ascii="Calibri" w:hAnsi="Calibri"/>
          <w:sz w:val="24"/>
          <w:szCs w:val="24"/>
        </w:rPr>
        <w:t>arly in Nestorius’</w:t>
      </w:r>
      <w:r>
        <w:rPr>
          <w:rFonts w:eastAsia="Calibri" w:cs="Calibri" w:ascii="Calibri" w:hAnsi="Calibri"/>
          <w:sz w:val="24"/>
          <w:szCs w:val="24"/>
        </w:rPr>
        <w:t>s</w:t>
      </w:r>
      <w:r>
        <w:rPr>
          <w:rFonts w:eastAsia="Calibri" w:cs="Calibri" w:ascii="Calibri" w:hAnsi="Calibri"/>
          <w:sz w:val="24"/>
          <w:szCs w:val="24"/>
        </w:rPr>
        <w:t xml:space="preserve"> reign, his team of Chaplains wer</w:t>
      </w:r>
      <w:r>
        <w:rPr>
          <w:rFonts w:cs="Calibri" w:ascii="Calibri" w:hAnsi="Calibri"/>
          <w:sz w:val="24"/>
          <w:szCs w:val="24"/>
        </w:rPr>
        <w:t>e conducting a series of lectures on the nature of faith. They based their teachings on that of the Syrian theologian Diodore of Tar</w:t>
      </w:r>
      <w:r>
        <w:rPr>
          <w:rFonts w:cs="Calibri" w:ascii="Calibri" w:hAnsi="Calibri"/>
          <w:sz w:val="24"/>
          <w:szCs w:val="24"/>
        </w:rPr>
        <w:t>s</w:t>
      </w:r>
      <w:r>
        <w:rPr>
          <w:rFonts w:cs="Calibri" w:ascii="Calibri" w:hAnsi="Calibri"/>
          <w:sz w:val="24"/>
          <w:szCs w:val="24"/>
        </w:rPr>
        <w:t>us and Theodore of Mopsuestia who had approached the doctrine of Christ wrongly referring to ‘’Two Sons’’ one the Son of God and the other the Son of Man. They also refuse to acknowledge the title ‘’Mother of God’’ (</w:t>
      </w:r>
      <w:r>
        <w:rPr>
          <w:rFonts w:cs="Calibri" w:ascii="Calibri" w:hAnsi="Calibri"/>
          <w:i/>
          <w:iCs/>
          <w:sz w:val="24"/>
          <w:szCs w:val="24"/>
        </w:rPr>
        <w:t>Theotokos</w:t>
      </w:r>
      <w:r>
        <w:rPr>
          <w:rFonts w:cs="Calibri" w:ascii="Calibri" w:hAnsi="Calibri"/>
          <w:sz w:val="24"/>
          <w:szCs w:val="24"/>
        </w:rPr>
        <w:t xml:space="preserve">) for Mary. When Nestorius </w:t>
      </w:r>
      <w:r>
        <w:rPr>
          <w:rFonts w:eastAsia="Aptos" w:cs="Calibri" w:ascii="Calibri" w:hAnsi="Calibri"/>
          <w:sz w:val="24"/>
          <w:szCs w:val="24"/>
        </w:rPr>
        <w:t>was called upon to give his opinion on the suitability of ‘</w:t>
      </w:r>
      <w:r>
        <w:rPr>
          <w:rFonts w:eastAsia="Aptos" w:cs="Calibri" w:ascii="Calibri" w:hAnsi="Calibri"/>
          <w:i/>
          <w:iCs/>
          <w:sz w:val="24"/>
          <w:szCs w:val="24"/>
        </w:rPr>
        <w:t>Theotokos’</w:t>
      </w:r>
      <w:r>
        <w:rPr>
          <w:rFonts w:eastAsia="Aptos" w:cs="Calibri" w:ascii="Calibri" w:hAnsi="Calibri"/>
          <w:sz w:val="24"/>
          <w:szCs w:val="24"/>
        </w:rPr>
        <w:t>, he</w:t>
      </w:r>
      <w:r>
        <w:rPr>
          <w:rFonts w:cs="Calibri" w:ascii="Calibri" w:hAnsi="Calibri"/>
          <w:sz w:val="24"/>
          <w:szCs w:val="24"/>
        </w:rPr>
        <w:t xml:space="preserve"> supported his Chaplains </w:t>
      </w:r>
      <w:r>
        <w:rPr>
          <w:rFonts w:eastAsia="Aptos" w:cs="Calibri" w:ascii="Calibri" w:hAnsi="Calibri"/>
          <w:sz w:val="24"/>
          <w:szCs w:val="24"/>
        </w:rPr>
        <w:t>insisting that the title ‘</w:t>
      </w:r>
      <w:r>
        <w:rPr>
          <w:rFonts w:eastAsia="Aptos" w:cs="Calibri" w:ascii="Calibri" w:hAnsi="Calibri"/>
          <w:i/>
          <w:iCs/>
          <w:sz w:val="24"/>
          <w:szCs w:val="24"/>
        </w:rPr>
        <w:t>Christotokos’</w:t>
      </w:r>
      <w:r>
        <w:rPr>
          <w:rFonts w:eastAsia="Aptos" w:cs="Calibri" w:ascii="Calibri" w:hAnsi="Calibri"/>
          <w:sz w:val="24"/>
          <w:szCs w:val="24"/>
        </w:rPr>
        <w:t xml:space="preserve"> (the one who gave birth to Christ) </w:t>
      </w:r>
      <w:r>
        <w:rPr>
          <w:rFonts w:cs="Calibri" w:ascii="Calibri" w:hAnsi="Calibri"/>
          <w:sz w:val="24"/>
          <w:szCs w:val="24"/>
        </w:rPr>
        <w:t xml:space="preserve">‘’Mother of Christ’’ </w:t>
      </w:r>
      <w:r>
        <w:rPr>
          <w:rFonts w:eastAsia="Aptos" w:cs="Calibri" w:ascii="Calibri" w:hAnsi="Calibri"/>
          <w:sz w:val="24"/>
          <w:szCs w:val="24"/>
        </w:rPr>
        <w:t>was preferable, stating his reasons</w:t>
      </w:r>
      <w:r>
        <w:rPr>
          <w:rStyle w:val="FootnoteAnchor"/>
          <w:rFonts w:eastAsia="Aptos" w:cs="Calibri" w:ascii="Calibri" w:hAnsi="Calibri"/>
          <w:sz w:val="24"/>
          <w:szCs w:val="24"/>
        </w:rPr>
        <w:footnoteReference w:id="6"/>
      </w:r>
      <w:r>
        <w:rPr>
          <w:rFonts w:eastAsia="Aptos" w:cs="Calibri" w:ascii="Calibri" w:hAnsi="Calibri"/>
          <w:sz w:val="24"/>
          <w:szCs w:val="24"/>
        </w:rPr>
        <w:t>.</w:t>
      </w:r>
    </w:p>
    <w:p>
      <w:pPr>
        <w:pStyle w:val="Normal"/>
        <w:spacing w:lineRule="auto" w:line="360"/>
        <w:rPr>
          <w:rFonts w:ascii="Calibri" w:hAnsi="Calibri"/>
          <w:sz w:val="24"/>
          <w:szCs w:val="24"/>
        </w:rPr>
      </w:pPr>
      <w:r>
        <w:rPr>
          <w:rFonts w:eastAsia="Aptos" w:cs="Calibri" w:ascii="Calibri" w:hAnsi="Calibri"/>
          <w:sz w:val="24"/>
          <w:szCs w:val="24"/>
        </w:rPr>
        <w:t>In response to this, Cyril sent several letters to inform Nestorius that his doctrine of Christ was defective, but his</w:t>
      </w:r>
      <w:r>
        <w:rPr>
          <w:rFonts w:cs="Calibri" w:ascii="Calibri" w:hAnsi="Calibri"/>
          <w:sz w:val="24"/>
          <w:szCs w:val="24"/>
        </w:rPr>
        <w:t xml:space="preserve"> efforts to correct him yielded no success. As Cyril and Nestorius both claim to speak for the authentic tradition of Christianity, an ecumenical Synod was called at Ephesus in 431 where Nestorius claim was condemned. Nestorius then retired into monasticism, but many of his followers still held his beliefs. To correct the views held by the remnant followers of his teaching, Cyril came up with the thesis ‘</w:t>
      </w:r>
      <w:r>
        <w:rPr>
          <w:rFonts w:cs="Calibri" w:ascii="Calibri" w:hAnsi="Calibri"/>
          <w:i/>
          <w:iCs/>
          <w:sz w:val="24"/>
          <w:szCs w:val="24"/>
        </w:rPr>
        <w:t>On the Unity of Christ’</w:t>
      </w:r>
      <w:r>
        <w:rPr>
          <w:rFonts w:cs="Calibri" w:ascii="Calibri" w:hAnsi="Calibri"/>
          <w:sz w:val="24"/>
          <w:szCs w:val="24"/>
        </w:rPr>
        <w:t xml:space="preserve">. Seven years after Cyril’s death, the Chalcedonian council adopted his statement on the hypostatic nature of Jesus Christ. </w:t>
      </w:r>
      <w:r>
        <w:rPr>
          <w:rStyle w:val="FootnoteAnchor"/>
          <w:rFonts w:cs="Calibri" w:ascii="Calibri" w:hAnsi="Calibri"/>
          <w:sz w:val="24"/>
          <w:szCs w:val="24"/>
        </w:rPr>
        <w:footnoteReference w:id="7"/>
      </w:r>
    </w:p>
    <w:p>
      <w:pPr>
        <w:pStyle w:val="Normal"/>
        <w:spacing w:lineRule="auto" w:line="360"/>
        <w:rPr>
          <w:rFonts w:ascii="Calibri" w:hAnsi="Calibri" w:eastAsia="Aptos" w:cs="Calibri"/>
          <w:sz w:val="26"/>
          <w:szCs w:val="26"/>
        </w:rPr>
      </w:pPr>
      <w:r>
        <w:rPr>
          <w:rFonts w:eastAsia="Aptos" w:cs="Calibri" w:ascii="Calibri" w:hAnsi="Calibri"/>
          <w:b/>
          <w:bCs/>
          <w:sz w:val="26"/>
          <w:szCs w:val="26"/>
        </w:rPr>
        <w:t>Justification for the Name ‘Theotokos’</w:t>
      </w:r>
    </w:p>
    <w:p>
      <w:pPr>
        <w:pStyle w:val="Normal"/>
        <w:spacing w:lineRule="auto" w:line="360"/>
        <w:rPr>
          <w:rFonts w:ascii="Calibri" w:hAnsi="Calibri"/>
          <w:sz w:val="24"/>
          <w:szCs w:val="24"/>
        </w:rPr>
      </w:pPr>
      <w:r>
        <w:rPr>
          <w:rFonts w:eastAsia="Calibri" w:cs="Calibri" w:ascii="Calibri" w:hAnsi="Calibri"/>
          <w:sz w:val="24"/>
          <w:szCs w:val="24"/>
        </w:rPr>
        <w:t xml:space="preserve">Nestorius, </w:t>
      </w:r>
      <w:r>
        <w:rPr>
          <w:rFonts w:ascii="Calibri" w:hAnsi="Calibri"/>
          <w:sz w:val="24"/>
          <w:szCs w:val="24"/>
        </w:rPr>
        <w:t>the Archbishop of Constantinople,</w:t>
      </w:r>
      <w:r>
        <w:rPr>
          <w:rFonts w:eastAsia="Calibri" w:cs="Calibri" w:ascii="Calibri" w:hAnsi="Calibri"/>
          <w:sz w:val="24"/>
          <w:szCs w:val="24"/>
        </w:rPr>
        <w:t xml:space="preserve"> pressed on his congregation that Mary bore a mere man, the vehicle of divinity but not God. For Nestorius, Mary was not the ‘Mother of God’ (</w:t>
      </w:r>
      <w:r>
        <w:rPr>
          <w:rFonts w:eastAsia="Calibri" w:cs="Calibri" w:ascii="Calibri" w:hAnsi="Calibri"/>
          <w:i/>
          <w:iCs/>
          <w:sz w:val="24"/>
          <w:szCs w:val="24"/>
        </w:rPr>
        <w:t>Theotokos</w:t>
      </w:r>
      <w:r>
        <w:rPr>
          <w:rFonts w:eastAsia="Calibri" w:cs="Calibri" w:ascii="Calibri" w:hAnsi="Calibri"/>
          <w:sz w:val="24"/>
          <w:szCs w:val="24"/>
        </w:rPr>
        <w:t xml:space="preserve">) but the ‘Mother of Christ’. He, therefore, preferred the title </w:t>
      </w:r>
      <w:r>
        <w:rPr>
          <w:rFonts w:eastAsia="Calibri" w:cs="Calibri" w:ascii="Calibri" w:hAnsi="Calibri"/>
          <w:i/>
          <w:iCs/>
          <w:sz w:val="24"/>
          <w:szCs w:val="24"/>
        </w:rPr>
        <w:t>Christotokos</w:t>
      </w:r>
      <w:r>
        <w:rPr>
          <w:rFonts w:eastAsia="Calibri" w:cs="Calibri" w:ascii="Calibri" w:hAnsi="Calibri"/>
          <w:sz w:val="24"/>
          <w:szCs w:val="24"/>
        </w:rPr>
        <w:t xml:space="preserve"> (Christ Mother).  Nestorius</w:t>
      </w:r>
      <w:r>
        <w:rPr>
          <w:rFonts w:cs="Calibri" w:ascii="Calibri" w:hAnsi="Calibri"/>
          <w:sz w:val="24"/>
          <w:szCs w:val="24"/>
        </w:rPr>
        <w:t xml:space="preserve"> maintains it is because she has not given birth to God, ‘since the Word was ‘before her, every age and time being coeternal with God the Father’. He argues that God could not have been born by a woman. He claims that the ineffable being of the Only begotten could never be the fruit of the flesh, but Jesus was merely a man who had a unique relationship with the Word. </w:t>
      </w:r>
    </w:p>
    <w:p>
      <w:pPr>
        <w:pStyle w:val="Normal"/>
        <w:spacing w:lineRule="auto" w:line="360"/>
        <w:rPr>
          <w:rFonts w:ascii="Calibri" w:hAnsi="Calibri" w:cs="Calibri"/>
          <w:sz w:val="24"/>
          <w:szCs w:val="24"/>
        </w:rPr>
      </w:pPr>
      <w:r>
        <w:rPr>
          <w:rFonts w:cs="Calibri" w:ascii="Calibri" w:hAnsi="Calibri"/>
          <w:sz w:val="24"/>
          <w:szCs w:val="24"/>
        </w:rPr>
        <w:t>In his response, Cyril argues that ‘’as God, the Word was ineffably begotten by nature from the Father and was coeternal with him’’. Cyril, quoting the bible, the book of Matthew 1. 23 which states, ‘’The virgin will conceive and give birth to a son, and they will call him Immanuel (which means ’God with us’). Cyril argues that ‘Jesus Christ was God in the appearance like man, when he became flesh.</w:t>
      </w:r>
    </w:p>
    <w:p>
      <w:pPr>
        <w:pStyle w:val="Normal"/>
        <w:spacing w:lineRule="auto" w:line="360"/>
        <w:rPr>
          <w:rFonts w:ascii="Calibri" w:hAnsi="Calibri"/>
          <w:sz w:val="24"/>
          <w:szCs w:val="24"/>
        </w:rPr>
      </w:pPr>
      <w:r>
        <w:rPr>
          <w:rFonts w:cs="Calibri" w:ascii="Calibri" w:hAnsi="Calibri"/>
          <w:sz w:val="24"/>
          <w:szCs w:val="24"/>
        </w:rPr>
        <w:t>Cyril argues that because He is God made man the title ‘</w:t>
      </w:r>
      <w:r>
        <w:rPr>
          <w:rFonts w:cs="Calibri" w:ascii="Calibri" w:hAnsi="Calibri"/>
          <w:i/>
          <w:iCs/>
          <w:sz w:val="24"/>
          <w:szCs w:val="24"/>
        </w:rPr>
        <w:t>Theotokos’</w:t>
      </w:r>
      <w:r>
        <w:rPr>
          <w:rFonts w:cs="Calibri" w:ascii="Calibri" w:hAnsi="Calibri"/>
          <w:sz w:val="24"/>
          <w:szCs w:val="24"/>
        </w:rPr>
        <w:t xml:space="preserve"> describes the incorporeal was with us by canal birth with intimate union of two natures, hence the title ‘Mother of God’ should be used to name the virgin who gave birth to God made man.</w:t>
      </w:r>
      <w:r>
        <w:rPr>
          <w:rStyle w:val="FootnoteAnchor"/>
          <w:rFonts w:cs="Calibri" w:ascii="Calibri" w:hAnsi="Calibri"/>
          <w:sz w:val="24"/>
          <w:szCs w:val="24"/>
        </w:rPr>
        <w:footnoteReference w:id="8"/>
      </w:r>
    </w:p>
    <w:p>
      <w:pPr>
        <w:pStyle w:val="Normal"/>
        <w:spacing w:lineRule="auto" w:line="360"/>
        <w:rPr>
          <w:rFonts w:ascii="Calibri" w:hAnsi="Calibri" w:cs="Calibri"/>
          <w:sz w:val="24"/>
          <w:szCs w:val="24"/>
        </w:rPr>
      </w:pPr>
      <w:r>
        <w:rPr>
          <w:rFonts w:cs="Calibri" w:ascii="Calibri" w:hAnsi="Calibri"/>
          <w:sz w:val="24"/>
          <w:szCs w:val="24"/>
        </w:rPr>
        <w:t xml:space="preserve">Nestorius insists that the title ‘Mother of God’ was mixing up the characteristics of deity and humanity by attributing them to the same person. </w:t>
      </w:r>
    </w:p>
    <w:p>
      <w:pPr>
        <w:pStyle w:val="Normal"/>
        <w:spacing w:lineRule="auto" w:line="360"/>
        <w:rPr>
          <w:rFonts w:ascii="Calibri" w:hAnsi="Calibri" w:cs="Calibri"/>
          <w:sz w:val="24"/>
          <w:szCs w:val="24"/>
        </w:rPr>
      </w:pPr>
      <w:r>
        <w:rPr>
          <w:rFonts w:cs="Calibri" w:ascii="Calibri" w:hAnsi="Calibri"/>
          <w:sz w:val="24"/>
          <w:szCs w:val="24"/>
        </w:rPr>
        <w:t>In addressing the question on why the Word made a virgin, the mother of his own flesh by conception from the Holy Spirit; and not by natural birth since God did not hold the marriage bed in dishonor’. Cyril explains that, to reconstitute our condition within himself, Christ was not conceived sexually so that he could trace a path for grace to come to us’’, enabling ‘’intellectual regeneration and spiritual assimilation to himself’’ so that he remains free of corruption as no longer owing our first father, that is Adam, in whom we were corrupted’’.</w:t>
      </w:r>
      <w:r>
        <w:rPr>
          <w:rStyle w:val="FootnoteAnchor"/>
          <w:rFonts w:cs="Calibri" w:ascii="Calibri" w:hAnsi="Calibri"/>
          <w:sz w:val="24"/>
          <w:szCs w:val="24"/>
        </w:rPr>
        <w:footnoteReference w:id="9"/>
      </w:r>
      <w:r>
        <w:rPr>
          <w:rFonts w:cs="Calibri" w:ascii="Calibri" w:hAnsi="Calibri"/>
          <w:sz w:val="24"/>
          <w:szCs w:val="24"/>
        </w:rPr>
        <w:t xml:space="preserve"> </w:t>
      </w:r>
    </w:p>
    <w:p>
      <w:pPr>
        <w:pStyle w:val="Normal"/>
        <w:spacing w:lineRule="auto" w:line="360"/>
        <w:rPr>
          <w:rFonts w:ascii="Calibri" w:hAnsi="Calibri" w:cs="Calibri"/>
          <w:sz w:val="24"/>
          <w:szCs w:val="24"/>
        </w:rPr>
      </w:pPr>
      <w:r>
        <w:rPr>
          <w:rFonts w:cs="Calibri" w:ascii="Calibri" w:hAnsi="Calibri"/>
          <w:sz w:val="24"/>
          <w:szCs w:val="24"/>
        </w:rPr>
        <w:t>Cyril made a valid point but needed more exposition, humanity inherited sin through sexual conception, for Christ to be free from inherited sin he had to be born holy, without the contamination of sin. This is the reason for the choice of a holy virgin and conception by the Holy Spirit. Because God do</w:t>
      </w:r>
      <w:r>
        <w:rPr>
          <w:rFonts w:cs="Calibri" w:ascii="Calibri" w:hAnsi="Calibri"/>
          <w:sz w:val="24"/>
          <w:szCs w:val="24"/>
        </w:rPr>
        <w:t>es</w:t>
      </w:r>
      <w:r>
        <w:rPr>
          <w:rFonts w:cs="Calibri" w:ascii="Calibri" w:hAnsi="Calibri"/>
          <w:sz w:val="24"/>
          <w:szCs w:val="24"/>
        </w:rPr>
        <w:t xml:space="preserve"> not hold marriage bed in dishonor, He chose a virgin who was already betrothed. This essay will now examine the union of the two natures in Christ.</w:t>
      </w:r>
    </w:p>
    <w:p>
      <w:pPr>
        <w:pStyle w:val="Normal"/>
        <w:spacing w:lineRule="auto" w:line="360"/>
        <w:rPr>
          <w:rFonts w:ascii="Calibri" w:hAnsi="Calibri" w:cs="Calibri"/>
          <w:sz w:val="26"/>
          <w:szCs w:val="26"/>
        </w:rPr>
      </w:pPr>
      <w:r>
        <w:rPr>
          <w:rFonts w:cs="Calibri" w:ascii="Calibri" w:hAnsi="Calibri"/>
          <w:b/>
          <w:bCs/>
          <w:sz w:val="26"/>
          <w:szCs w:val="26"/>
        </w:rPr>
        <w:t>The Unity of Christ</w:t>
      </w:r>
    </w:p>
    <w:p>
      <w:pPr>
        <w:pStyle w:val="Normal"/>
        <w:spacing w:lineRule="auto" w:line="360"/>
        <w:rPr>
          <w:rFonts w:ascii="Calibri" w:hAnsi="Calibri"/>
          <w:sz w:val="24"/>
          <w:szCs w:val="24"/>
        </w:rPr>
      </w:pPr>
      <w:r>
        <w:rPr>
          <w:rFonts w:eastAsia="Calibri" w:cs="Calibri" w:ascii="Calibri" w:hAnsi="Calibri"/>
          <w:sz w:val="24"/>
          <w:szCs w:val="24"/>
        </w:rPr>
        <w:t xml:space="preserve">Nestorius proclaimed that Christ was really two persons, a divine person dwelling in a human person. He maintains that ‘God the Word </w:t>
      </w:r>
      <w:r>
        <w:rPr>
          <w:rFonts w:cs="Calibri" w:ascii="Calibri" w:hAnsi="Calibri"/>
          <w:sz w:val="24"/>
          <w:szCs w:val="24"/>
        </w:rPr>
        <w:t xml:space="preserve">assumed a perfect man who was of the line of Abraham and David, who was of the same nature as his ancestors, a man fully complete in his nature’. </w:t>
      </w:r>
    </w:p>
    <w:p>
      <w:pPr>
        <w:pStyle w:val="Normal"/>
        <w:spacing w:lineRule="auto" w:line="360"/>
        <w:rPr>
          <w:rFonts w:ascii="Calibri" w:hAnsi="Calibri"/>
          <w:sz w:val="24"/>
          <w:szCs w:val="24"/>
        </w:rPr>
      </w:pPr>
      <w:r>
        <w:rPr>
          <w:rFonts w:cs="Calibri" w:ascii="Calibri" w:hAnsi="Calibri"/>
          <w:sz w:val="24"/>
          <w:szCs w:val="24"/>
        </w:rPr>
        <w:t xml:space="preserve">He asserts that the man was composed of a rational soul and human flesh, fashioned by the power of the Holy Spirit in the womb of the </w:t>
      </w:r>
      <w:r>
        <w:rPr>
          <w:rFonts w:cs="Calibri" w:ascii="Calibri" w:hAnsi="Calibri"/>
          <w:sz w:val="24"/>
          <w:szCs w:val="24"/>
        </w:rPr>
        <w:t>V</w:t>
      </w:r>
      <w:r>
        <w:rPr>
          <w:rFonts w:cs="Calibri" w:ascii="Calibri" w:hAnsi="Calibri"/>
          <w:sz w:val="24"/>
          <w:szCs w:val="24"/>
        </w:rPr>
        <w:t xml:space="preserve">irgin Mary. Nestorius claims that though the man was born to redeem humanity, he was conjoined by God in a new way to fulfil that purpose. </w:t>
      </w:r>
      <w:r>
        <w:rPr>
          <w:rFonts w:eastAsia="Aptos" w:cs="Calibri" w:ascii="Calibri" w:hAnsi="Calibri"/>
          <w:sz w:val="24"/>
          <w:szCs w:val="24"/>
        </w:rPr>
        <w:t>A</w:t>
      </w:r>
      <w:r>
        <w:rPr>
          <w:rFonts w:cs="Calibri" w:ascii="Calibri" w:hAnsi="Calibri"/>
          <w:sz w:val="24"/>
          <w:szCs w:val="24"/>
        </w:rPr>
        <w:t xml:space="preserve">ccording to him, Christ was not merely God and not merely Man but was God conjoined to man or man conjoined to God. He views the </w:t>
      </w:r>
      <w:r>
        <w:rPr>
          <w:rFonts w:eastAsia="Aptos" w:cs="Calibri" w:ascii="Calibri" w:hAnsi="Calibri"/>
          <w:sz w:val="24"/>
          <w:szCs w:val="24"/>
        </w:rPr>
        <w:t>doctrine of the Incarnation as man united by God the Son to His own self.</w:t>
      </w:r>
    </w:p>
    <w:p>
      <w:pPr>
        <w:pStyle w:val="Normal"/>
        <w:spacing w:lineRule="auto" w:line="360"/>
        <w:rPr>
          <w:rFonts w:ascii="Calibri" w:hAnsi="Calibri"/>
          <w:sz w:val="24"/>
          <w:szCs w:val="24"/>
        </w:rPr>
      </w:pPr>
      <w:r>
        <w:rPr>
          <w:rFonts w:cs="Calibri" w:ascii="Calibri" w:hAnsi="Calibri"/>
          <w:sz w:val="24"/>
          <w:szCs w:val="24"/>
        </w:rPr>
        <w:t xml:space="preserve">For </w:t>
      </w:r>
      <w:r>
        <w:rPr>
          <w:rFonts w:eastAsia="Calibri" w:cs="Calibri" w:ascii="Calibri" w:hAnsi="Calibri"/>
          <w:color w:val="000000"/>
          <w:sz w:val="24"/>
          <w:szCs w:val="24"/>
        </w:rPr>
        <w:t xml:space="preserve">Cyril Christ is both God and man. Cyril asserts that Christ is really and completely God, and really and completely man, yet completely and inseparably. He insisted on the full and complete unity of the person of Jesus Christ. </w:t>
      </w:r>
      <w:r>
        <w:rPr>
          <w:rFonts w:cs="Calibri" w:ascii="Calibri" w:hAnsi="Calibri"/>
          <w:sz w:val="24"/>
          <w:szCs w:val="24"/>
        </w:rPr>
        <w:t>He maintains that Christ is One, God the Word has made the flesh his very own. They are brought together into an indissoluble union. ‘He is the one and only Son, not one son alongside another son’. He uses the word (</w:t>
      </w:r>
      <w:r>
        <w:rPr>
          <w:rFonts w:cs="Calibri" w:ascii="Calibri" w:hAnsi="Calibri"/>
          <w:i/>
          <w:iCs/>
          <w:sz w:val="24"/>
          <w:szCs w:val="24"/>
        </w:rPr>
        <w:t>prosopon</w:t>
      </w:r>
      <w:r>
        <w:rPr>
          <w:rFonts w:cs="Calibri" w:ascii="Calibri" w:hAnsi="Calibri"/>
          <w:sz w:val="24"/>
          <w:szCs w:val="24"/>
        </w:rPr>
        <w:t>) to refer to true unity.</w:t>
      </w:r>
      <w:r>
        <w:rPr>
          <w:rStyle w:val="FootnoteAnchor"/>
          <w:rFonts w:cs="Calibri" w:ascii="Calibri" w:hAnsi="Calibri"/>
          <w:sz w:val="24"/>
          <w:szCs w:val="24"/>
        </w:rPr>
        <w:footnoteReference w:id="10"/>
      </w:r>
    </w:p>
    <w:p>
      <w:pPr>
        <w:pStyle w:val="Normal"/>
        <w:spacing w:lineRule="auto" w:line="360"/>
        <w:rPr>
          <w:rFonts w:ascii="Calibri" w:hAnsi="Calibri" w:cs="Calibri"/>
          <w:sz w:val="24"/>
          <w:szCs w:val="24"/>
        </w:rPr>
      </w:pPr>
      <w:r>
        <w:rPr>
          <w:rFonts w:cs="Calibri" w:ascii="Calibri" w:hAnsi="Calibri"/>
          <w:sz w:val="24"/>
          <w:szCs w:val="24"/>
        </w:rPr>
        <w:t>Cyril queries the term ‘conjoin’ used by Nestorius to describe the union of the divine and humanity in Christ. According to Cyril, the term ‘conjoin’ is better used to describe the relationship that anyone could have with God, being bonded as in holiness and virtue. He believes that Nestorius was against the orthodox position that Christ is one Person with two natures, the nature of God and the nature of man. He affirms this as the truth revealed by the mystery of incarnation and the very principle for the redemption of humanity. Cyril explains that the word union, ‘signifies the concurrence in one reality of those things which are understood to be united.’</w:t>
      </w:r>
      <w:r>
        <w:rPr>
          <w:rStyle w:val="FootnoteAnchor"/>
          <w:rFonts w:cs="Calibri" w:ascii="Calibri" w:hAnsi="Calibri"/>
          <w:sz w:val="24"/>
          <w:szCs w:val="24"/>
        </w:rPr>
        <w:footnoteReference w:id="11"/>
      </w:r>
    </w:p>
    <w:p>
      <w:pPr>
        <w:pStyle w:val="Normal"/>
        <w:spacing w:lineRule="auto" w:line="360"/>
        <w:rPr>
          <w:rFonts w:ascii="Calibri" w:hAnsi="Calibri"/>
          <w:sz w:val="24"/>
          <w:szCs w:val="24"/>
        </w:rPr>
      </w:pPr>
      <w:r>
        <w:rPr>
          <w:rFonts w:eastAsia="Calibri" w:cs="Calibri" w:ascii="Calibri" w:hAnsi="Calibri"/>
          <w:color w:val="000000"/>
          <w:sz w:val="24"/>
          <w:szCs w:val="24"/>
        </w:rPr>
        <w:t>Cyril argues that the union of the divinity and humanity was at the most fundamental of Christ's being, quoting, John 1. 14 ‘’</w:t>
      </w:r>
      <w:r>
        <w:rPr>
          <w:rFonts w:cs="Calibri" w:ascii="Calibri" w:hAnsi="Calibri"/>
          <w:sz w:val="24"/>
          <w:szCs w:val="24"/>
        </w:rPr>
        <w:t>And the Word became flesh and dwelt among us, and we beheld his glory, glory as of the Only-Begotten of the Father, full of grace and truth." The only begotten Word even though he was God and born of God by nature, it was He who became man. He argues that the two natures, in an inseparable union, met together in him indivisibly and without confusion. Greogry of Nazianzus supports this in his oration when he states that ‘Man and God blended, they became a single whole, the stronger side predominating’’.</w:t>
      </w:r>
      <w:r>
        <w:rPr>
          <w:rStyle w:val="FootnoteAnchor"/>
          <w:rFonts w:cs="Calibri" w:ascii="Calibri" w:hAnsi="Calibri"/>
          <w:sz w:val="24"/>
          <w:szCs w:val="24"/>
        </w:rPr>
        <w:footnoteReference w:id="12"/>
      </w:r>
    </w:p>
    <w:p>
      <w:pPr>
        <w:pStyle w:val="Normal"/>
        <w:spacing w:lineRule="auto" w:line="360"/>
        <w:rPr>
          <w:rFonts w:ascii="Calibri" w:hAnsi="Calibri"/>
          <w:sz w:val="24"/>
          <w:szCs w:val="24"/>
        </w:rPr>
      </w:pPr>
      <w:r>
        <w:rPr>
          <w:rFonts w:cs="Calibri" w:ascii="Calibri" w:hAnsi="Calibri"/>
          <w:sz w:val="24"/>
          <w:szCs w:val="24"/>
        </w:rPr>
        <w:t xml:space="preserve">In his essay titled </w:t>
      </w:r>
      <w:r>
        <w:rPr>
          <w:rFonts w:eastAsia="Aptos" w:cs="Calibri" w:ascii="Calibri" w:hAnsi="Calibri"/>
          <w:i/>
          <w:iCs/>
          <w:sz w:val="24"/>
          <w:szCs w:val="24"/>
        </w:rPr>
        <w:t xml:space="preserve">De Incarnatione Unigeniti, </w:t>
      </w:r>
      <w:r>
        <w:rPr>
          <w:rFonts w:eastAsia="Aptos" w:cs="Calibri" w:ascii="Calibri" w:hAnsi="Calibri"/>
          <w:sz w:val="24"/>
          <w:szCs w:val="24"/>
        </w:rPr>
        <w:t>Cyril asserts that’ ‘He who both before incarnation was very God and in human nature hath remain that He was and is and shall be.’</w:t>
      </w:r>
      <w:r>
        <w:rPr>
          <w:rStyle w:val="FootnoteAnchor"/>
          <w:rFonts w:eastAsia="Aptos" w:cs="Calibri" w:ascii="Calibri" w:hAnsi="Calibri"/>
          <w:sz w:val="24"/>
          <w:szCs w:val="24"/>
        </w:rPr>
        <w:footnoteReference w:id="13"/>
      </w:r>
      <w:r>
        <w:rPr>
          <w:rFonts w:eastAsia="Aptos" w:cs="Calibri" w:ascii="Calibri" w:hAnsi="Calibri"/>
          <w:sz w:val="24"/>
          <w:szCs w:val="24"/>
        </w:rPr>
        <w:t xml:space="preserve"> Cyril cautions against severing the One Jesus Christ into man separately and God separately. In Christ’s person there was true union, Hypostatic of the two natures.</w:t>
      </w:r>
    </w:p>
    <w:p>
      <w:pPr>
        <w:pStyle w:val="Normal"/>
        <w:spacing w:lineRule="auto" w:line="360"/>
        <w:rPr>
          <w:rFonts w:ascii="Calibri" w:hAnsi="Calibri" w:cs="Calibri"/>
          <w:sz w:val="24"/>
          <w:szCs w:val="24"/>
        </w:rPr>
      </w:pPr>
      <w:r>
        <w:rPr>
          <w:rFonts w:cs="Calibri" w:ascii="Calibri" w:hAnsi="Calibri"/>
          <w:sz w:val="24"/>
          <w:szCs w:val="24"/>
        </w:rPr>
        <w:t>Nestorius progresses in his argument to query that if the Word became flesh, then, he no longer remained the Word, but rather ceased to be what he was. Citing examples in the bible, Nestorius uses Lot’s wife, ‘became a pillar of salt’ (Genesis. 19.25) and Moses staff that ‘became a serpent’ in (Exodus. 4.3). In all these instances, a change of nature took place.</w:t>
      </w:r>
    </w:p>
    <w:p>
      <w:pPr>
        <w:pStyle w:val="Normal"/>
        <w:spacing w:lineRule="auto" w:line="360"/>
        <w:rPr>
          <w:rFonts w:ascii="Calibri" w:hAnsi="Calibri" w:cs="Calibri"/>
          <w:sz w:val="24"/>
          <w:szCs w:val="24"/>
        </w:rPr>
      </w:pPr>
      <w:r>
        <w:rPr>
          <w:rFonts w:cs="Calibri" w:ascii="Calibri" w:hAnsi="Calibri"/>
          <w:sz w:val="24"/>
          <w:szCs w:val="24"/>
        </w:rPr>
        <w:t xml:space="preserve">In his reaction to Nestorius argument, Cyril affirms the immutability of God and the reason for the Incarnation of the Word. He states that ‘God is unchangeable and did not change himself into flesh but took upon himself flesh. Quoting Hebrews 1. 3 which states that ‘The Son is the radiance of God’s glory and the exact representation of his being’. </w:t>
      </w:r>
    </w:p>
    <w:p>
      <w:pPr>
        <w:pStyle w:val="Normal"/>
        <w:spacing w:lineRule="auto" w:line="360"/>
        <w:rPr>
          <w:rFonts w:ascii="Calibri" w:hAnsi="Calibri" w:cs="Calibri"/>
          <w:sz w:val="24"/>
          <w:szCs w:val="24"/>
        </w:rPr>
      </w:pPr>
      <w:r>
        <w:rPr>
          <w:rFonts w:cs="Calibri" w:ascii="Calibri" w:hAnsi="Calibri"/>
          <w:sz w:val="24"/>
          <w:szCs w:val="24"/>
        </w:rPr>
        <w:t>And using Phil. 2. 5-8 to buttress his point, ‘Though he was in the form of God, did not consider equality with God something to be used to his own advantage: rather, he made himself nothing by taking the very nature of a servant, being made in human likeness; and being found in appearance as a man he humbled himself becoming obedient even to death, death on the cross’. Cyril also used Hebrew 12.2, ‘He submitted himself to being emptie</w:t>
      </w:r>
      <w:r>
        <w:rPr>
          <w:rFonts w:cs="Calibri" w:ascii="Calibri" w:hAnsi="Calibri"/>
          <w:sz w:val="24"/>
          <w:szCs w:val="24"/>
        </w:rPr>
        <w:t>d</w:t>
      </w:r>
      <w:r>
        <w:rPr>
          <w:rFonts w:cs="Calibri" w:ascii="Calibri" w:hAnsi="Calibri"/>
          <w:sz w:val="24"/>
          <w:szCs w:val="24"/>
        </w:rPr>
        <w:t xml:space="preserve">’, </w:t>
      </w:r>
    </w:p>
    <w:p>
      <w:pPr>
        <w:pStyle w:val="Normal"/>
        <w:spacing w:lineRule="auto" w:line="360"/>
        <w:rPr>
          <w:rFonts w:ascii="Calibri" w:hAnsi="Calibri" w:cs="Calibri"/>
          <w:sz w:val="24"/>
          <w:szCs w:val="24"/>
        </w:rPr>
      </w:pPr>
      <w:r>
        <w:rPr>
          <w:rFonts w:cs="Calibri" w:ascii="Calibri" w:hAnsi="Calibri"/>
          <w:sz w:val="24"/>
          <w:szCs w:val="24"/>
        </w:rPr>
        <w:t xml:space="preserve">According to </w:t>
      </w:r>
      <w:r>
        <w:rPr>
          <w:rFonts w:cs="Calibri" w:ascii="Calibri" w:hAnsi="Calibri"/>
          <w:sz w:val="24"/>
          <w:szCs w:val="24"/>
        </w:rPr>
        <w:t>Morgan</w:t>
      </w:r>
      <w:r>
        <w:rPr>
          <w:rFonts w:cs="Calibri" w:ascii="Calibri" w:hAnsi="Calibri"/>
          <w:sz w:val="24"/>
          <w:szCs w:val="24"/>
        </w:rPr>
        <w:t>, ‘Christ reveals the Father. He is the image by which man come to know the Father, whom no one knows but the Son and whom the Son is pleased to reveal.’’</w:t>
      </w:r>
      <w:r>
        <w:rPr>
          <w:rStyle w:val="FootnoteAnchor"/>
          <w:rFonts w:cs="Calibri" w:ascii="Calibri" w:hAnsi="Calibri"/>
          <w:sz w:val="24"/>
          <w:szCs w:val="24"/>
        </w:rPr>
        <w:footnoteReference w:id="14"/>
      </w:r>
    </w:p>
    <w:p>
      <w:pPr>
        <w:pStyle w:val="Normal"/>
        <w:spacing w:lineRule="auto" w:line="360"/>
        <w:rPr>
          <w:rFonts w:ascii="Calibri" w:hAnsi="Calibri" w:cs="Calibri"/>
          <w:sz w:val="26"/>
          <w:szCs w:val="26"/>
        </w:rPr>
      </w:pPr>
      <w:r>
        <w:rPr>
          <w:rFonts w:cs="Calibri" w:ascii="Calibri" w:hAnsi="Calibri"/>
          <w:b/>
          <w:bCs/>
          <w:sz w:val="26"/>
          <w:szCs w:val="26"/>
        </w:rPr>
        <w:t>Reason for the Incarnation of the Word</w:t>
      </w:r>
    </w:p>
    <w:p>
      <w:pPr>
        <w:pStyle w:val="Normal"/>
        <w:spacing w:lineRule="auto" w:line="360"/>
        <w:rPr>
          <w:rFonts w:ascii="Calibri" w:hAnsi="Calibri" w:cs="Calibri"/>
          <w:sz w:val="24"/>
          <w:szCs w:val="24"/>
        </w:rPr>
      </w:pPr>
      <w:r>
        <w:rPr>
          <w:rFonts w:cs="Calibri" w:ascii="Calibri" w:hAnsi="Calibri"/>
          <w:sz w:val="24"/>
          <w:szCs w:val="24"/>
        </w:rPr>
        <w:t>Cyril links his argument on the unity of the Word to soteriology and the economy of salvation. for which reason the Word became incarnate. In showing off his profound knowledge of the scripture, Cyril made use of many biblical references to support his argument.</w:t>
      </w:r>
    </w:p>
    <w:p>
      <w:pPr>
        <w:pStyle w:val="Normal"/>
        <w:spacing w:lineRule="auto" w:line="360"/>
        <w:rPr>
          <w:rFonts w:ascii="Calibri" w:hAnsi="Calibri"/>
          <w:sz w:val="24"/>
          <w:szCs w:val="24"/>
        </w:rPr>
      </w:pPr>
      <w:r>
        <w:rPr>
          <w:rFonts w:cs="Calibri" w:ascii="Calibri" w:hAnsi="Calibri"/>
          <w:sz w:val="24"/>
          <w:szCs w:val="24"/>
        </w:rPr>
        <w:t xml:space="preserve">Cyril asserts that before the incarnate Word, there were saints like Moses, but none was called Emmanuel. Though he was with the saints and his people as a helper. but it was not time for His manifestation in flesh and blood amongst his people. According to Galatians 4.4, ‘’But when the set time had fully come, God sent his Son, born of a woman, born under the law, to redeem those under the law, that we might receive adoption to sonship’’. By the grace of sonship, man became heavenly beings [64] and could freely call God, Father. John 1.12 states, </w:t>
      </w:r>
      <w:r>
        <w:rPr>
          <w:rFonts w:ascii="Calibri" w:hAnsi="Calibri"/>
          <w:sz w:val="24"/>
          <w:szCs w:val="24"/>
        </w:rPr>
        <w:t>"</w:t>
      </w:r>
      <w:r>
        <w:rPr>
          <w:rFonts w:cs="Calibri" w:ascii="Calibri" w:hAnsi="Calibri"/>
          <w:sz w:val="24"/>
          <w:szCs w:val="24"/>
        </w:rPr>
        <w:t>those that believed in his name, he gave them authority to become the children of God".</w:t>
      </w:r>
    </w:p>
    <w:p>
      <w:pPr>
        <w:pStyle w:val="Normal"/>
        <w:spacing w:lineRule="auto" w:line="360"/>
        <w:rPr>
          <w:rFonts w:ascii="Calibri" w:hAnsi="Calibri" w:cs="Calibri"/>
          <w:sz w:val="24"/>
          <w:szCs w:val="24"/>
        </w:rPr>
      </w:pPr>
      <w:r>
        <w:rPr>
          <w:rFonts w:cs="Calibri" w:ascii="Calibri" w:hAnsi="Calibri"/>
          <w:sz w:val="24"/>
          <w:szCs w:val="24"/>
        </w:rPr>
        <w:t>Cyril underlines that the Word ‘became like us in all things except sin’. He quotes Heb. 2. 14-17 to explain his statement,</w:t>
      </w:r>
    </w:p>
    <w:p>
      <w:pPr>
        <w:pStyle w:val="Normal"/>
        <w:spacing w:lineRule="auto" w:line="360"/>
        <w:rPr>
          <w:rFonts w:ascii="Calibri" w:hAnsi="Calibri"/>
          <w:sz w:val="24"/>
          <w:szCs w:val="24"/>
        </w:rPr>
      </w:pPr>
      <w:r>
        <w:rPr>
          <w:rFonts w:cs="Calibri" w:ascii="Calibri" w:hAnsi="Calibri"/>
          <w:sz w:val="24"/>
          <w:szCs w:val="24"/>
        </w:rPr>
        <w:t>‘</w:t>
      </w:r>
      <w:r>
        <w:rPr>
          <w:rFonts w:cs="Calibri" w:ascii="Calibri" w:hAnsi="Calibri"/>
          <w:sz w:val="24"/>
          <w:szCs w:val="24"/>
        </w:rPr>
        <w:t>Since the children have a common share in flesh and blood, he himself equally participated in these things so that through his death he could reduce to powerlessness the one who held the dominion of death, that is the devil, and that he might liberate those who all their lives were held in slavery by the fear of death’.</w:t>
      </w:r>
    </w:p>
    <w:p>
      <w:pPr>
        <w:pStyle w:val="Normal"/>
        <w:spacing w:lineRule="auto" w:line="360"/>
        <w:rPr>
          <w:rFonts w:ascii="Calibri" w:hAnsi="Calibri" w:cs="Calibri"/>
          <w:sz w:val="24"/>
          <w:szCs w:val="24"/>
        </w:rPr>
      </w:pPr>
      <w:r>
        <w:rPr>
          <w:rFonts w:cs="Calibri" w:ascii="Calibri" w:hAnsi="Calibri"/>
          <w:sz w:val="24"/>
          <w:szCs w:val="24"/>
        </w:rPr>
        <w:t>Cyril asserts that though the Word humbled Himself to manhood, taking his birth from a woman and revealing himself in flesh for the economy of salvation, He partook of flesh and blood like us and made our body his own without casting off his existence as God or his generation of God the Father. He retains his Divine nature. Cyril affirms that, ‘Christ remained Lord of all things even when he came, for the economy, in the form of a slave’[61]. He who is free in his own nature came in the form of a slave.</w:t>
      </w:r>
    </w:p>
    <w:p>
      <w:pPr>
        <w:pStyle w:val="Normal"/>
        <w:spacing w:lineRule="auto" w:line="360"/>
        <w:rPr>
          <w:rFonts w:ascii="Calibri" w:hAnsi="Calibri" w:cs="Calibri"/>
          <w:sz w:val="24"/>
          <w:szCs w:val="24"/>
        </w:rPr>
      </w:pPr>
      <w:r>
        <w:rPr>
          <w:rFonts w:cs="Calibri" w:ascii="Calibri" w:hAnsi="Calibri"/>
          <w:sz w:val="24"/>
          <w:szCs w:val="24"/>
        </w:rPr>
        <w:t>For Nestorius, it is fitting for the Word, to remain the begotten Son of God, but unfitting for Him to undergo a second birth from a woman. Cyril simply refers to his statement as, ‘Wholly devoid of any knowledge of the mystery of Christ’.</w:t>
      </w:r>
      <w:r>
        <w:rPr>
          <w:rStyle w:val="FootnoteAnchor"/>
          <w:rFonts w:cs="Calibri" w:ascii="Calibri" w:hAnsi="Calibri"/>
          <w:sz w:val="24"/>
          <w:szCs w:val="24"/>
        </w:rPr>
        <w:footnoteReference w:id="15"/>
      </w:r>
      <w:r>
        <w:rPr>
          <w:rFonts w:cs="Calibri" w:ascii="Calibri" w:hAnsi="Calibri"/>
          <w:sz w:val="24"/>
          <w:szCs w:val="24"/>
        </w:rPr>
        <w:t xml:space="preserve"> Cyril argues that it was the will of the Father to ‘engender the Word from himself in one single act of generation’. And, in His goodness and love also, to save humanity by means of incarnation.  So that through him sin in the flesh of humanity, could be condemned, and death destroyed.</w:t>
      </w:r>
    </w:p>
    <w:p>
      <w:pPr>
        <w:pStyle w:val="Normal"/>
        <w:spacing w:lineRule="auto" w:line="360"/>
        <w:rPr>
          <w:rFonts w:ascii="Calibri" w:hAnsi="Calibri"/>
          <w:sz w:val="24"/>
          <w:szCs w:val="24"/>
        </w:rPr>
      </w:pPr>
      <w:r>
        <w:rPr>
          <w:rFonts w:cs="Calibri" w:ascii="Calibri" w:hAnsi="Calibri"/>
          <w:sz w:val="24"/>
          <w:szCs w:val="24"/>
        </w:rPr>
        <w:t xml:space="preserve">Nestorius was of the view that the Only Begotten Word of God assumed a man of the lineage of king David and Abraham, formed him in the womb of the </w:t>
      </w:r>
      <w:r>
        <w:rPr>
          <w:rFonts w:cs="Calibri" w:ascii="Calibri" w:hAnsi="Calibri"/>
          <w:sz w:val="24"/>
          <w:szCs w:val="24"/>
        </w:rPr>
        <w:t>V</w:t>
      </w:r>
      <w:r>
        <w:rPr>
          <w:rFonts w:cs="Calibri" w:ascii="Calibri" w:hAnsi="Calibri"/>
          <w:sz w:val="24"/>
          <w:szCs w:val="24"/>
        </w:rPr>
        <w:t xml:space="preserve">irgin Mary, then he conjoined Himself to him. He argues that God made him come to </w:t>
      </w:r>
      <w:r>
        <w:rPr>
          <w:rFonts w:cs="Calibri" w:ascii="Calibri" w:hAnsi="Calibri"/>
          <w:sz w:val="24"/>
          <w:szCs w:val="24"/>
        </w:rPr>
        <w:t xml:space="preserve">the </w:t>
      </w:r>
      <w:r>
        <w:rPr>
          <w:rFonts w:cs="Calibri" w:ascii="Calibri" w:hAnsi="Calibri"/>
          <w:sz w:val="24"/>
          <w:szCs w:val="24"/>
        </w:rPr>
        <w:t>trail of death, raised him from death and then took him up to heaven and sits him at the right hand of the father. For Nestorius, in as much as the Word is inseparably conjoined to the decen</w:t>
      </w:r>
      <w:r>
        <w:rPr>
          <w:rFonts w:cs="Calibri" w:ascii="Calibri" w:hAnsi="Calibri"/>
          <w:sz w:val="24"/>
          <w:szCs w:val="24"/>
        </w:rPr>
        <w:t>dent</w:t>
      </w:r>
      <w:r>
        <w:rPr>
          <w:rFonts w:cs="Calibri" w:ascii="Calibri" w:hAnsi="Calibri"/>
          <w:sz w:val="24"/>
          <w:szCs w:val="24"/>
        </w:rPr>
        <w:t xml:space="preserve"> of David, he is worthy of worship as God. According to </w:t>
      </w:r>
      <w:r>
        <w:rPr>
          <w:rFonts w:cs="Calibri" w:ascii="Calibri" w:hAnsi="Calibri"/>
          <w:sz w:val="24"/>
          <w:szCs w:val="24"/>
        </w:rPr>
        <w:t>M</w:t>
      </w:r>
      <w:r>
        <w:rPr>
          <w:rFonts w:cs="Calibri" w:ascii="Calibri" w:hAnsi="Calibri"/>
          <w:sz w:val="24"/>
          <w:szCs w:val="24"/>
        </w:rPr>
        <w:t>cGuckin,</w:t>
      </w:r>
      <w:r>
        <w:rPr>
          <w:rFonts w:cs="Calibri" w:ascii="Calibri" w:hAnsi="Calibri"/>
          <w:sz w:val="24"/>
          <w:szCs w:val="24"/>
        </w:rPr>
        <w:t xml:space="preserve"> </w:t>
      </w:r>
      <w:r>
        <w:rPr>
          <w:rFonts w:cs="Calibri" w:ascii="Calibri" w:hAnsi="Calibri"/>
          <w:sz w:val="24"/>
          <w:szCs w:val="24"/>
        </w:rPr>
        <w:t>Nestorius</w:t>
      </w:r>
      <w:r>
        <w:rPr>
          <w:rFonts w:eastAsia="Calibri" w:cs="Calibri" w:ascii="Calibri" w:hAnsi="Calibri"/>
          <w:sz w:val="24"/>
          <w:szCs w:val="24"/>
        </w:rPr>
        <w:t xml:space="preserve"> famously said, "I hold the natures apart, but unite in worship." </w:t>
      </w:r>
      <w:r>
        <w:rPr>
          <w:rStyle w:val="FootnoteAnchor"/>
          <w:rFonts w:eastAsia="Calibri" w:cs="Calibri" w:ascii="Calibri" w:hAnsi="Calibri"/>
          <w:sz w:val="24"/>
          <w:szCs w:val="24"/>
        </w:rPr>
        <w:footnoteReference w:id="16"/>
      </w:r>
    </w:p>
    <w:p>
      <w:pPr>
        <w:pStyle w:val="Normal"/>
        <w:spacing w:lineRule="auto" w:line="360"/>
        <w:rPr>
          <w:rFonts w:ascii="Calibri" w:hAnsi="Calibri" w:eastAsia="Calibri" w:cs="Calibri"/>
          <w:color w:val="000000"/>
          <w:sz w:val="24"/>
          <w:szCs w:val="24"/>
        </w:rPr>
      </w:pPr>
      <w:r>
        <w:rPr>
          <w:rFonts w:eastAsia="Calibri" w:cs="Calibri" w:ascii="Calibri" w:hAnsi="Calibri"/>
          <w:color w:val="000000"/>
          <w:sz w:val="24"/>
          <w:szCs w:val="24"/>
        </w:rPr>
        <w:t>In my opinion, Nestorius seems to believe tha</w:t>
      </w:r>
      <w:r>
        <w:rPr>
          <w:rFonts w:eastAsia="Calibri" w:cs="Calibri" w:ascii="Calibri" w:hAnsi="Calibri"/>
          <w:color w:val="000000"/>
          <w:sz w:val="24"/>
          <w:szCs w:val="24"/>
        </w:rPr>
        <w:t>t the</w:t>
      </w:r>
      <w:r>
        <w:rPr>
          <w:rFonts w:eastAsia="Calibri" w:cs="Calibri" w:ascii="Calibri" w:hAnsi="Calibri"/>
          <w:color w:val="000000"/>
          <w:sz w:val="24"/>
          <w:szCs w:val="24"/>
        </w:rPr>
        <w:t xml:space="preserve"> Christian’</w:t>
      </w:r>
      <w:r>
        <w:rPr>
          <w:rFonts w:eastAsia="Calibri" w:cs="Calibri" w:ascii="Calibri" w:hAnsi="Calibri"/>
          <w:color w:val="000000"/>
          <w:sz w:val="24"/>
          <w:szCs w:val="24"/>
        </w:rPr>
        <w:t>s</w:t>
      </w:r>
      <w:r>
        <w:rPr>
          <w:rFonts w:eastAsia="Calibri" w:cs="Calibri" w:ascii="Calibri" w:hAnsi="Calibri"/>
          <w:color w:val="000000"/>
          <w:sz w:val="24"/>
          <w:szCs w:val="24"/>
        </w:rPr>
        <w:t xml:space="preserve"> worship the decen</w:t>
      </w:r>
      <w:r>
        <w:rPr>
          <w:rFonts w:eastAsia="Calibri" w:cs="Calibri" w:ascii="Calibri" w:hAnsi="Calibri"/>
          <w:color w:val="000000"/>
          <w:sz w:val="24"/>
          <w:szCs w:val="24"/>
        </w:rPr>
        <w:t>dent</w:t>
      </w:r>
      <w:r>
        <w:rPr>
          <w:rFonts w:eastAsia="Calibri" w:cs="Calibri" w:ascii="Calibri" w:hAnsi="Calibri"/>
          <w:color w:val="000000"/>
          <w:sz w:val="24"/>
          <w:szCs w:val="24"/>
        </w:rPr>
        <w:t xml:space="preserve"> of David conjoined with the Word, not the Begotten Son of God who took on flesh and made it his own. The Word was in the likeness and fashion of a man, even though he is God. </w:t>
      </w:r>
    </w:p>
    <w:p>
      <w:pPr>
        <w:pStyle w:val="Normal"/>
        <w:spacing w:lineRule="auto" w:line="360"/>
        <w:rPr>
          <w:rFonts w:ascii="Calibri" w:hAnsi="Calibri" w:cs="Calibri"/>
          <w:sz w:val="24"/>
          <w:szCs w:val="24"/>
        </w:rPr>
      </w:pPr>
      <w:r>
        <w:rPr>
          <w:rFonts w:cs="Calibri" w:ascii="Calibri" w:hAnsi="Calibri"/>
          <w:sz w:val="24"/>
          <w:szCs w:val="24"/>
        </w:rPr>
        <w:t>Responding to Nestorius conjoining of the Word to the man of the lineage of David, Cyril underlines that anything bestowed on someone can be rejected and anything externally introduced can be lost . He expresses fear that such teaching meant that the man conjoined with the Word becomes the object of worship by the angels and creation in general. Because he has been bestowed the title of sonship and divine honors. Cyril queried if the descendant of David conjoined with the Word could qualify him to deserve worship by creation. He used examples in the bible to support his argument. The psalmist in 63.8 states, ‘My soul is bo</w:t>
      </w:r>
      <w:r>
        <w:rPr>
          <w:rFonts w:cs="Calibri" w:ascii="Calibri" w:hAnsi="Calibri"/>
          <w:sz w:val="24"/>
          <w:szCs w:val="24"/>
        </w:rPr>
        <w:t>u</w:t>
      </w:r>
      <w:r>
        <w:rPr>
          <w:rFonts w:cs="Calibri" w:ascii="Calibri" w:hAnsi="Calibri"/>
          <w:sz w:val="24"/>
          <w:szCs w:val="24"/>
        </w:rPr>
        <w:t>nd to you’. The Apostle Paul in his letter to the Corinthians 1. 6.17, ‘Whosoever is bo</w:t>
      </w:r>
      <w:r>
        <w:rPr>
          <w:rFonts w:cs="Calibri" w:ascii="Calibri" w:hAnsi="Calibri"/>
          <w:sz w:val="24"/>
          <w:szCs w:val="24"/>
        </w:rPr>
        <w:t>u</w:t>
      </w:r>
      <w:r>
        <w:rPr>
          <w:rFonts w:cs="Calibri" w:ascii="Calibri" w:hAnsi="Calibri"/>
          <w:sz w:val="24"/>
          <w:szCs w:val="24"/>
        </w:rPr>
        <w:t>nd to the spirit is one with him'. Should these people also be worship</w:t>
      </w:r>
      <w:r>
        <w:rPr>
          <w:rFonts w:cs="Calibri" w:ascii="Calibri" w:hAnsi="Calibri"/>
          <w:sz w:val="24"/>
          <w:szCs w:val="24"/>
        </w:rPr>
        <w:t>p</w:t>
      </w:r>
      <w:r>
        <w:rPr>
          <w:rFonts w:cs="Calibri" w:ascii="Calibri" w:hAnsi="Calibri"/>
          <w:sz w:val="24"/>
          <w:szCs w:val="24"/>
        </w:rPr>
        <w:t xml:space="preserve">ed? Cyril queries. </w:t>
      </w:r>
    </w:p>
    <w:p>
      <w:pPr>
        <w:pStyle w:val="Normal"/>
        <w:spacing w:lineRule="auto" w:line="360"/>
        <w:rPr>
          <w:rFonts w:ascii="Calibri" w:hAnsi="Calibri"/>
          <w:sz w:val="24"/>
          <w:szCs w:val="24"/>
        </w:rPr>
      </w:pPr>
      <w:r>
        <w:rPr>
          <w:rFonts w:cs="Calibri" w:ascii="Calibri" w:hAnsi="Calibri"/>
          <w:sz w:val="24"/>
          <w:szCs w:val="24"/>
        </w:rPr>
        <w:t xml:space="preserve">Cyril, in his essay titled </w:t>
      </w:r>
      <w:r>
        <w:rPr>
          <w:rFonts w:eastAsia="Aptos" w:cs="Calibri" w:ascii="Calibri" w:hAnsi="Calibri"/>
          <w:i/>
          <w:iCs/>
          <w:sz w:val="24"/>
          <w:szCs w:val="24"/>
        </w:rPr>
        <w:t xml:space="preserve">De Incarnatione Unigeniti </w:t>
      </w:r>
      <w:r>
        <w:rPr>
          <w:rFonts w:eastAsia="Aptos" w:cs="Calibri" w:ascii="Calibri" w:hAnsi="Calibri"/>
          <w:sz w:val="24"/>
          <w:szCs w:val="24"/>
        </w:rPr>
        <w:t>cautions Christian</w:t>
      </w:r>
      <w:r>
        <w:rPr>
          <w:rFonts w:eastAsia="Aptos" w:cs="Calibri" w:ascii="Calibri" w:hAnsi="Calibri"/>
          <w:sz w:val="24"/>
          <w:szCs w:val="24"/>
        </w:rPr>
        <w:t xml:space="preserve">s to </w:t>
      </w:r>
      <w:r>
        <w:rPr>
          <w:rFonts w:eastAsia="Aptos" w:cs="Calibri" w:ascii="Calibri" w:hAnsi="Calibri"/>
          <w:sz w:val="24"/>
          <w:szCs w:val="24"/>
        </w:rPr>
        <w:t>believe, ‘’not in one like us hono</w:t>
      </w:r>
      <w:r>
        <w:rPr>
          <w:rFonts w:eastAsia="Aptos" w:cs="Calibri" w:ascii="Calibri" w:hAnsi="Calibri"/>
          <w:sz w:val="24"/>
          <w:szCs w:val="24"/>
        </w:rPr>
        <w:t>u</w:t>
      </w:r>
      <w:r>
        <w:rPr>
          <w:rFonts w:eastAsia="Aptos" w:cs="Calibri" w:ascii="Calibri" w:hAnsi="Calibri"/>
          <w:sz w:val="24"/>
          <w:szCs w:val="24"/>
        </w:rPr>
        <w:t>red with Godhead by grace, least believers be caught worshippers of a man, but rather in the Lord who appeared in a servant’s form, who was like us in human form, yet remained God.’</w:t>
      </w:r>
      <w:r>
        <w:rPr>
          <w:rFonts w:cs="Calibri" w:ascii="Calibri" w:hAnsi="Calibri"/>
          <w:sz w:val="24"/>
          <w:szCs w:val="24"/>
        </w:rPr>
        <w:t xml:space="preserve"> </w:t>
      </w:r>
      <w:r>
        <w:rPr>
          <w:rStyle w:val="FootnoteAnchor"/>
          <w:rFonts w:cs="Calibri" w:ascii="Calibri" w:hAnsi="Calibri"/>
          <w:sz w:val="24"/>
          <w:szCs w:val="24"/>
        </w:rPr>
        <w:footnoteReference w:id="17"/>
      </w:r>
      <w:r>
        <w:rPr>
          <w:rFonts w:cs="Calibri" w:ascii="Calibri" w:hAnsi="Calibri"/>
          <w:sz w:val="24"/>
          <w:szCs w:val="24"/>
        </w:rPr>
        <w:t>Cyril feels that the teachings of Nestorius could cause the Christian religion to lose its deserving respect and approval. He refers to this teaching as representing ‘the ultimate in ’Sacrilege and impiety’.</w:t>
      </w:r>
    </w:p>
    <w:p>
      <w:pPr>
        <w:pStyle w:val="Normal"/>
        <w:spacing w:lineRule="auto" w:line="360"/>
        <w:rPr>
          <w:rFonts w:ascii="Calibri" w:hAnsi="Calibri" w:cs="Calibri"/>
          <w:sz w:val="24"/>
          <w:szCs w:val="24"/>
        </w:rPr>
      </w:pPr>
      <w:r>
        <w:rPr>
          <w:rFonts w:cs="Calibri" w:ascii="Calibri" w:hAnsi="Calibri"/>
          <w:sz w:val="24"/>
          <w:szCs w:val="24"/>
        </w:rPr>
        <w:t xml:space="preserve">Cyril’s defensive argument on the reason for the incarnation of the Word, the assumption of flesh in the God-Man is mainly centered around salvation, redemption and worship. He maintains that the mystery of Christ is so incredibly wonderful that it runs the risk of disbelieve. </w:t>
      </w:r>
    </w:p>
    <w:p>
      <w:pPr>
        <w:pStyle w:val="Normal"/>
        <w:spacing w:lineRule="auto" w:line="360"/>
        <w:rPr>
          <w:rFonts w:ascii="Calibri" w:hAnsi="Calibri" w:cs="Calibri"/>
          <w:sz w:val="24"/>
          <w:szCs w:val="24"/>
        </w:rPr>
      </w:pPr>
      <w:r>
        <w:rPr>
          <w:rFonts w:cs="Calibri" w:ascii="Calibri" w:hAnsi="Calibri"/>
          <w:sz w:val="24"/>
          <w:szCs w:val="24"/>
        </w:rPr>
        <w:t>On the economy of salvation, the Word became flesh when it was time for God to fulfil His will on earth. Cyril affirms that Christ became flesh to be a model in all things, showing humanity the path to every good work. Christ suffered, was hungry, was thirsty, he prayed leaving an example that man might follow in his steps. He humbled himself to go through all he did for man’s sake. According to Cyril, the incarnation was necessary also, for man to know how to behave when they decide to live an ‘hono</w:t>
      </w:r>
      <w:r>
        <w:rPr>
          <w:rFonts w:cs="Calibri" w:ascii="Calibri" w:hAnsi="Calibri"/>
          <w:sz w:val="24"/>
          <w:szCs w:val="24"/>
        </w:rPr>
        <w:t>u</w:t>
      </w:r>
      <w:r>
        <w:rPr>
          <w:rFonts w:cs="Calibri" w:ascii="Calibri" w:hAnsi="Calibri"/>
          <w:sz w:val="24"/>
          <w:szCs w:val="24"/>
        </w:rPr>
        <w:t xml:space="preserve">rable life in exemplary conduct’ (A holy life). </w:t>
      </w:r>
    </w:p>
    <w:p>
      <w:pPr>
        <w:pStyle w:val="Normal"/>
        <w:spacing w:lineRule="auto" w:line="360"/>
        <w:rPr>
          <w:rFonts w:ascii="Calibri" w:hAnsi="Calibri" w:cs="Calibri"/>
          <w:sz w:val="24"/>
          <w:szCs w:val="24"/>
        </w:rPr>
      </w:pPr>
      <w:r>
        <w:rPr>
          <w:rFonts w:cs="Calibri" w:ascii="Calibri" w:hAnsi="Calibri"/>
          <w:sz w:val="24"/>
          <w:szCs w:val="24"/>
        </w:rPr>
        <w:t>1 Peter 2. 20, ’But how is it to your credit if you receive a beating for doing wrong and endure it? But if you suffer for doing good, and you endure it, this is commendable before God.’</w:t>
      </w:r>
    </w:p>
    <w:p>
      <w:pPr>
        <w:pStyle w:val="Normal"/>
        <w:spacing w:lineRule="auto" w:line="360"/>
        <w:rPr>
          <w:rFonts w:ascii="Calibri" w:hAnsi="Calibri" w:cs="Calibri"/>
          <w:sz w:val="24"/>
          <w:szCs w:val="24"/>
        </w:rPr>
      </w:pPr>
      <w:r>
        <w:rPr>
          <w:rFonts w:cs="Calibri" w:ascii="Calibri" w:hAnsi="Calibri"/>
          <w:sz w:val="24"/>
          <w:szCs w:val="24"/>
        </w:rPr>
        <w:t>For Cyril, Christ was able to employ the limitations of manhood. He shed tears at times as one needing a Savio</w:t>
      </w:r>
      <w:r>
        <w:rPr>
          <w:rFonts w:cs="Calibri" w:ascii="Calibri" w:hAnsi="Calibri"/>
          <w:sz w:val="24"/>
          <w:szCs w:val="24"/>
        </w:rPr>
        <w:t>u</w:t>
      </w:r>
      <w:r>
        <w:rPr>
          <w:rFonts w:cs="Calibri" w:ascii="Calibri" w:hAnsi="Calibri"/>
          <w:sz w:val="24"/>
          <w:szCs w:val="24"/>
        </w:rPr>
        <w:t>r himself, he humbled himself and learnt obedience despite being the Son of God. All that Christ suffered was for humanity’s sake. When Christ suffered, died, was crucified, died, buried and rose again. It is not that he suffered in his own nature, for the divine nature is incapable of suffering because it is incorporeal. But he makes his own the sufferings of its own flesh, because its own is the body and not another’s and it shares with its own flesh the operation of the divine power that is within it. In line with Cyril’s argument, Gregory in his oration recites that Christ ‘’as man was put to the test, but as God he came through victorious.’’</w:t>
      </w:r>
    </w:p>
    <w:p>
      <w:pPr>
        <w:pStyle w:val="Normal"/>
        <w:spacing w:lineRule="auto" w:line="360"/>
        <w:rPr>
          <w:rFonts w:ascii="Calibri" w:hAnsi="Calibri" w:cs="Calibri"/>
          <w:sz w:val="24"/>
          <w:szCs w:val="24"/>
        </w:rPr>
      </w:pPr>
      <w:r>
        <w:rPr>
          <w:rFonts w:cs="Calibri" w:ascii="Calibri" w:hAnsi="Calibri"/>
          <w:sz w:val="24"/>
          <w:szCs w:val="24"/>
        </w:rPr>
        <w:t>For Cyril, all the human things including his body in flesh all belong to Christ by an economic appropriation. But for Nestorius this is not so, he argues that the only begotten Son became incarnate not to suffer the things of man in his own nature as it would be impossible due to his divine nature. But the man from the descendent of David who was conjoined to him in an equal honor could rightly suffer death. To Cyril, Nestorius teaching aims to exclude Christ from the economy and bring in someone alien, bestowed with external glories, hono</w:t>
      </w:r>
      <w:r>
        <w:rPr>
          <w:rFonts w:cs="Calibri" w:ascii="Calibri" w:hAnsi="Calibri"/>
          <w:sz w:val="24"/>
          <w:szCs w:val="24"/>
        </w:rPr>
        <w:t>u</w:t>
      </w:r>
      <w:r>
        <w:rPr>
          <w:rFonts w:cs="Calibri" w:ascii="Calibri" w:hAnsi="Calibri"/>
          <w:sz w:val="24"/>
          <w:szCs w:val="24"/>
        </w:rPr>
        <w:t>red with the title Godhead.</w:t>
      </w:r>
    </w:p>
    <w:p>
      <w:pPr>
        <w:pStyle w:val="Normal"/>
        <w:spacing w:lineRule="auto" w:line="360"/>
        <w:rPr>
          <w:rFonts w:ascii="Calibri" w:hAnsi="Calibri"/>
          <w:sz w:val="24"/>
          <w:szCs w:val="24"/>
        </w:rPr>
      </w:pPr>
      <w:r>
        <w:rPr>
          <w:rFonts w:cs="Calibri" w:ascii="Calibri" w:hAnsi="Calibri"/>
          <w:sz w:val="24"/>
          <w:szCs w:val="24"/>
        </w:rPr>
        <w:t>The o</w:t>
      </w:r>
      <w:r>
        <w:rPr>
          <w:rFonts w:cs="Calibri" w:ascii="Calibri" w:hAnsi="Calibri"/>
          <w:sz w:val="24"/>
          <w:szCs w:val="24"/>
        </w:rPr>
        <w:t xml:space="preserve">ther reason outlined by Cyril for the incarnation is for the redemption and restoration of man to its original state. Adam, the first man, had sinned and fallen into corruption resulting in the anger of God been transferred to humanity. To ‘shake off the gloomy dominion of death’, Christ came as the second Adam to remedy the judgement of death passed on to man. In Christ the sinful nature of man is made free from judgement, all things were made new and man restored to its original state. Just as man died in Adam, so all is made alive in Christ. He is life born from the life of the Father. He uses 1 Cor. 15. 45 to support his statement, </w:t>
      </w:r>
      <w:r>
        <w:rPr>
          <w:rFonts w:ascii="Calibri" w:hAnsi="Calibri"/>
          <w:sz w:val="24"/>
          <w:szCs w:val="24"/>
        </w:rPr>
        <w:t>"</w:t>
      </w:r>
      <w:r>
        <w:rPr>
          <w:rFonts w:cs="Calibri" w:ascii="Calibri" w:hAnsi="Calibri"/>
          <w:sz w:val="24"/>
          <w:szCs w:val="24"/>
        </w:rPr>
        <w:t>The first man, Adam, was made a living soul; the last Adam a life-giving spirit". To give life is not a human act, but an act of God. He made his very own, a body capable of tasting death and capable of coming back to life again. 1 Cor. 15.22. ‘’For as in Adam all die, so in Christ all will be made alive’’.</w:t>
      </w:r>
    </w:p>
    <w:p>
      <w:pPr>
        <w:pStyle w:val="Normal"/>
        <w:spacing w:lineRule="auto" w:line="360"/>
        <w:rPr>
          <w:rFonts w:ascii="Calibri" w:hAnsi="Calibri" w:cs="Calibri"/>
          <w:sz w:val="24"/>
          <w:szCs w:val="24"/>
        </w:rPr>
      </w:pPr>
      <w:r>
        <w:rPr>
          <w:rFonts w:cs="Calibri" w:ascii="Calibri" w:hAnsi="Calibri"/>
          <w:sz w:val="24"/>
          <w:szCs w:val="24"/>
        </w:rPr>
        <w:t>Gregory of Nazianzus underlines the economy of salvation of Christ by reciting that, ‘As Sheep he is led to the slaughter, yet he shepherds Israel and now the whole world as well. He surrenders his life, yet he has the power to take it again. He goes down to Hades, yet he leads souls up, ascends to heaven and will come to judge the world.’’</w:t>
      </w:r>
      <w:r>
        <w:rPr>
          <w:rStyle w:val="FootnoteAnchor"/>
          <w:rFonts w:cs="Calibri" w:ascii="Calibri" w:hAnsi="Calibri"/>
          <w:sz w:val="24"/>
          <w:szCs w:val="24"/>
        </w:rPr>
        <w:footnoteReference w:id="18"/>
      </w:r>
    </w:p>
    <w:p>
      <w:pPr>
        <w:pStyle w:val="Normal"/>
        <w:spacing w:lineRule="auto" w:line="360"/>
        <w:rPr>
          <w:rFonts w:ascii="Calibri" w:hAnsi="Calibri"/>
          <w:sz w:val="24"/>
          <w:szCs w:val="24"/>
        </w:rPr>
      </w:pPr>
      <w:r>
        <w:rPr>
          <w:rFonts w:cs="Calibri" w:ascii="Calibri" w:hAnsi="Calibri"/>
          <w:sz w:val="24"/>
          <w:szCs w:val="24"/>
        </w:rPr>
        <w:t xml:space="preserve">Christ appropriated </w:t>
      </w:r>
      <w:r>
        <w:rPr>
          <w:rFonts w:ascii="Calibri" w:hAnsi="Calibri"/>
          <w:sz w:val="24"/>
          <w:szCs w:val="24"/>
        </w:rPr>
        <w:t xml:space="preserve">everything that belonged to his own flesh, while ever remaining impassible in the nature of the Godhead. For this reason, Cyril believes Christ is worthy of all worship according to Phil. 2. 10-11, "every knee shall bend before him, and every tongue shall confess that Jesus Christ is Lord, to the glory of God the Father" </w:t>
      </w:r>
    </w:p>
    <w:p>
      <w:pPr>
        <w:pStyle w:val="Normal"/>
        <w:spacing w:lineRule="auto" w:line="360"/>
        <w:rPr>
          <w:rFonts w:ascii="Calibri" w:hAnsi="Calibri" w:eastAsia="Aptos" w:cs="Calibri"/>
          <w:sz w:val="26"/>
          <w:szCs w:val="26"/>
        </w:rPr>
      </w:pPr>
      <w:r>
        <w:rPr>
          <w:rFonts w:eastAsia="Aptos" w:cs="Calibri" w:ascii="Calibri" w:hAnsi="Calibri"/>
          <w:b/>
          <w:bCs/>
          <w:sz w:val="26"/>
          <w:szCs w:val="26"/>
        </w:rPr>
        <w:t>Conclusion</w:t>
      </w:r>
    </w:p>
    <w:p>
      <w:pPr>
        <w:pStyle w:val="Normal"/>
        <w:spacing w:lineRule="auto" w:line="360"/>
        <w:rPr>
          <w:rFonts w:ascii="Calibri" w:hAnsi="Calibri"/>
          <w:sz w:val="24"/>
          <w:szCs w:val="24"/>
        </w:rPr>
      </w:pPr>
      <w:r>
        <w:rPr>
          <w:rFonts w:cs="Calibri" w:ascii="Calibri" w:hAnsi="Calibri"/>
          <w:color w:val="333333"/>
          <w:sz w:val="24"/>
          <w:szCs w:val="24"/>
          <w:highlight w:val="white"/>
        </w:rPr>
        <w:t>For Cyril, the incarnation is a mystery beyond human ability to fully comprehend. What one believes by faith is not always what one can fully grasp with the mind.</w:t>
      </w:r>
      <w:r>
        <w:rPr>
          <w:rFonts w:eastAsia="Aptos" w:cs="Calibri" w:ascii="Calibri" w:hAnsi="Calibri"/>
          <w:sz w:val="24"/>
          <w:szCs w:val="24"/>
        </w:rPr>
        <w:t xml:space="preserve"> Cyril’s primary concern for putting forward his Christological argument is for believers to know that Jesus Christ is the Only Begotten Son of God who became man while remaining what he had always been from eternity. That the Son who pre-existed with the father is the same one who was born of the holy </w:t>
      </w:r>
      <w:r>
        <w:rPr>
          <w:rFonts w:eastAsia="Aptos" w:cs="Calibri" w:ascii="Calibri" w:hAnsi="Calibri"/>
          <w:sz w:val="24"/>
          <w:szCs w:val="24"/>
        </w:rPr>
        <w:t>V</w:t>
      </w:r>
      <w:r>
        <w:rPr>
          <w:rFonts w:eastAsia="Aptos" w:cs="Calibri" w:ascii="Calibri" w:hAnsi="Calibri"/>
          <w:sz w:val="24"/>
          <w:szCs w:val="24"/>
        </w:rPr>
        <w:t xml:space="preserve">irgin Mary, to save and redeem humanity from the judgement of death that was passed on him due to sin. Cyril urges that the enfleshed Word was in the likeness of men, since even though he was God he was in the fashion of a man. ‘He was God in an appearance like ours, and the Lord in the form of a slave. </w:t>
      </w:r>
      <w:r>
        <w:rPr>
          <w:rFonts w:cs="Calibri" w:ascii="Calibri" w:hAnsi="Calibri"/>
          <w:sz w:val="24"/>
          <w:szCs w:val="24"/>
        </w:rPr>
        <w:t xml:space="preserve">He humbled himself and became obedient to death, death on a cross.’  One who knew no sin, came to transmit the grace of sonship to man, so that humanity can become children of the Spirit. ‘So that man like Christ, might be able to call God, Father and remain free from the corruption owed by Adam, man’s first father’. </w:t>
      </w:r>
    </w:p>
    <w:p>
      <w:pPr>
        <w:pStyle w:val="Normal"/>
        <w:spacing w:lineRule="auto" w:line="360"/>
        <w:rPr>
          <w:rFonts w:ascii="Calibri" w:hAnsi="Calibri"/>
          <w:sz w:val="24"/>
          <w:szCs w:val="24"/>
        </w:rPr>
      </w:pPr>
      <w:r>
        <w:rPr>
          <w:rFonts w:eastAsia="Aptos" w:cs="Calibri" w:ascii="Calibri" w:hAnsi="Calibri"/>
          <w:sz w:val="24"/>
          <w:szCs w:val="24"/>
        </w:rPr>
        <w:t>Cyril’s central thesis is that Christ is truly divine and truly human as one, whole and undivided person. This refutes the teachings of Nestorius, who argues that the incarnate Word was alongside a separate man, from the descendent of David, with whom he shares the same body. Cyril believed that If Christ’s passion, sufferings and saving acts were not</w:t>
      </w:r>
      <w:r>
        <w:rPr>
          <w:rFonts w:cs="Calibri" w:ascii="Calibri" w:hAnsi="Calibri"/>
          <w:sz w:val="24"/>
          <w:szCs w:val="24"/>
        </w:rPr>
        <w:t xml:space="preserve"> </w:t>
      </w:r>
      <w:r>
        <w:rPr>
          <w:rFonts w:eastAsia="Aptos" w:cs="Calibri" w:ascii="Calibri" w:hAnsi="Calibri"/>
          <w:sz w:val="24"/>
          <w:szCs w:val="24"/>
        </w:rPr>
        <w:t>those of the Word incarnate but of a mere man (descendant of David), there was no redemption for mankind race.</w:t>
      </w:r>
    </w:p>
    <w:p>
      <w:pPr>
        <w:pStyle w:val="Normal"/>
        <w:spacing w:lineRule="auto" w:line="360"/>
        <w:rPr>
          <w:rFonts w:ascii="Calibri" w:hAnsi="Calibri"/>
          <w:sz w:val="24"/>
          <w:szCs w:val="24"/>
        </w:rPr>
      </w:pPr>
      <w:r>
        <w:rPr>
          <w:rFonts w:eastAsia="Aptos" w:cs="Calibri" w:ascii="Calibri" w:hAnsi="Calibri"/>
          <w:sz w:val="24"/>
          <w:szCs w:val="24"/>
        </w:rPr>
        <w:t xml:space="preserve">                                                            </w:t>
      </w:r>
    </w:p>
    <w:p>
      <w:pPr>
        <w:pStyle w:val="Normal"/>
        <w:spacing w:lineRule="auto" w:line="360"/>
        <w:rPr>
          <w:rFonts w:ascii="Calibri" w:hAnsi="Calibri"/>
          <w:sz w:val="24"/>
          <w:szCs w:val="24"/>
        </w:rPr>
      </w:pPr>
      <w:r>
        <w:rPr>
          <w:rFonts w:eastAsia="Aptos" w:cs="Calibri" w:ascii="Calibri" w:hAnsi="Calibri"/>
          <w:sz w:val="24"/>
          <w:szCs w:val="24"/>
        </w:rPr>
        <w:t xml:space="preserve">                                                                                                                                            </w:t>
      </w:r>
      <w:r>
        <w:rPr>
          <w:rFonts w:eastAsia="Aptos" w:cs="Calibri" w:ascii="Calibri" w:hAnsi="Calibri"/>
          <w:b/>
          <w:bCs/>
          <w:sz w:val="24"/>
          <w:szCs w:val="24"/>
        </w:rPr>
        <w:t>word count 4,233</w:t>
      </w:r>
    </w:p>
    <w:p>
      <w:pPr>
        <w:pStyle w:val="Normal"/>
        <w:spacing w:lineRule="auto" w:line="360"/>
        <w:rPr>
          <w:rFonts w:eastAsia="Aptos" w:cs="Calibri"/>
          <w:b/>
          <w:b/>
          <w:bCs/>
        </w:rPr>
      </w:pPr>
      <w:r>
        <w:rPr>
          <w:rFonts w:ascii="Calibri" w:hAnsi="Calibri"/>
          <w:sz w:val="24"/>
          <w:szCs w:val="24"/>
        </w:rPr>
      </w:r>
    </w:p>
    <w:p>
      <w:pPr>
        <w:pStyle w:val="Normal"/>
        <w:spacing w:lineRule="auto" w:line="360"/>
        <w:rPr>
          <w:rFonts w:eastAsia="Aptos" w:cs="Calibri"/>
          <w:b/>
          <w:b/>
          <w:bCs/>
        </w:rPr>
      </w:pPr>
      <w:r>
        <w:rPr>
          <w:rFonts w:ascii="Calibri" w:hAnsi="Calibri"/>
          <w:sz w:val="24"/>
          <w:szCs w:val="24"/>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ascii="Calibri" w:hAnsi="Calibri"/>
          <w:sz w:val="26"/>
          <w:szCs w:val="26"/>
        </w:rPr>
      </w:pPr>
      <w:r>
        <w:rPr>
          <w:rFonts w:eastAsia="Aptos" w:cs="Calibri" w:ascii="Calibri" w:hAnsi="Calibri"/>
          <w:b/>
          <w:bCs/>
          <w:sz w:val="26"/>
          <w:szCs w:val="26"/>
        </w:rPr>
        <w:t>References</w:t>
      </w:r>
    </w:p>
    <w:p>
      <w:pPr>
        <w:pStyle w:val="Normal"/>
        <w:spacing w:lineRule="auto" w:line="360"/>
        <w:rPr>
          <w:rFonts w:ascii="Calibri" w:hAnsi="Calibri"/>
          <w:sz w:val="24"/>
          <w:szCs w:val="24"/>
        </w:rPr>
      </w:pPr>
      <w:r>
        <w:rPr>
          <w:rFonts w:eastAsia="Aptos" w:cs="Calibri" w:ascii="Calibri" w:hAnsi="Calibri"/>
          <w:sz w:val="24"/>
          <w:szCs w:val="24"/>
        </w:rPr>
        <w:t>Artemi E, ‘</w:t>
      </w:r>
      <w:r>
        <w:rPr>
          <w:rFonts w:eastAsia="Aptos" w:cs="Calibri" w:ascii="Calibri" w:hAnsi="Calibri"/>
          <w:i/>
          <w:iCs/>
          <w:sz w:val="24"/>
          <w:szCs w:val="24"/>
        </w:rPr>
        <w:t>The Virgin Mary, Theotokos, and Christ, true God and true man. The Mystery of Incarnation</w:t>
      </w:r>
      <w:r>
        <w:rPr>
          <w:rFonts w:eastAsia="Aptos" w:cs="Calibri" w:ascii="Calibri" w:hAnsi="Calibri"/>
          <w:sz w:val="24"/>
          <w:szCs w:val="24"/>
        </w:rPr>
        <w:t xml:space="preserve"> according to Cyril of Alexandria.</w:t>
      </w:r>
      <w:r>
        <w:rPr>
          <w:rFonts w:cs="Calibri" w:ascii="Calibri" w:hAnsi="Calibri"/>
          <w:color w:val="333333"/>
          <w:sz w:val="24"/>
          <w:szCs w:val="24"/>
        </w:rPr>
        <w:t xml:space="preserve"> (Mirabilia Electronic Journal of Antiquity and Middle Ages. 2013)</w:t>
      </w:r>
    </w:p>
    <w:p>
      <w:pPr>
        <w:pStyle w:val="Normal"/>
        <w:shd w:fill="FFFFFF" w:val="clear"/>
        <w:spacing w:lineRule="auto" w:line="360"/>
        <w:rPr>
          <w:rFonts w:ascii="Calibri" w:hAnsi="Calibri"/>
          <w:sz w:val="24"/>
          <w:szCs w:val="24"/>
        </w:rPr>
      </w:pPr>
      <w:r>
        <w:rPr>
          <w:rFonts w:cs="Calibri" w:ascii="Calibri" w:hAnsi="Calibri"/>
          <w:color w:val="333333"/>
          <w:sz w:val="24"/>
          <w:szCs w:val="24"/>
        </w:rPr>
        <w:t>McGuckin J.A, ‘</w:t>
      </w:r>
      <w:r>
        <w:rPr>
          <w:rFonts w:cs="Calibri" w:ascii="Calibri" w:hAnsi="Calibri"/>
          <w:i/>
          <w:iCs/>
          <w:color w:val="333333"/>
          <w:sz w:val="24"/>
          <w:szCs w:val="24"/>
        </w:rPr>
        <w:t xml:space="preserve">St. Cyril of Alexandria: Christological Controversy’, its History, Theology, and Texts </w:t>
      </w:r>
      <w:r>
        <w:rPr>
          <w:rFonts w:cs="Calibri" w:ascii="Calibri" w:hAnsi="Calibri"/>
          <w:color w:val="333333"/>
          <w:sz w:val="24"/>
          <w:szCs w:val="24"/>
        </w:rPr>
        <w:t>(New York: E.J. Brill, 1994)</w:t>
      </w:r>
    </w:p>
    <w:p>
      <w:pPr>
        <w:pStyle w:val="Normal"/>
        <w:shd w:fill="FFFFFF" w:val="clear"/>
        <w:spacing w:lineRule="auto" w:line="360"/>
        <w:rPr>
          <w:rFonts w:ascii="Calibri" w:hAnsi="Calibri"/>
          <w:sz w:val="24"/>
          <w:szCs w:val="24"/>
        </w:rPr>
      </w:pPr>
      <w:r>
        <w:rPr>
          <w:rFonts w:cs="Calibri" w:ascii="Calibri" w:hAnsi="Calibri"/>
          <w:color w:val="333333"/>
          <w:sz w:val="24"/>
          <w:szCs w:val="24"/>
        </w:rPr>
        <w:t>Morgan J., ‘</w:t>
      </w:r>
      <w:r>
        <w:rPr>
          <w:rFonts w:cs="Calibri" w:ascii="Calibri" w:hAnsi="Calibri"/>
          <w:i/>
          <w:iCs/>
          <w:color w:val="333333"/>
          <w:sz w:val="24"/>
          <w:szCs w:val="24"/>
        </w:rPr>
        <w:t>The Unity of Christ in Cyril of Alexandria’s Festal Letters’</w:t>
      </w:r>
      <w:r>
        <w:rPr>
          <w:rFonts w:cs="Calibri" w:ascii="Calibri" w:hAnsi="Calibri"/>
          <w:color w:val="333333"/>
          <w:sz w:val="24"/>
          <w:szCs w:val="24"/>
        </w:rPr>
        <w:t>. (Cambridge University Press:2023)</w:t>
      </w:r>
    </w:p>
    <w:p>
      <w:pPr>
        <w:pStyle w:val="Normal"/>
        <w:shd w:fill="FFFFFF" w:val="clear"/>
        <w:spacing w:lineRule="auto" w:line="360"/>
        <w:rPr>
          <w:rFonts w:ascii="Calibri" w:hAnsi="Calibri" w:cs="Calibri"/>
          <w:color w:val="333333"/>
          <w:sz w:val="24"/>
          <w:szCs w:val="24"/>
        </w:rPr>
      </w:pPr>
      <w:r>
        <w:rPr>
          <w:rFonts w:cs="Calibri" w:ascii="Calibri" w:hAnsi="Calibri"/>
          <w:color w:val="333333"/>
          <w:sz w:val="24"/>
          <w:szCs w:val="24"/>
        </w:rPr>
        <w:t>St Cyril of Alexandria, On the Unity of Christ, trans. John McGuckin Crestwood, (New York: St Vladimir’s Seminary Press, 1995)</w:t>
      </w:r>
    </w:p>
    <w:p>
      <w:pPr>
        <w:pStyle w:val="Normal"/>
        <w:spacing w:lineRule="auto" w:line="360"/>
        <w:rPr>
          <w:rFonts w:ascii="Calibri" w:hAnsi="Calibri"/>
          <w:b w:val="false"/>
          <w:b w:val="false"/>
          <w:bCs w:val="false"/>
          <w:color w:val="000000"/>
          <w:sz w:val="24"/>
          <w:szCs w:val="24"/>
        </w:rPr>
      </w:pPr>
      <w:r>
        <w:rPr>
          <w:rFonts w:eastAsia="Aptos" w:cs="Calibri" w:ascii="Calibri" w:hAnsi="Calibri"/>
          <w:b w:val="false"/>
          <w:bCs w:val="false"/>
          <w:color w:val="000000"/>
          <w:sz w:val="24"/>
          <w:szCs w:val="24"/>
        </w:rPr>
        <w:t>St. Gregory of Nazianzus, ‘</w:t>
      </w:r>
      <w:r>
        <w:rPr>
          <w:rFonts w:eastAsia="Aptos" w:cs="Calibri" w:ascii="Calibri" w:hAnsi="Calibri"/>
          <w:b w:val="false"/>
          <w:bCs w:val="false"/>
          <w:i/>
          <w:iCs/>
          <w:color w:val="000000"/>
          <w:sz w:val="24"/>
          <w:szCs w:val="24"/>
        </w:rPr>
        <w:t xml:space="preserve">On God and Christ’. ‘The five theological Orations and Two Letters to Cledonius. </w:t>
      </w:r>
      <w:r>
        <w:rPr>
          <w:rFonts w:eastAsia="Aptos" w:cs="Calibri" w:ascii="Calibri" w:hAnsi="Calibri"/>
          <w:b w:val="false"/>
          <w:bCs w:val="false"/>
          <w:color w:val="000000"/>
          <w:sz w:val="24"/>
          <w:szCs w:val="24"/>
        </w:rPr>
        <w:t>Trans. Fredick Williams (New York 10707: St. Vladimir’s Seminary press, Crestwood)</w:t>
      </w:r>
      <w:r>
        <w:rPr>
          <w:rFonts w:cs="Calibri" w:ascii="Calibri" w:hAnsi="Calibri"/>
          <w:b w:val="false"/>
          <w:bCs w:val="false"/>
          <w:color w:val="000000"/>
          <w:sz w:val="24"/>
          <w:szCs w:val="24"/>
        </w:rPr>
        <w:t xml:space="preserve"> </w:t>
      </w:r>
    </w:p>
    <w:p>
      <w:pPr>
        <w:pStyle w:val="Normal"/>
        <w:spacing w:lineRule="auto" w:line="360"/>
        <w:rPr>
          <w:rFonts w:ascii="Calibri" w:hAnsi="Calibri" w:eastAsia="Aptos" w:cs="Calibri"/>
          <w:b w:val="false"/>
          <w:b w:val="false"/>
          <w:bCs w:val="false"/>
          <w:color w:val="000000"/>
          <w:sz w:val="24"/>
          <w:szCs w:val="24"/>
        </w:rPr>
      </w:pPr>
      <w:r>
        <w:rPr>
          <w:rFonts w:eastAsia="Aptos" w:cs="Calibri" w:ascii="Calibri" w:hAnsi="Calibri"/>
          <w:b w:val="false"/>
          <w:bCs w:val="false"/>
          <w:color w:val="000000"/>
          <w:sz w:val="24"/>
          <w:szCs w:val="24"/>
        </w:rPr>
      </w:r>
    </w:p>
    <w:p>
      <w:pPr>
        <w:pStyle w:val="Normal"/>
        <w:spacing w:lineRule="auto" w:line="360"/>
        <w:rPr>
          <w:rFonts w:ascii="Calibri" w:hAnsi="Calibri" w:eastAsia="Aptos" w:cs="Calibri"/>
          <w:sz w:val="24"/>
          <w:szCs w:val="24"/>
        </w:rPr>
      </w:pPr>
      <w:r>
        <w:rPr>
          <w:rFonts w:eastAsia="Aptos" w:cs="Calibri" w:ascii="Calibri" w:hAnsi="Calibri"/>
          <w:sz w:val="24"/>
          <w:szCs w:val="24"/>
        </w:rPr>
      </w:r>
    </w:p>
    <w:p>
      <w:pPr>
        <w:pStyle w:val="Normal"/>
        <w:spacing w:lineRule="auto" w:line="360"/>
        <w:rPr>
          <w:rFonts w:cs="Calibri"/>
          <w:color w:val="333333"/>
        </w:rPr>
      </w:pPr>
      <w:r>
        <w:rPr>
          <w:rFonts w:ascii="Calibri" w:hAnsi="Calibri"/>
          <w:sz w:val="24"/>
          <w:szCs w:val="24"/>
        </w:rPr>
      </w:r>
    </w:p>
    <w:p>
      <w:pPr>
        <w:pStyle w:val="Normal"/>
        <w:shd w:fill="FFFFFF" w:val="clear"/>
        <w:spacing w:lineRule="auto" w:line="360"/>
        <w:rPr>
          <w:rFonts w:ascii="Calibri" w:hAnsi="Calibri" w:cs="Calibri"/>
          <w:color w:val="333333"/>
          <w:sz w:val="24"/>
          <w:szCs w:val="24"/>
        </w:rPr>
      </w:pPr>
      <w:r>
        <w:rPr>
          <w:rFonts w:cs="Calibri" w:ascii="Calibri" w:hAnsi="Calibri"/>
          <w:color w:val="333333"/>
          <w:sz w:val="24"/>
          <w:szCs w:val="24"/>
        </w:rPr>
      </w:r>
    </w:p>
    <w:p>
      <w:pPr>
        <w:pStyle w:val="Normal"/>
        <w:spacing w:lineRule="auto" w:line="360" w:before="0" w:after="160"/>
        <w:rPr>
          <w:rFonts w:ascii="Calibri" w:hAnsi="Calibri"/>
          <w:sz w:val="24"/>
          <w:szCs w:val="24"/>
        </w:rPr>
      </w:pPr>
      <w:r>
        <w:rPr>
          <w:rFonts w:ascii="Calibri" w:hAnsi="Calibri"/>
          <w:sz w:val="24"/>
          <w:szCs w:val="24"/>
        </w:rPr>
      </w:r>
    </w:p>
    <w:sectPr>
      <w:headerReference w:type="default" r:id="rId6"/>
      <w:footnotePr>
        <w:numFmt w:val="decimal"/>
      </w:footnotePr>
      <w:type w:val="nextPage"/>
      <w:pgSz w:w="12240" w:h="15840"/>
      <w:pgMar w:left="1440" w:right="1440" w:header="72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Calibri">
    <w:charset w:val="00"/>
    <w:family w:val="swiss"/>
    <w:pitch w:val="variable"/>
  </w:font>
  <w:font w:name="Calibri">
    <w:charset w:val="01"/>
    <w:family w:val="swiss"/>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spacing w:before="0" w:after="160"/>
        <w:ind w:left="0" w:right="0" w:hanging="0"/>
        <w:rPr>
          <w:rFonts w:ascii="Calibri" w:hAnsi="Calibri" w:cs="Calibri"/>
          <w:color w:val="333333"/>
          <w:sz w:val="18"/>
          <w:szCs w:val="18"/>
        </w:rPr>
      </w:pPr>
      <w:r>
        <w:rPr>
          <w:rStyle w:val="FootnoteCharacters"/>
        </w:rPr>
        <w:footnoteRef/>
      </w:r>
      <w:r>
        <w:rPr>
          <w:rFonts w:cs="Calibri" w:ascii="Calibri" w:hAnsi="Calibri"/>
          <w:color w:val="333333"/>
          <w:sz w:val="18"/>
          <w:szCs w:val="18"/>
        </w:rPr>
        <w:t xml:space="preserve"> </w:t>
      </w:r>
      <w:r>
        <w:rPr>
          <w:rFonts w:cs="Calibri" w:ascii="Calibri" w:hAnsi="Calibri"/>
          <w:color w:val="333333"/>
          <w:sz w:val="18"/>
          <w:szCs w:val="18"/>
        </w:rPr>
        <w:t>St Cyril of Alexandria, On the Unity of Christ, trans. John McGuckin Crestwood, (New York: St Vladimir’s Seminary Press, 1995)</w:t>
      </w:r>
    </w:p>
  </w:footnote>
  <w:footnote w:id="3">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Ibid., 72</w:t>
      </w:r>
    </w:p>
  </w:footnote>
  <w:footnote w:id="4">
    <w:p>
      <w:pPr>
        <w:pStyle w:val="Footnote"/>
        <w:spacing w:before="0" w:after="160"/>
        <w:ind w:right="0" w:hanging="0"/>
        <w:rPr/>
      </w:pPr>
      <w:r>
        <w:rPr>
          <w:rStyle w:val="FootnoteCharacters"/>
        </w:rPr>
        <w:footnoteRef/>
      </w:r>
      <w:r>
        <w:rPr>
          <w:sz w:val="18"/>
          <w:szCs w:val="18"/>
        </w:rPr>
        <w:t xml:space="preserve"> </w:t>
      </w:r>
      <w:r>
        <w:rPr>
          <w:rFonts w:ascii="Calibri" w:hAnsi="Calibri"/>
          <w:sz w:val="18"/>
          <w:szCs w:val="18"/>
        </w:rPr>
        <w:t>Morgan J., ‘</w:t>
      </w:r>
      <w:r>
        <w:rPr>
          <w:rFonts w:ascii="Calibri" w:hAnsi="Calibri"/>
          <w:i/>
          <w:sz w:val="18"/>
          <w:szCs w:val="18"/>
        </w:rPr>
        <w:t>The Unity of Christ in Cyril of Alexandria’s Festal Letters’</w:t>
      </w:r>
      <w:r>
        <w:rPr>
          <w:rFonts w:ascii="Calibri" w:hAnsi="Calibri"/>
          <w:sz w:val="18"/>
          <w:szCs w:val="18"/>
        </w:rPr>
        <w:t xml:space="preserve">. (Cambridge University Press:2023) </w:t>
      </w:r>
    </w:p>
  </w:footnote>
  <w:footnote w:id="5">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https://en.wikipedia.org/wiki/Cyril_of_Alexandria</w:t>
      </w:r>
    </w:p>
  </w:footnote>
  <w:footnote w:id="6">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St. Gregory of Nazianzus, ‘</w:t>
      </w:r>
      <w:r>
        <w:rPr>
          <w:rFonts w:ascii="Calibri" w:hAnsi="Calibri"/>
          <w:i/>
          <w:sz w:val="18"/>
          <w:szCs w:val="18"/>
        </w:rPr>
        <w:t xml:space="preserve">On God and Christ’. ‘The five theological Orations and Two Letters to Cledonius. </w:t>
      </w:r>
      <w:r>
        <w:rPr>
          <w:rFonts w:ascii="Calibri" w:hAnsi="Calibri"/>
          <w:sz w:val="18"/>
          <w:szCs w:val="18"/>
        </w:rPr>
        <w:t xml:space="preserve">Trans. Fredrick Williams (New York: St. Vladimir’s Seminary press, Crestwood) </w:t>
      </w:r>
    </w:p>
  </w:footnote>
  <w:footnote w:id="7">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Morgan J., ‘</w:t>
      </w:r>
      <w:r>
        <w:rPr>
          <w:rFonts w:ascii="Calibri" w:hAnsi="Calibri"/>
          <w:i/>
          <w:sz w:val="18"/>
          <w:szCs w:val="18"/>
        </w:rPr>
        <w:t>The Unity of Christ in Cyril of Alexandria’s Festal Letters’</w:t>
      </w:r>
      <w:r>
        <w:rPr>
          <w:rFonts w:ascii="Calibri" w:hAnsi="Calibri"/>
          <w:sz w:val="18"/>
          <w:szCs w:val="18"/>
        </w:rPr>
        <w:t xml:space="preserve">. (Cambridge University Press:2023) </w:t>
      </w:r>
    </w:p>
  </w:footnote>
  <w:footnote w:id="8">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Artemi E, ‘</w:t>
      </w:r>
      <w:r>
        <w:rPr>
          <w:rFonts w:ascii="Calibri" w:hAnsi="Calibri"/>
          <w:i/>
          <w:sz w:val="18"/>
          <w:szCs w:val="18"/>
        </w:rPr>
        <w:t>The Virgin Mary, Theotokos, and Christ, true God and true man. The Mystery of Incarnation</w:t>
      </w:r>
      <w:r>
        <w:rPr>
          <w:rFonts w:ascii="Calibri" w:hAnsi="Calibri"/>
          <w:sz w:val="18"/>
          <w:szCs w:val="18"/>
        </w:rPr>
        <w:t xml:space="preserve"> according to Cyril of Alexandria. (Mirabilia Electronic Journal of Antiquity and Middle Ages. 2013) </w:t>
      </w:r>
    </w:p>
  </w:footnote>
  <w:footnote w:id="9">
    <w:p>
      <w:pPr>
        <w:pStyle w:val="Footnote"/>
        <w:spacing w:before="0" w:after="160"/>
        <w:rPr>
          <w:rFonts w:ascii="Calibri" w:hAnsi="Calibri"/>
          <w:sz w:val="18"/>
          <w:szCs w:val="18"/>
        </w:rPr>
      </w:pPr>
      <w:r>
        <w:rPr>
          <w:rStyle w:val="FootnoteCharacters"/>
        </w:rPr>
        <w:footnoteRef/>
      </w:r>
      <w:r>
        <w:rPr>
          <w:rFonts w:ascii="Calibri" w:hAnsi="Calibri"/>
          <w:sz w:val="18"/>
          <w:szCs w:val="18"/>
        </w:rPr>
        <w:tab/>
        <w:t>Ibid., 62</w:t>
      </w:r>
    </w:p>
  </w:footnote>
  <w:footnote w:id="10">
    <w:p>
      <w:pPr>
        <w:pStyle w:val="Footnote"/>
        <w:spacing w:before="0" w:after="160"/>
        <w:rPr>
          <w:rFonts w:ascii="Calibri" w:hAnsi="Calibri"/>
          <w:sz w:val="18"/>
          <w:szCs w:val="18"/>
        </w:rPr>
      </w:pPr>
      <w:r>
        <w:rPr>
          <w:rStyle w:val="FootnoteCharacters"/>
        </w:rPr>
        <w:footnoteRef/>
      </w:r>
      <w:r>
        <w:rPr>
          <w:rFonts w:ascii="Calibri" w:hAnsi="Calibri"/>
          <w:sz w:val="18"/>
          <w:szCs w:val="18"/>
        </w:rPr>
        <w:tab/>
        <w:t>Ibid., 83</w:t>
      </w:r>
    </w:p>
  </w:footnote>
  <w:footnote w:id="11">
    <w:p>
      <w:pPr>
        <w:pStyle w:val="Footnote"/>
        <w:spacing w:before="0" w:after="160"/>
        <w:rPr>
          <w:rFonts w:ascii="Calibri" w:hAnsi="Calibri"/>
          <w:sz w:val="18"/>
          <w:szCs w:val="18"/>
        </w:rPr>
      </w:pPr>
      <w:r>
        <w:rPr>
          <w:rStyle w:val="FootnoteCharacters"/>
        </w:rPr>
        <w:footnoteRef/>
      </w:r>
      <w:r>
        <w:rPr>
          <w:rFonts w:ascii="Calibri" w:hAnsi="Calibri"/>
          <w:sz w:val="18"/>
          <w:szCs w:val="18"/>
        </w:rPr>
        <w:tab/>
        <w:t>Ibid., 73</w:t>
      </w:r>
    </w:p>
  </w:footnote>
  <w:footnote w:id="12">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St. Gregory of Nazianzus, ‘</w:t>
      </w:r>
      <w:r>
        <w:rPr>
          <w:rFonts w:ascii="Calibri" w:hAnsi="Calibri"/>
          <w:i/>
          <w:sz w:val="18"/>
          <w:szCs w:val="18"/>
        </w:rPr>
        <w:t xml:space="preserve">On God and Christ’. ‘The five theological Orations and Two Letters to Cledonius. </w:t>
      </w:r>
      <w:r>
        <w:rPr>
          <w:rFonts w:ascii="Calibri" w:hAnsi="Calibri"/>
          <w:sz w:val="18"/>
          <w:szCs w:val="18"/>
        </w:rPr>
        <w:t xml:space="preserve">Trans. Fredick Williams (New York: St. Vladimir’s Seminary press, Crestwood) </w:t>
      </w:r>
    </w:p>
  </w:footnote>
  <w:footnote w:id="13">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https://dacb.org/stories/egypt/cyril-alexandria2/</w:t>
      </w:r>
    </w:p>
  </w:footnote>
  <w:footnote w:id="14">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Morgan J., ‘</w:t>
      </w:r>
      <w:r>
        <w:rPr>
          <w:rFonts w:ascii="Calibri" w:hAnsi="Calibri"/>
          <w:i/>
          <w:sz w:val="18"/>
          <w:szCs w:val="18"/>
        </w:rPr>
        <w:t>The Unity of Christ in Cyril of Alexandria’s Festal Letters’</w:t>
      </w:r>
      <w:r>
        <w:rPr>
          <w:rFonts w:ascii="Calibri" w:hAnsi="Calibri"/>
          <w:sz w:val="18"/>
          <w:szCs w:val="18"/>
        </w:rPr>
        <w:t xml:space="preserve">. (Cambridge University Press:2023) </w:t>
      </w:r>
    </w:p>
  </w:footnote>
  <w:footnote w:id="15">
    <w:p>
      <w:pPr>
        <w:pStyle w:val="Footnote"/>
        <w:spacing w:before="0" w:after="160"/>
        <w:rPr>
          <w:rFonts w:ascii="Calibri" w:hAnsi="Calibri"/>
          <w:sz w:val="18"/>
          <w:szCs w:val="18"/>
        </w:rPr>
      </w:pPr>
      <w:r>
        <w:rPr>
          <w:rStyle w:val="FootnoteCharacters"/>
        </w:rPr>
        <w:footnoteRef/>
      </w:r>
      <w:r>
        <w:rPr>
          <w:rFonts w:ascii="Calibri" w:hAnsi="Calibri"/>
          <w:sz w:val="18"/>
          <w:szCs w:val="18"/>
        </w:rPr>
        <w:tab/>
        <w:t>Ibid,, 59</w:t>
      </w:r>
    </w:p>
  </w:footnote>
  <w:footnote w:id="16">
    <w:p>
      <w:pPr>
        <w:pStyle w:val="Footnote"/>
        <w:spacing w:before="0" w:after="160"/>
        <w:ind w:right="0" w:hanging="0"/>
        <w:rPr>
          <w:rFonts w:ascii="Calibri" w:hAnsi="Calibri"/>
          <w:sz w:val="18"/>
          <w:szCs w:val="18"/>
        </w:rPr>
      </w:pPr>
      <w:r>
        <w:rPr>
          <w:rStyle w:val="FootnoteCharacters"/>
        </w:rPr>
        <w:footnoteRef/>
      </w:r>
      <w:r>
        <w:rPr>
          <w:rFonts w:cs="Calibri" w:ascii="Calibri" w:hAnsi="Calibri"/>
          <w:color w:val="333333"/>
          <w:sz w:val="18"/>
          <w:szCs w:val="18"/>
        </w:rPr>
        <w:t xml:space="preserve"> </w:t>
      </w:r>
      <w:r>
        <w:rPr>
          <w:rFonts w:cs="Calibri" w:ascii="Calibri" w:hAnsi="Calibri"/>
          <w:color w:val="333333"/>
          <w:sz w:val="18"/>
          <w:szCs w:val="18"/>
        </w:rPr>
        <w:t>McGuckin J.A, ‘</w:t>
      </w:r>
      <w:r>
        <w:rPr>
          <w:rFonts w:cs="Calibri" w:ascii="Calibri" w:hAnsi="Calibri"/>
          <w:i/>
          <w:iCs/>
          <w:color w:val="333333"/>
          <w:sz w:val="18"/>
          <w:szCs w:val="18"/>
        </w:rPr>
        <w:t xml:space="preserve">St. Cyril of Alexandria: Christological Controversy’, its History, Theology, and Texts </w:t>
      </w:r>
      <w:r>
        <w:rPr>
          <w:rFonts w:cs="Calibri" w:ascii="Calibri" w:hAnsi="Calibri"/>
          <w:color w:val="333333"/>
          <w:sz w:val="18"/>
          <w:szCs w:val="18"/>
        </w:rPr>
        <w:t>(New York: E.J. Brill, 1994)</w:t>
      </w:r>
    </w:p>
  </w:footnote>
  <w:footnote w:id="17">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https://dacb.org/stories/egypt/cyril-alexandria2/</w:t>
      </w:r>
    </w:p>
  </w:footnote>
  <w:footnote w:id="18">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St. Gregory of Nazianzus, ‘</w:t>
      </w:r>
      <w:r>
        <w:rPr>
          <w:rFonts w:ascii="Calibri" w:hAnsi="Calibri"/>
          <w:i/>
          <w:sz w:val="18"/>
          <w:szCs w:val="18"/>
        </w:rPr>
        <w:t xml:space="preserve">On God and Christ’. ‘The five theological Orations and Two Letters to Cledonius. </w:t>
      </w:r>
      <w:r>
        <w:rPr>
          <w:rFonts w:ascii="Calibri" w:hAnsi="Calibri"/>
          <w:sz w:val="18"/>
          <w:szCs w:val="18"/>
        </w:rPr>
        <w:t xml:space="preserve">Trans. Fredrick Williams (New York 10707: St. Vladimir’s Seminary press, Crestwood)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W w:w="9359" w:type="dxa"/>
      <w:jc w:val="left"/>
      <w:tblInd w:w="0" w:type="dxa"/>
      <w:tblCellMar>
        <w:top w:w="0" w:type="dxa"/>
        <w:left w:w="108" w:type="dxa"/>
        <w:bottom w:w="0" w:type="dxa"/>
        <w:right w:w="108" w:type="dxa"/>
      </w:tblCellMar>
    </w:tblPr>
    <w:tblGrid>
      <w:gridCol w:w="3119"/>
      <w:gridCol w:w="3120"/>
      <w:gridCol w:w="3120"/>
    </w:tblGrid>
    <w:tr>
      <w:trPr>
        <w:trHeight w:val="300" w:hRule="atLeast"/>
      </w:trPr>
      <w:tc>
        <w:tcPr>
          <w:tcW w:w="3119" w:type="dxa"/>
          <w:tcBorders/>
          <w:shd w:fill="auto" w:val="clear"/>
        </w:tcPr>
        <w:p>
          <w:pPr>
            <w:pStyle w:val="Header"/>
            <w:ind w:left="-115" w:right="0" w:hanging="0"/>
            <w:rPr/>
          </w:pPr>
          <w:r>
            <w:rPr/>
          </w:r>
        </w:p>
      </w:tc>
      <w:tc>
        <w:tcPr>
          <w:tcW w:w="3120" w:type="dxa"/>
          <w:tcBorders/>
          <w:shd w:fill="auto" w:val="clear"/>
        </w:tcPr>
        <w:p>
          <w:pPr>
            <w:pStyle w:val="Header"/>
            <w:jc w:val="center"/>
            <w:rPr/>
          </w:pPr>
          <w:r>
            <w:rPr/>
          </w:r>
        </w:p>
      </w:tc>
      <w:tc>
        <w:tcPr>
          <w:tcW w:w="3120" w:type="dxa"/>
          <w:tcBorders/>
          <w:shd w:fill="auto" w:val="clear"/>
        </w:tcPr>
        <w:p>
          <w:pPr>
            <w:pStyle w:val="Header"/>
            <w:ind w:left="0" w:right="-115" w:hanging="0"/>
            <w:jc w:val="right"/>
            <w:rPr/>
          </w:pPr>
          <w:r>
            <w:rPr/>
          </w:r>
        </w:p>
      </w:tc>
    </w:tr>
  </w:tbl>
  <w:p>
    <w:pPr>
      <w:pStyle w:val="Header"/>
      <w:rPr/>
    </w:pPr>
    <w:r>
      <w:rPr/>
    </w:r>
  </w:p>
</w:hdr>
</file>

<file path=word/settings.xml><?xml version="1.0" encoding="utf-8"?>
<w:settings xmlns:w="http://schemas.openxmlformats.org/wordprocessingml/2006/main">
  <w:zoom w:percent="140"/>
  <w:defaultTabStop w:val="720"/>
  <w:footnotePr>
    <w:numFmt w:val="decimal"/>
    <w:footnote w:id="0"/>
    <w:footnote w:id="1"/>
  </w:footnotePr>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Segoe UI" w:cs="Tahoma"/>
        <w:sz w:val="24"/>
        <w:szCs w:val="24"/>
        <w:lang w:val="en-US" w:eastAsia="ja-JP" w:bidi="ar-SA"/>
      </w:rPr>
    </w:rPrDefault>
    <w:pPrDefault>
      <w:pPr/>
    </w:pPrDefault>
  </w:docDefaults>
  <w:style w:type="paragraph" w:styleId="Normal">
    <w:name w:val="Normal"/>
    <w:qFormat/>
    <w:pPr>
      <w:widowControl/>
      <w:kinsoku w:val="true"/>
      <w:overflowPunct w:val="true"/>
      <w:autoSpaceDE w:val="true"/>
      <w:bidi w:val="0"/>
      <w:spacing w:lineRule="auto" w:line="278" w:before="0" w:after="160"/>
      <w:jc w:val="left"/>
    </w:pPr>
    <w:rPr>
      <w:rFonts w:ascii="Aptos" w:hAnsi="Aptos"/>
      <w:color w:val="auto"/>
      <w:kern w:val="0"/>
      <w:sz w:val="24"/>
      <w:szCs w:val="24"/>
      <w:lang w:val="en-US" w:eastAsia="ja-JP" w:bidi="ar-SA"/>
    </w:rPr>
  </w:style>
  <w:style w:type="paragraph" w:styleId="Heading1">
    <w:name w:val="Heading 1"/>
    <w:basedOn w:val="Normal"/>
    <w:next w:val="Normal"/>
    <w:qFormat/>
    <w:pPr>
      <w:keepNext w:val="true"/>
      <w:keepLines/>
      <w:numPr>
        <w:ilvl w:val="0"/>
        <w:numId w:val="0"/>
      </w:numPr>
      <w:spacing w:before="360" w:after="80"/>
      <w:outlineLvl w:val="0"/>
    </w:pPr>
    <w:rPr>
      <w:rFonts w:ascii="Aptos Display" w:hAnsi="Aptos Display" w:eastAsia="Segoe UI" w:cs="Tahoma"/>
      <w:color w:val="0F4761"/>
      <w:sz w:val="40"/>
      <w:szCs w:val="40"/>
    </w:rPr>
  </w:style>
  <w:style w:type="paragraph" w:styleId="Heading2">
    <w:name w:val="Heading 2"/>
    <w:basedOn w:val="Normal"/>
    <w:next w:val="Normal"/>
    <w:qFormat/>
    <w:pPr>
      <w:keepNext w:val="true"/>
      <w:keepLines/>
      <w:numPr>
        <w:ilvl w:val="0"/>
        <w:numId w:val="0"/>
      </w:numPr>
      <w:spacing w:before="160" w:after="80"/>
      <w:outlineLvl w:val="1"/>
    </w:pPr>
    <w:rPr>
      <w:rFonts w:ascii="Aptos Display" w:hAnsi="Aptos Display" w:eastAsia="Segoe UI" w:cs="Tahoma"/>
      <w:color w:val="0F4761"/>
      <w:sz w:val="32"/>
      <w:szCs w:val="32"/>
    </w:rPr>
  </w:style>
  <w:style w:type="paragraph" w:styleId="Heading3">
    <w:name w:val="Heading 3"/>
    <w:basedOn w:val="Normal"/>
    <w:next w:val="Normal"/>
    <w:qFormat/>
    <w:pPr>
      <w:keepNext w:val="true"/>
      <w:keepLines/>
      <w:numPr>
        <w:ilvl w:val="0"/>
        <w:numId w:val="0"/>
      </w:numPr>
      <w:spacing w:before="160" w:after="80"/>
      <w:outlineLvl w:val="2"/>
    </w:pPr>
    <w:rPr>
      <w:rFonts w:eastAsia="Segoe UI" w:cs="Tahoma"/>
      <w:color w:val="0F4761"/>
      <w:sz w:val="28"/>
      <w:szCs w:val="28"/>
    </w:rPr>
  </w:style>
  <w:style w:type="paragraph" w:styleId="Heading4">
    <w:name w:val="Heading 4"/>
    <w:basedOn w:val="Normal"/>
    <w:next w:val="Normal"/>
    <w:qFormat/>
    <w:pPr>
      <w:keepNext w:val="true"/>
      <w:keepLines/>
      <w:numPr>
        <w:ilvl w:val="0"/>
        <w:numId w:val="0"/>
      </w:numPr>
      <w:spacing w:before="80" w:after="40"/>
      <w:outlineLvl w:val="3"/>
    </w:pPr>
    <w:rPr>
      <w:rFonts w:eastAsia="Segoe UI" w:cs="Tahoma"/>
      <w:i/>
      <w:iCs/>
      <w:color w:val="0F4761"/>
    </w:rPr>
  </w:style>
  <w:style w:type="paragraph" w:styleId="Heading5">
    <w:name w:val="Heading 5"/>
    <w:basedOn w:val="Normal"/>
    <w:next w:val="Normal"/>
    <w:qFormat/>
    <w:pPr>
      <w:keepNext w:val="true"/>
      <w:keepLines/>
      <w:numPr>
        <w:ilvl w:val="0"/>
        <w:numId w:val="0"/>
      </w:numPr>
      <w:spacing w:before="80" w:after="40"/>
      <w:outlineLvl w:val="4"/>
    </w:pPr>
    <w:rPr>
      <w:rFonts w:eastAsia="Segoe UI" w:cs="Tahoma"/>
      <w:color w:val="0F4761"/>
    </w:rPr>
  </w:style>
  <w:style w:type="paragraph" w:styleId="Heading6">
    <w:name w:val="Heading 6"/>
    <w:basedOn w:val="Normal"/>
    <w:next w:val="Normal"/>
    <w:qFormat/>
    <w:pPr>
      <w:keepNext w:val="true"/>
      <w:keepLines/>
      <w:numPr>
        <w:ilvl w:val="0"/>
        <w:numId w:val="0"/>
      </w:numPr>
      <w:spacing w:before="40" w:after="0"/>
      <w:outlineLvl w:val="5"/>
    </w:pPr>
    <w:rPr>
      <w:rFonts w:eastAsia="Segoe UI" w:cs="Tahoma"/>
      <w:i/>
      <w:iCs/>
      <w:color w:val="595959"/>
    </w:rPr>
  </w:style>
  <w:style w:type="paragraph" w:styleId="Heading7">
    <w:name w:val="Heading 7"/>
    <w:basedOn w:val="Normal"/>
    <w:next w:val="Normal"/>
    <w:qFormat/>
    <w:pPr>
      <w:keepNext w:val="true"/>
      <w:keepLines/>
      <w:numPr>
        <w:ilvl w:val="0"/>
        <w:numId w:val="0"/>
      </w:numPr>
      <w:spacing w:before="40" w:after="0"/>
      <w:outlineLvl w:val="6"/>
    </w:pPr>
    <w:rPr>
      <w:rFonts w:eastAsia="Segoe UI" w:cs="Tahoma"/>
      <w:color w:val="595959"/>
    </w:rPr>
  </w:style>
  <w:style w:type="paragraph" w:styleId="Heading8">
    <w:name w:val="Heading 8"/>
    <w:basedOn w:val="Normal"/>
    <w:next w:val="Normal"/>
    <w:qFormat/>
    <w:pPr>
      <w:keepNext w:val="true"/>
      <w:keepLines/>
      <w:numPr>
        <w:ilvl w:val="0"/>
        <w:numId w:val="0"/>
      </w:numPr>
      <w:spacing w:before="0" w:after="0"/>
      <w:outlineLvl w:val="7"/>
    </w:pPr>
    <w:rPr>
      <w:rFonts w:eastAsia="Segoe UI" w:cs="Tahoma"/>
      <w:i/>
      <w:iCs/>
      <w:color w:val="272727"/>
    </w:rPr>
  </w:style>
  <w:style w:type="paragraph" w:styleId="Heading9">
    <w:name w:val="Heading 9"/>
    <w:basedOn w:val="Normal"/>
    <w:next w:val="Normal"/>
    <w:qFormat/>
    <w:pPr>
      <w:keepNext w:val="true"/>
      <w:keepLines/>
      <w:numPr>
        <w:ilvl w:val="0"/>
        <w:numId w:val="0"/>
      </w:numPr>
      <w:spacing w:before="0" w:after="0"/>
      <w:outlineLvl w:val="8"/>
    </w:pPr>
    <w:rPr>
      <w:rFonts w:eastAsia="Segoe UI" w:cs="Tahoma"/>
      <w:color w:val="272727"/>
    </w:rPr>
  </w:style>
  <w:style w:type="character" w:styleId="DefaultParagraphFont">
    <w:name w:val="Default Paragraph Font"/>
    <w:qFormat/>
    <w:rPr/>
  </w:style>
  <w:style w:type="character" w:styleId="Heading1Char">
    <w:name w:val="Heading 1 Char"/>
    <w:basedOn w:val="DefaultParagraphFont"/>
    <w:qFormat/>
    <w:rPr>
      <w:rFonts w:ascii="Aptos Display" w:hAnsi="Aptos Display" w:eastAsia="Segoe UI" w:cs="Tahoma"/>
      <w:color w:val="0F4761"/>
      <w:sz w:val="40"/>
      <w:szCs w:val="40"/>
    </w:rPr>
  </w:style>
  <w:style w:type="character" w:styleId="Heading2Char">
    <w:name w:val="Heading 2 Char"/>
    <w:basedOn w:val="DefaultParagraphFont"/>
    <w:qFormat/>
    <w:rPr>
      <w:rFonts w:ascii="Aptos Display" w:hAnsi="Aptos Display" w:eastAsia="Segoe UI" w:cs="Tahoma"/>
      <w:color w:val="0F4761"/>
      <w:sz w:val="32"/>
      <w:szCs w:val="32"/>
    </w:rPr>
  </w:style>
  <w:style w:type="character" w:styleId="Heading3Char">
    <w:name w:val="Heading 3 Char"/>
    <w:basedOn w:val="DefaultParagraphFont"/>
    <w:qFormat/>
    <w:rPr>
      <w:rFonts w:eastAsia="Segoe UI" w:cs="Tahoma"/>
      <w:color w:val="0F4761"/>
      <w:sz w:val="28"/>
      <w:szCs w:val="28"/>
    </w:rPr>
  </w:style>
  <w:style w:type="character" w:styleId="Heading4Char">
    <w:name w:val="Heading 4 Char"/>
    <w:basedOn w:val="DefaultParagraphFont"/>
    <w:qFormat/>
    <w:rPr>
      <w:rFonts w:eastAsia="Segoe UI" w:cs="Tahoma"/>
      <w:i/>
      <w:iCs/>
      <w:color w:val="0F4761"/>
    </w:rPr>
  </w:style>
  <w:style w:type="character" w:styleId="Heading5Char">
    <w:name w:val="Heading 5 Char"/>
    <w:basedOn w:val="DefaultParagraphFont"/>
    <w:qFormat/>
    <w:rPr>
      <w:rFonts w:eastAsia="Segoe UI" w:cs="Tahoma"/>
      <w:color w:val="0F4761"/>
    </w:rPr>
  </w:style>
  <w:style w:type="character" w:styleId="Heading6Char">
    <w:name w:val="Heading 6 Char"/>
    <w:basedOn w:val="DefaultParagraphFont"/>
    <w:qFormat/>
    <w:rPr>
      <w:rFonts w:eastAsia="Segoe UI" w:cs="Tahoma"/>
      <w:i/>
      <w:iCs/>
      <w:color w:val="595959"/>
    </w:rPr>
  </w:style>
  <w:style w:type="character" w:styleId="Heading7Char">
    <w:name w:val="Heading 7 Char"/>
    <w:basedOn w:val="DefaultParagraphFont"/>
    <w:qFormat/>
    <w:rPr>
      <w:rFonts w:eastAsia="Segoe UI" w:cs="Tahoma"/>
      <w:color w:val="595959"/>
    </w:rPr>
  </w:style>
  <w:style w:type="character" w:styleId="Heading8Char">
    <w:name w:val="Heading 8 Char"/>
    <w:basedOn w:val="DefaultParagraphFont"/>
    <w:qFormat/>
    <w:rPr>
      <w:rFonts w:eastAsia="Segoe UI" w:cs="Tahoma"/>
      <w:i/>
      <w:iCs/>
      <w:color w:val="272727"/>
    </w:rPr>
  </w:style>
  <w:style w:type="character" w:styleId="Heading9Char">
    <w:name w:val="Heading 9 Char"/>
    <w:basedOn w:val="DefaultParagraphFont"/>
    <w:qFormat/>
    <w:rPr>
      <w:rFonts w:eastAsia="Segoe UI" w:cs="Tahoma"/>
      <w:color w:val="272727"/>
    </w:rPr>
  </w:style>
  <w:style w:type="character" w:styleId="TitleChar">
    <w:name w:val="Title Char"/>
    <w:basedOn w:val="DefaultParagraphFont"/>
    <w:qFormat/>
    <w:rPr>
      <w:rFonts w:ascii="Aptos Display" w:hAnsi="Aptos Display" w:eastAsia="Segoe UI" w:cs="Tahoma"/>
      <w:spacing w:val="-10"/>
      <w:kern w:val="2"/>
      <w:sz w:val="56"/>
      <w:szCs w:val="56"/>
    </w:rPr>
  </w:style>
  <w:style w:type="character" w:styleId="SubtitleChar">
    <w:name w:val="Subtitle Char"/>
    <w:basedOn w:val="DefaultParagraphFont"/>
    <w:qFormat/>
    <w:rPr>
      <w:rFonts w:eastAsia="Segoe UI" w:cs="Tahoma"/>
      <w:color w:val="595959"/>
      <w:spacing w:val="15"/>
      <w:sz w:val="28"/>
      <w:szCs w:val="28"/>
    </w:rPr>
  </w:style>
  <w:style w:type="character" w:styleId="IntenseEmphasis">
    <w:name w:val="Intense Emphasis"/>
    <w:basedOn w:val="DefaultParagraphFont"/>
    <w:qFormat/>
    <w:rPr>
      <w:i/>
      <w:iCs/>
      <w:color w:val="0F4761"/>
    </w:rPr>
  </w:style>
  <w:style w:type="character" w:styleId="QuoteChar">
    <w:name w:val="Quote Char"/>
    <w:basedOn w:val="DefaultParagraphFont"/>
    <w:qFormat/>
    <w:rPr>
      <w:i/>
      <w:iCs/>
      <w:color w:val="404040"/>
    </w:rPr>
  </w:style>
  <w:style w:type="character" w:styleId="IntenseQuoteChar">
    <w:name w:val="Intense Quote Char"/>
    <w:basedOn w:val="DefaultParagraphFont"/>
    <w:qFormat/>
    <w:rPr>
      <w:i/>
      <w:iCs/>
      <w:color w:val="0F4761"/>
    </w:rPr>
  </w:style>
  <w:style w:type="character" w:styleId="IntenseReference">
    <w:name w:val="Intense Reference"/>
    <w:basedOn w:val="DefaultParagraphFont"/>
    <w:qFormat/>
    <w:rPr>
      <w:b/>
      <w:bCs/>
      <w:smallCaps/>
      <w:color w:val="0F4761"/>
      <w:spacing w:val="5"/>
    </w:rPr>
  </w:style>
  <w:style w:type="character" w:styleId="HeaderChar">
    <w:name w:val="Header Char"/>
    <w:basedOn w:val="DefaultParagraphFont"/>
    <w:qFormat/>
    <w:rPr/>
  </w:style>
  <w:style w:type="character" w:styleId="FooterChar">
    <w:name w:val="Footer Char"/>
    <w:basedOn w:val="DefaultParagraphFont"/>
    <w:qFormat/>
    <w:rPr/>
  </w:style>
  <w:style w:type="character" w:styleId="T">
    <w:name w:val="t"/>
    <w:basedOn w:val="DefaultParagraphFont"/>
    <w:qFormat/>
    <w:rPr/>
  </w:style>
  <w:style w:type="character" w:styleId="InternetLink">
    <w:name w:val="Internet Link"/>
    <w:basedOn w:val="DefaultParagraphFont"/>
    <w:rPr>
      <w:color w:val="0000FF"/>
      <w:u w:val="single"/>
    </w:rPr>
  </w:style>
  <w:style w:type="character" w:styleId="Showforsr">
    <w:name w:val="show-for-sr"/>
    <w:basedOn w:val="DefaultParagraphFont"/>
    <w:qFormat/>
    <w:rPr/>
  </w:style>
  <w:style w:type="character" w:styleId="Italic">
    <w:name w:val="italic"/>
    <w:basedOn w:val="DefaultParagraphFont"/>
    <w:qFormat/>
    <w:rPr/>
  </w:style>
  <w:style w:type="character" w:styleId="Strong">
    <w:name w:val="Strong"/>
    <w:basedOn w:val="DefaultParagraphFont"/>
    <w:qFormat/>
    <w:rPr>
      <w:b/>
      <w:bCs/>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qFormat/>
    <w:pPr>
      <w:spacing w:lineRule="auto" w:line="240" w:before="0" w:after="80"/>
      <w:contextualSpacing/>
    </w:pPr>
    <w:rPr>
      <w:rFonts w:ascii="Aptos Display" w:hAnsi="Aptos Display" w:eastAsia="Segoe UI" w:cs="Tahoma"/>
      <w:spacing w:val="-10"/>
      <w:kern w:val="2"/>
      <w:sz w:val="56"/>
      <w:szCs w:val="56"/>
    </w:rPr>
  </w:style>
  <w:style w:type="paragraph" w:styleId="Subtitle">
    <w:name w:val="Subtitle"/>
    <w:basedOn w:val="Normal"/>
    <w:next w:val="Normal"/>
    <w:qFormat/>
    <w:pPr/>
    <w:rPr>
      <w:rFonts w:eastAsia="Segoe UI" w:cs="Tahoma"/>
      <w:color w:val="595959"/>
      <w:spacing w:val="15"/>
      <w:sz w:val="28"/>
      <w:szCs w:val="28"/>
    </w:rPr>
  </w:style>
  <w:style w:type="paragraph" w:styleId="Quote">
    <w:name w:val="Quote"/>
    <w:basedOn w:val="Normal"/>
    <w:next w:val="Normal"/>
    <w:qFormat/>
    <w:pPr>
      <w:spacing w:before="160" w:after="160"/>
      <w:jc w:val="center"/>
    </w:pPr>
    <w:rPr>
      <w:i/>
      <w:iCs/>
      <w:color w:val="404040"/>
    </w:rPr>
  </w:style>
  <w:style w:type="paragraph" w:styleId="IntenseQuote">
    <w:name w:val="Intense Quote"/>
    <w:basedOn w:val="Normal"/>
    <w:next w:val="Normal"/>
    <w:qFormat/>
    <w:pPr>
      <w:pBdr>
        <w:top w:val="single" w:sz="4" w:space="10" w:color="0F4761"/>
        <w:bottom w:val="single" w:sz="4" w:space="10" w:color="0F4761"/>
      </w:pBdr>
      <w:spacing w:before="360" w:after="360"/>
      <w:ind w:left="864" w:right="864" w:hanging="0"/>
      <w:jc w:val="center"/>
    </w:pPr>
    <w:rPr>
      <w:i/>
      <w:iCs/>
      <w:color w:val="0F4761"/>
    </w:rPr>
  </w:style>
  <w:style w:type="paragraph" w:styleId="Header">
    <w:name w:val="Header"/>
    <w:basedOn w:val="Normal"/>
    <w:pPr>
      <w:tabs>
        <w:tab w:val="clear" w:pos="720"/>
        <w:tab w:val="center" w:pos="4680" w:leader="none"/>
        <w:tab w:val="right" w:pos="9360" w:leader="none"/>
      </w:tabs>
      <w:spacing w:lineRule="auto" w:line="240" w:before="0" w:after="0"/>
    </w:pPr>
    <w:rPr/>
  </w:style>
  <w:style w:type="paragraph" w:styleId="Footer">
    <w:name w:val="Footer"/>
    <w:basedOn w:val="Normal"/>
    <w:pPr>
      <w:tabs>
        <w:tab w:val="clear" w:pos="720"/>
        <w:tab w:val="center" w:pos="4680" w:leader="none"/>
        <w:tab w:val="right" w:pos="9360" w:leader="none"/>
      </w:tabs>
      <w:spacing w:lineRule="auto" w:line="240" w:before="0" w:after="0"/>
    </w:pPr>
    <w:rPr/>
  </w:style>
  <w:style w:type="paragraph" w:styleId="NoSpacing">
    <w:name w:val="No Spacing"/>
    <w:qFormat/>
    <w:pPr>
      <w:widowControl/>
      <w:kinsoku w:val="true"/>
      <w:overflowPunct w:val="true"/>
      <w:autoSpaceDE w:val="true"/>
      <w:bidi w:val="0"/>
      <w:spacing w:lineRule="auto" w:line="240" w:before="0" w:after="0"/>
      <w:jc w:val="left"/>
    </w:pPr>
    <w:rPr>
      <w:rFonts w:eastAsia="Aptos" w:ascii="Aptos" w:hAnsi="Aptos"/>
      <w:color w:val="0E2841"/>
      <w:kern w:val="0"/>
      <w:sz w:val="20"/>
      <w:szCs w:val="20"/>
      <w:lang w:eastAsia="en-US" w:val="en-US" w:bidi="ar-SA"/>
    </w:rPr>
  </w:style>
  <w:style w:type="paragraph" w:styleId="NormalWeb">
    <w:name w:val="Normal (Web)"/>
    <w:basedOn w:val="Normal"/>
    <w:qFormat/>
    <w:pPr>
      <w:spacing w:lineRule="auto" w:line="240" w:before="280" w:after="280"/>
    </w:pPr>
    <w:rPr>
      <w:rFonts w:ascii="Times New Roman" w:hAnsi="Times New Roman" w:eastAsia="Times New Roman" w:cs="Times New Roman"/>
      <w:lang w:val="en-GB" w:eastAsia="en-GB"/>
    </w:rPr>
  </w:style>
  <w:style w:type="paragraph" w:styleId="Footnote">
    <w:name w:val="Footnote Text"/>
    <w:basedOn w:val="Normal"/>
    <w:pPr>
      <w:suppressLineNumbers/>
      <w:ind w:left="339" w:right="0" w:hanging="339"/>
    </w:pPr>
    <w:rPr>
      <w:sz w:val="20"/>
      <w:szCs w:val="20"/>
    </w:rPr>
  </w:style>
  <w:style w:type="paragraph" w:styleId="TableContents">
    <w:name w:val="Table Contents"/>
    <w:basedOn w:val="Normal"/>
    <w:qFormat/>
    <w:pPr>
      <w:suppressLineNumbers/>
    </w:pPr>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footnotes" Target="footnotes.xml"/><Relationship Id="rId8" Type="http://schemas.openxmlformats.org/officeDocument/2006/relationships/fontTable" Target="fontTable.xml"/><Relationship Id="rId9"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42</TotalTime>
  <Application>Trio_Office/6.2.8.2$Windows_x86 LibreOffice_project/</Application>
  <Pages>12</Pages>
  <Words>4349</Words>
  <Characters>20915</Characters>
  <CharactersWithSpaces>25540</CharactersWithSpaces>
  <Paragraphs>80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2024-04-06T16:34:00Z</dcterms:created>
  <dc:creator>Monica Olusanya (2234893)</dc:creator>
  <dc:description/>
  <dc:language>en-US</dc:language>
  <cp:lastModifiedBy/>
  <dcterms:modified xsi:type="dcterms:W3CDTF">2024-04-06T22:33:59Z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0x010100A20804DBFC42F64693D899720BA9B0FE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