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0F2836B2" w:rsidP="058BC90B" w:rsidRDefault="0F2836B2" w14:paraId="377391CD" w14:textId="46403E4E">
      <w:pPr>
        <w:pStyle w:val="Normal"/>
        <w:rPr>
          <w:rFonts w:ascii="Aptos" w:hAnsi="Aptos" w:eastAsia="Aptos" w:cs="Aptos"/>
          <w:noProof w:val="0"/>
          <w:sz w:val="24"/>
          <w:szCs w:val="24"/>
          <w:lang w:val="en-US"/>
        </w:rPr>
      </w:pPr>
      <w:r w:rsidRPr="058BC90B" w:rsidR="0F2836B2">
        <w:rPr>
          <w:rFonts w:ascii="Aptos" w:hAnsi="Aptos" w:eastAsia="Aptos" w:cs="Aptos"/>
          <w:noProof w:val="0"/>
          <w:sz w:val="24"/>
          <w:szCs w:val="24"/>
          <w:lang w:val="en-US"/>
        </w:rPr>
        <w:t xml:space="preserve">Literature Review </w:t>
      </w:r>
      <w:r w:rsidRPr="058BC90B" w:rsidR="69E8B359">
        <w:rPr>
          <w:rFonts w:ascii="Aptos" w:hAnsi="Aptos" w:eastAsia="Aptos" w:cs="Aptos"/>
          <w:noProof w:val="0"/>
          <w:sz w:val="24"/>
          <w:szCs w:val="24"/>
          <w:lang w:val="en-US"/>
        </w:rPr>
        <w:t xml:space="preserve">on a </w:t>
      </w:r>
      <w:r w:rsidRPr="058BC90B" w:rsidR="0F2836B2">
        <w:rPr>
          <w:rFonts w:ascii="Aptos" w:hAnsi="Aptos" w:eastAsia="Aptos" w:cs="Aptos"/>
          <w:noProof w:val="0"/>
          <w:sz w:val="24"/>
          <w:szCs w:val="24"/>
          <w:lang w:val="en-US"/>
        </w:rPr>
        <w:t xml:space="preserve">Marketing Plan for the Gard Pro Smartwatch </w:t>
      </w:r>
    </w:p>
    <w:p w:rsidR="058BC90B" w:rsidP="058BC90B" w:rsidRDefault="058BC90B" w14:paraId="2D329743" w14:textId="32E50A74">
      <w:pPr>
        <w:pStyle w:val="Normal"/>
        <w:rPr>
          <w:rFonts w:ascii="Aptos" w:hAnsi="Aptos" w:eastAsia="Aptos" w:cs="Aptos"/>
          <w:noProof w:val="0"/>
          <w:sz w:val="24"/>
          <w:szCs w:val="24"/>
          <w:lang w:val="en-US"/>
        </w:rPr>
      </w:pPr>
    </w:p>
    <w:p w:rsidR="353F175F" w:rsidP="058BC90B" w:rsidRDefault="353F175F" w14:paraId="7996DE4A" w14:textId="5BB2592C">
      <w:pPr>
        <w:pStyle w:val="Heading2"/>
        <w:spacing w:before="261" w:beforeAutospacing="off" w:after="261" w:afterAutospacing="off" w:line="300" w:lineRule="auto"/>
        <w:rPr>
          <w:rFonts w:ascii="Aptos" w:hAnsi="Aptos" w:eastAsia="Aptos" w:cs="Aptos" w:asciiTheme="minorAscii" w:hAnsiTheme="minorAscii" w:eastAsiaTheme="minorAscii" w:cstheme="minorAscii"/>
          <w:b w:val="1"/>
          <w:bCs w:val="1"/>
          <w:i w:val="0"/>
          <w:iCs w:val="0"/>
          <w:noProof w:val="0"/>
          <w:color w:val="auto"/>
          <w:sz w:val="24"/>
          <w:szCs w:val="24"/>
          <w:lang w:val="en-US"/>
        </w:rPr>
      </w:pPr>
      <w:r w:rsidRPr="058BC90B" w:rsidR="353F175F">
        <w:rPr>
          <w:rFonts w:ascii="Aptos" w:hAnsi="Aptos" w:eastAsia="Aptos" w:cs="Aptos" w:asciiTheme="minorAscii" w:hAnsiTheme="minorAscii" w:eastAsiaTheme="minorAscii" w:cstheme="minorAscii"/>
          <w:b w:val="1"/>
          <w:bCs w:val="1"/>
          <w:i w:val="0"/>
          <w:iCs w:val="0"/>
          <w:noProof w:val="0"/>
          <w:color w:val="auto"/>
          <w:sz w:val="24"/>
          <w:szCs w:val="24"/>
          <w:lang w:val="en-US"/>
        </w:rPr>
        <w:t>Contents</w:t>
      </w:r>
    </w:p>
    <w:p w:rsidR="353F175F" w:rsidP="058BC90B" w:rsidRDefault="353F175F" w14:paraId="1E73E038" w14:textId="74CB9338">
      <w:pPr>
        <w:pStyle w:val="ListParagraph"/>
        <w:numPr>
          <w:ilvl w:val="0"/>
          <w:numId w:val="6"/>
        </w:numPr>
        <w:spacing w:before="210" w:beforeAutospacing="off" w:after="210" w:afterAutospacing="off" w:line="300" w:lineRule="auto"/>
        <w:rPr>
          <w:rFonts w:ascii="Aptos" w:hAnsi="Aptos" w:eastAsia="Aptos" w:cs="Aptos" w:asciiTheme="minorAscii" w:hAnsiTheme="minorAscii" w:eastAsiaTheme="minorAscii" w:cstheme="minorAscii"/>
          <w:b w:val="1"/>
          <w:bCs w:val="1"/>
          <w:i w:val="0"/>
          <w:iCs w:val="0"/>
          <w:noProof w:val="0"/>
          <w:sz w:val="24"/>
          <w:szCs w:val="24"/>
          <w:lang w:val="en-US"/>
        </w:rPr>
      </w:pPr>
      <w:r w:rsidRPr="058BC90B" w:rsidR="353F175F">
        <w:rPr>
          <w:rFonts w:ascii="Aptos" w:hAnsi="Aptos" w:eastAsia="Aptos" w:cs="Aptos" w:asciiTheme="minorAscii" w:hAnsiTheme="minorAscii" w:eastAsiaTheme="minorAscii" w:cstheme="minorAscii"/>
          <w:b w:val="1"/>
          <w:bCs w:val="1"/>
          <w:i w:val="0"/>
          <w:iCs w:val="0"/>
          <w:noProof w:val="0"/>
          <w:sz w:val="24"/>
          <w:szCs w:val="24"/>
          <w:lang w:val="en-US"/>
        </w:rPr>
        <w:t>Introduction</w:t>
      </w:r>
    </w:p>
    <w:p w:rsidR="353F175F" w:rsidP="058BC90B" w:rsidRDefault="353F175F" w14:paraId="0A9F2BE7" w14:textId="249DAE4A">
      <w:pPr>
        <w:pStyle w:val="ListParagraph"/>
        <w:numPr>
          <w:ilvl w:val="1"/>
          <w:numId w:val="6"/>
        </w:numPr>
        <w:spacing w:before="0" w:beforeAutospacing="off" w:after="0" w:afterAutospacing="off" w:line="300" w:lineRule="auto"/>
        <w:rPr>
          <w:rFonts w:ascii="Aptos" w:hAnsi="Aptos" w:eastAsia="Aptos" w:cs="Aptos" w:asciiTheme="minorAscii" w:hAnsiTheme="minorAscii" w:eastAsiaTheme="minorAscii" w:cstheme="minorAscii"/>
          <w:b w:val="0"/>
          <w:bCs w:val="0"/>
          <w:i w:val="0"/>
          <w:iCs w:val="0"/>
          <w:noProof w:val="0"/>
          <w:sz w:val="24"/>
          <w:szCs w:val="24"/>
          <w:lang w:val="en-US"/>
        </w:rPr>
      </w:pPr>
      <w:r w:rsidRPr="058BC90B" w:rsidR="353F175F">
        <w:rPr>
          <w:rFonts w:ascii="Aptos" w:hAnsi="Aptos" w:eastAsia="Aptos" w:cs="Aptos" w:asciiTheme="minorAscii" w:hAnsiTheme="minorAscii" w:eastAsiaTheme="minorAscii" w:cstheme="minorAscii"/>
          <w:b w:val="0"/>
          <w:bCs w:val="0"/>
          <w:i w:val="0"/>
          <w:iCs w:val="0"/>
          <w:noProof w:val="0"/>
          <w:sz w:val="24"/>
          <w:szCs w:val="24"/>
          <w:lang w:val="en-US"/>
        </w:rPr>
        <w:t>Context of Marketing Strategies for Smart Wearables</w:t>
      </w:r>
    </w:p>
    <w:p w:rsidR="353F175F" w:rsidP="058BC90B" w:rsidRDefault="353F175F" w14:paraId="323FBCEA" w14:textId="69CEFEC0">
      <w:pPr>
        <w:pStyle w:val="ListParagraph"/>
        <w:numPr>
          <w:ilvl w:val="1"/>
          <w:numId w:val="6"/>
        </w:numPr>
        <w:spacing w:before="0" w:beforeAutospacing="off" w:after="0" w:afterAutospacing="off" w:line="300" w:lineRule="auto"/>
        <w:rPr>
          <w:rFonts w:ascii="Aptos" w:hAnsi="Aptos" w:eastAsia="Aptos" w:cs="Aptos" w:asciiTheme="minorAscii" w:hAnsiTheme="minorAscii" w:eastAsiaTheme="minorAscii" w:cstheme="minorAscii"/>
          <w:b w:val="0"/>
          <w:bCs w:val="0"/>
          <w:i w:val="0"/>
          <w:iCs w:val="0"/>
          <w:noProof w:val="0"/>
          <w:sz w:val="24"/>
          <w:szCs w:val="24"/>
          <w:lang w:val="en-US"/>
        </w:rPr>
      </w:pPr>
      <w:r w:rsidRPr="058BC90B" w:rsidR="353F175F">
        <w:rPr>
          <w:rFonts w:ascii="Aptos" w:hAnsi="Aptos" w:eastAsia="Aptos" w:cs="Aptos" w:asciiTheme="minorAscii" w:hAnsiTheme="minorAscii" w:eastAsiaTheme="minorAscii" w:cstheme="minorAscii"/>
          <w:b w:val="0"/>
          <w:bCs w:val="0"/>
          <w:i w:val="0"/>
          <w:iCs w:val="0"/>
          <w:noProof w:val="0"/>
          <w:sz w:val="24"/>
          <w:szCs w:val="24"/>
          <w:lang w:val="en-US"/>
        </w:rPr>
        <w:t>Relevance of Digital Engagement and AI-enabled Experiences</w:t>
      </w:r>
    </w:p>
    <w:p w:rsidR="353F175F" w:rsidP="058BC90B" w:rsidRDefault="353F175F" w14:paraId="5C40F8C4" w14:textId="24EFF8C6">
      <w:pPr>
        <w:pStyle w:val="ListParagraph"/>
        <w:numPr>
          <w:ilvl w:val="0"/>
          <w:numId w:val="6"/>
        </w:numPr>
        <w:spacing w:before="210" w:beforeAutospacing="off" w:after="210" w:afterAutospacing="off" w:line="300" w:lineRule="auto"/>
        <w:rPr>
          <w:rFonts w:ascii="Aptos" w:hAnsi="Aptos" w:eastAsia="Aptos" w:cs="Aptos" w:asciiTheme="minorAscii" w:hAnsiTheme="minorAscii" w:eastAsiaTheme="minorAscii" w:cstheme="minorAscii"/>
          <w:b w:val="0"/>
          <w:bCs w:val="0"/>
          <w:i w:val="0"/>
          <w:iCs w:val="0"/>
          <w:noProof w:val="0"/>
          <w:sz w:val="24"/>
          <w:szCs w:val="24"/>
          <w:lang w:val="en-US"/>
        </w:rPr>
      </w:pPr>
      <w:r w:rsidRPr="058BC90B" w:rsidR="353F175F">
        <w:rPr>
          <w:rFonts w:ascii="Aptos" w:hAnsi="Aptos" w:eastAsia="Aptos" w:cs="Aptos" w:asciiTheme="minorAscii" w:hAnsiTheme="minorAscii" w:eastAsiaTheme="minorAscii" w:cstheme="minorAscii"/>
          <w:b w:val="1"/>
          <w:bCs w:val="1"/>
          <w:i w:val="0"/>
          <w:iCs w:val="0"/>
          <w:noProof w:val="0"/>
          <w:sz w:val="24"/>
          <w:szCs w:val="24"/>
          <w:lang w:val="en-US"/>
        </w:rPr>
        <w:t>Overview of the Smartwatch Industry</w:t>
      </w:r>
      <w:r>
        <w:br/>
      </w:r>
      <w:r w:rsidRPr="058BC90B" w:rsidR="353F175F">
        <w:rPr>
          <w:rFonts w:ascii="Aptos" w:hAnsi="Aptos" w:eastAsia="Aptos" w:cs="Aptos" w:asciiTheme="minorAscii" w:hAnsiTheme="minorAscii" w:eastAsiaTheme="minorAscii" w:cstheme="minorAscii"/>
          <w:b w:val="0"/>
          <w:bCs w:val="0"/>
          <w:i w:val="0"/>
          <w:iCs w:val="0"/>
          <w:noProof w:val="0"/>
          <w:sz w:val="24"/>
          <w:szCs w:val="24"/>
          <w:lang w:val="en-US"/>
        </w:rPr>
        <w:t xml:space="preserve"> 2.1 Growth and Trends in the Wearable Technology Market</w:t>
      </w:r>
      <w:r>
        <w:br/>
      </w:r>
      <w:r w:rsidRPr="058BC90B" w:rsidR="353F175F">
        <w:rPr>
          <w:rFonts w:ascii="Aptos" w:hAnsi="Aptos" w:eastAsia="Aptos" w:cs="Aptos" w:asciiTheme="minorAscii" w:hAnsiTheme="minorAscii" w:eastAsiaTheme="minorAscii" w:cstheme="minorAscii"/>
          <w:b w:val="0"/>
          <w:bCs w:val="0"/>
          <w:i w:val="0"/>
          <w:iCs w:val="0"/>
          <w:noProof w:val="0"/>
          <w:sz w:val="24"/>
          <w:szCs w:val="24"/>
          <w:lang w:val="en-US"/>
        </w:rPr>
        <w:t xml:space="preserve"> 2.2 Consumer Adoption of Smartwatches</w:t>
      </w:r>
      <w:r>
        <w:br/>
      </w:r>
      <w:r w:rsidRPr="058BC90B" w:rsidR="353F175F">
        <w:rPr>
          <w:rFonts w:ascii="Aptos" w:hAnsi="Aptos" w:eastAsia="Aptos" w:cs="Aptos" w:asciiTheme="minorAscii" w:hAnsiTheme="minorAscii" w:eastAsiaTheme="minorAscii" w:cstheme="minorAscii"/>
          <w:b w:val="0"/>
          <w:bCs w:val="0"/>
          <w:i w:val="0"/>
          <w:iCs w:val="0"/>
          <w:noProof w:val="0"/>
          <w:sz w:val="24"/>
          <w:szCs w:val="24"/>
          <w:lang w:val="en-US"/>
        </w:rPr>
        <w:t xml:space="preserve"> 2.3 Competitive Landscape</w:t>
      </w:r>
    </w:p>
    <w:p w:rsidR="353F175F" w:rsidP="058BC90B" w:rsidRDefault="353F175F" w14:paraId="0A85CF60" w14:textId="6C47D272">
      <w:pPr>
        <w:pStyle w:val="ListParagraph"/>
        <w:numPr>
          <w:ilvl w:val="0"/>
          <w:numId w:val="6"/>
        </w:numPr>
        <w:spacing w:before="210" w:beforeAutospacing="off" w:after="210" w:afterAutospacing="off" w:line="300" w:lineRule="auto"/>
        <w:rPr>
          <w:rFonts w:ascii="Aptos" w:hAnsi="Aptos" w:eastAsia="Aptos" w:cs="Aptos" w:asciiTheme="minorAscii" w:hAnsiTheme="minorAscii" w:eastAsiaTheme="minorAscii" w:cstheme="minorAscii"/>
          <w:b w:val="0"/>
          <w:bCs w:val="0"/>
          <w:i w:val="0"/>
          <w:iCs w:val="0"/>
          <w:noProof w:val="0"/>
          <w:sz w:val="24"/>
          <w:szCs w:val="24"/>
          <w:lang w:val="en-US"/>
        </w:rPr>
      </w:pPr>
      <w:r w:rsidRPr="058BC90B" w:rsidR="353F175F">
        <w:rPr>
          <w:rFonts w:ascii="Aptos" w:hAnsi="Aptos" w:eastAsia="Aptos" w:cs="Aptos" w:asciiTheme="minorAscii" w:hAnsiTheme="minorAscii" w:eastAsiaTheme="minorAscii" w:cstheme="minorAscii"/>
          <w:b w:val="1"/>
          <w:bCs w:val="1"/>
          <w:i w:val="0"/>
          <w:iCs w:val="0"/>
          <w:noProof w:val="0"/>
          <w:sz w:val="24"/>
          <w:szCs w:val="24"/>
          <w:lang w:val="en-US"/>
        </w:rPr>
        <w:t>Target Market Insights</w:t>
      </w:r>
      <w:r>
        <w:br/>
      </w:r>
      <w:r w:rsidRPr="058BC90B" w:rsidR="353F175F">
        <w:rPr>
          <w:rFonts w:ascii="Aptos" w:hAnsi="Aptos" w:eastAsia="Aptos" w:cs="Aptos" w:asciiTheme="minorAscii" w:hAnsiTheme="minorAscii" w:eastAsiaTheme="minorAscii" w:cstheme="minorAscii"/>
          <w:b w:val="0"/>
          <w:bCs w:val="0"/>
          <w:i w:val="0"/>
          <w:iCs w:val="0"/>
          <w:noProof w:val="0"/>
          <w:sz w:val="24"/>
          <w:szCs w:val="24"/>
          <w:lang w:val="en-US"/>
        </w:rPr>
        <w:t xml:space="preserve"> 3.1 Demographic Segmentation</w:t>
      </w:r>
      <w:r>
        <w:br/>
      </w:r>
      <w:r w:rsidRPr="058BC90B" w:rsidR="353F175F">
        <w:rPr>
          <w:rFonts w:ascii="Aptos" w:hAnsi="Aptos" w:eastAsia="Aptos" w:cs="Aptos" w:asciiTheme="minorAscii" w:hAnsiTheme="minorAscii" w:eastAsiaTheme="minorAscii" w:cstheme="minorAscii"/>
          <w:b w:val="0"/>
          <w:bCs w:val="0"/>
          <w:i w:val="0"/>
          <w:iCs w:val="0"/>
          <w:noProof w:val="0"/>
          <w:sz w:val="24"/>
          <w:szCs w:val="24"/>
          <w:lang w:val="en-US"/>
        </w:rPr>
        <w:t xml:space="preserve"> 3.2 Psychographic and Behavioral Segmentation</w:t>
      </w:r>
      <w:r>
        <w:br/>
      </w:r>
      <w:r w:rsidRPr="058BC90B" w:rsidR="353F175F">
        <w:rPr>
          <w:rFonts w:ascii="Aptos" w:hAnsi="Aptos" w:eastAsia="Aptos" w:cs="Aptos" w:asciiTheme="minorAscii" w:hAnsiTheme="minorAscii" w:eastAsiaTheme="minorAscii" w:cstheme="minorAscii"/>
          <w:b w:val="0"/>
          <w:bCs w:val="0"/>
          <w:i w:val="0"/>
          <w:iCs w:val="0"/>
          <w:noProof w:val="0"/>
          <w:sz w:val="24"/>
          <w:szCs w:val="24"/>
          <w:lang w:val="en-US"/>
        </w:rPr>
        <w:t xml:space="preserve"> 3.3 Consumer Needs and Pain Points</w:t>
      </w:r>
    </w:p>
    <w:p w:rsidR="353F175F" w:rsidP="058BC90B" w:rsidRDefault="353F175F" w14:paraId="308667B5" w14:textId="07CBAA3A">
      <w:pPr>
        <w:pStyle w:val="ListParagraph"/>
        <w:numPr>
          <w:ilvl w:val="0"/>
          <w:numId w:val="6"/>
        </w:numPr>
        <w:spacing w:before="210" w:beforeAutospacing="off" w:after="210" w:afterAutospacing="off" w:line="300" w:lineRule="auto"/>
        <w:rPr>
          <w:rFonts w:ascii="Aptos" w:hAnsi="Aptos" w:eastAsia="Aptos" w:cs="Aptos" w:asciiTheme="minorAscii" w:hAnsiTheme="minorAscii" w:eastAsiaTheme="minorAscii" w:cstheme="minorAscii"/>
          <w:b w:val="0"/>
          <w:bCs w:val="0"/>
          <w:i w:val="0"/>
          <w:iCs w:val="0"/>
          <w:noProof w:val="0"/>
          <w:sz w:val="24"/>
          <w:szCs w:val="24"/>
          <w:lang w:val="en-US"/>
        </w:rPr>
      </w:pPr>
      <w:r w:rsidRPr="058BC90B" w:rsidR="353F175F">
        <w:rPr>
          <w:rFonts w:ascii="Aptos" w:hAnsi="Aptos" w:eastAsia="Aptos" w:cs="Aptos" w:asciiTheme="minorAscii" w:hAnsiTheme="minorAscii" w:eastAsiaTheme="minorAscii" w:cstheme="minorAscii"/>
          <w:b w:val="1"/>
          <w:bCs w:val="1"/>
          <w:i w:val="0"/>
          <w:iCs w:val="0"/>
          <w:noProof w:val="0"/>
          <w:sz w:val="24"/>
          <w:szCs w:val="24"/>
          <w:lang w:val="en-US"/>
        </w:rPr>
        <w:t>Marketing Theories and Frameworks</w:t>
      </w:r>
      <w:r>
        <w:br/>
      </w:r>
      <w:r w:rsidRPr="058BC90B" w:rsidR="353F175F">
        <w:rPr>
          <w:rFonts w:ascii="Aptos" w:hAnsi="Aptos" w:eastAsia="Aptos" w:cs="Aptos" w:asciiTheme="minorAscii" w:hAnsiTheme="minorAscii" w:eastAsiaTheme="minorAscii" w:cstheme="minorAscii"/>
          <w:b w:val="0"/>
          <w:bCs w:val="0"/>
          <w:i w:val="0"/>
          <w:iCs w:val="0"/>
          <w:noProof w:val="0"/>
          <w:sz w:val="24"/>
          <w:szCs w:val="24"/>
          <w:lang w:val="en-US"/>
        </w:rPr>
        <w:t xml:space="preserve"> 4.1 Marketing Mix</w:t>
      </w:r>
      <w:r>
        <w:br/>
      </w:r>
      <w:r w:rsidRPr="058BC90B" w:rsidR="353F175F">
        <w:rPr>
          <w:rFonts w:ascii="Aptos" w:hAnsi="Aptos" w:eastAsia="Aptos" w:cs="Aptos" w:asciiTheme="minorAscii" w:hAnsiTheme="minorAscii" w:eastAsiaTheme="minorAscii" w:cstheme="minorAscii"/>
          <w:b w:val="0"/>
          <w:bCs w:val="0"/>
          <w:i w:val="0"/>
          <w:iCs w:val="0"/>
          <w:noProof w:val="0"/>
          <w:sz w:val="24"/>
          <w:szCs w:val="24"/>
          <w:lang w:val="en-US"/>
        </w:rPr>
        <w:t xml:space="preserve"> 4.2 STP Model</w:t>
      </w:r>
      <w:r>
        <w:br/>
      </w:r>
      <w:r w:rsidRPr="058BC90B" w:rsidR="353F175F">
        <w:rPr>
          <w:rFonts w:ascii="Aptos" w:hAnsi="Aptos" w:eastAsia="Aptos" w:cs="Aptos" w:asciiTheme="minorAscii" w:hAnsiTheme="minorAscii" w:eastAsiaTheme="minorAscii" w:cstheme="minorAscii"/>
          <w:b w:val="0"/>
          <w:bCs w:val="0"/>
          <w:i w:val="0"/>
          <w:iCs w:val="0"/>
          <w:noProof w:val="0"/>
          <w:sz w:val="24"/>
          <w:szCs w:val="24"/>
          <w:lang w:val="en-US"/>
        </w:rPr>
        <w:t xml:space="preserve"> 4.3 Consumer Decision-Making Models</w:t>
      </w:r>
      <w:r>
        <w:br/>
      </w:r>
      <w:r w:rsidRPr="058BC90B" w:rsidR="353F175F">
        <w:rPr>
          <w:rFonts w:ascii="Aptos" w:hAnsi="Aptos" w:eastAsia="Aptos" w:cs="Aptos" w:asciiTheme="minorAscii" w:hAnsiTheme="minorAscii" w:eastAsiaTheme="minorAscii" w:cstheme="minorAscii"/>
          <w:b w:val="0"/>
          <w:bCs w:val="0"/>
          <w:i w:val="0"/>
          <w:iCs w:val="0"/>
          <w:noProof w:val="0"/>
          <w:sz w:val="24"/>
          <w:szCs w:val="24"/>
          <w:lang w:val="en-US"/>
        </w:rPr>
        <w:t xml:space="preserve"> 4.4 Technology Adoption Models</w:t>
      </w:r>
    </w:p>
    <w:p w:rsidR="353F175F" w:rsidP="058BC90B" w:rsidRDefault="353F175F" w14:paraId="4E417660" w14:textId="5C00EB84">
      <w:pPr>
        <w:pStyle w:val="ListParagraph"/>
        <w:numPr>
          <w:ilvl w:val="0"/>
          <w:numId w:val="6"/>
        </w:numPr>
        <w:spacing w:before="210" w:beforeAutospacing="off" w:after="210" w:afterAutospacing="off" w:line="300" w:lineRule="auto"/>
        <w:rPr>
          <w:rFonts w:ascii="Aptos" w:hAnsi="Aptos" w:eastAsia="Aptos" w:cs="Aptos" w:asciiTheme="minorAscii" w:hAnsiTheme="minorAscii" w:eastAsiaTheme="minorAscii" w:cstheme="minorAscii"/>
          <w:b w:val="0"/>
          <w:bCs w:val="0"/>
          <w:i w:val="0"/>
          <w:iCs w:val="0"/>
          <w:noProof w:val="0"/>
          <w:sz w:val="24"/>
          <w:szCs w:val="24"/>
          <w:lang w:val="en-US"/>
        </w:rPr>
      </w:pPr>
      <w:r w:rsidRPr="058BC90B" w:rsidR="353F175F">
        <w:rPr>
          <w:rFonts w:ascii="Aptos" w:hAnsi="Aptos" w:eastAsia="Aptos" w:cs="Aptos" w:asciiTheme="minorAscii" w:hAnsiTheme="minorAscii" w:eastAsiaTheme="minorAscii" w:cstheme="minorAscii"/>
          <w:b w:val="1"/>
          <w:bCs w:val="1"/>
          <w:i w:val="0"/>
          <w:iCs w:val="0"/>
          <w:noProof w:val="0"/>
          <w:sz w:val="24"/>
          <w:szCs w:val="24"/>
          <w:lang w:val="en-US"/>
        </w:rPr>
        <w:t>Place &amp; Distribution</w:t>
      </w:r>
      <w:r>
        <w:br/>
      </w:r>
      <w:r w:rsidRPr="058BC90B" w:rsidR="353F175F">
        <w:rPr>
          <w:rFonts w:ascii="Aptos" w:hAnsi="Aptos" w:eastAsia="Aptos" w:cs="Aptos" w:asciiTheme="minorAscii" w:hAnsiTheme="minorAscii" w:eastAsiaTheme="minorAscii" w:cstheme="minorAscii"/>
          <w:b w:val="0"/>
          <w:bCs w:val="0"/>
          <w:i w:val="0"/>
          <w:iCs w:val="0"/>
          <w:noProof w:val="0"/>
          <w:sz w:val="24"/>
          <w:szCs w:val="24"/>
          <w:lang w:val="en-US"/>
        </w:rPr>
        <w:t xml:space="preserve"> 5.1 Online vs. In-Store Retail</w:t>
      </w:r>
      <w:r>
        <w:br/>
      </w:r>
      <w:r w:rsidRPr="058BC90B" w:rsidR="353F175F">
        <w:rPr>
          <w:rFonts w:ascii="Aptos" w:hAnsi="Aptos" w:eastAsia="Aptos" w:cs="Aptos" w:asciiTheme="minorAscii" w:hAnsiTheme="minorAscii" w:eastAsiaTheme="minorAscii" w:cstheme="minorAscii"/>
          <w:b w:val="0"/>
          <w:bCs w:val="0"/>
          <w:i w:val="0"/>
          <w:iCs w:val="0"/>
          <w:noProof w:val="0"/>
          <w:sz w:val="24"/>
          <w:szCs w:val="24"/>
          <w:lang w:val="en-US"/>
        </w:rPr>
        <w:t xml:space="preserve"> 5.2 E-Commerce Marketplaces</w:t>
      </w:r>
      <w:r>
        <w:br/>
      </w:r>
      <w:r w:rsidRPr="058BC90B" w:rsidR="353F175F">
        <w:rPr>
          <w:rFonts w:ascii="Aptos" w:hAnsi="Aptos" w:eastAsia="Aptos" w:cs="Aptos" w:asciiTheme="minorAscii" w:hAnsiTheme="minorAscii" w:eastAsiaTheme="minorAscii" w:cstheme="minorAscii"/>
          <w:b w:val="0"/>
          <w:bCs w:val="0"/>
          <w:i w:val="0"/>
          <w:iCs w:val="0"/>
          <w:noProof w:val="0"/>
          <w:sz w:val="24"/>
          <w:szCs w:val="24"/>
          <w:lang w:val="en-US"/>
        </w:rPr>
        <w:t xml:space="preserve"> 5.3 Direct-to-Consumer Strategies</w:t>
      </w:r>
    </w:p>
    <w:p w:rsidR="353F175F" w:rsidP="058BC90B" w:rsidRDefault="353F175F" w14:paraId="41BA2AB0" w14:textId="64FC943C">
      <w:pPr>
        <w:pStyle w:val="ListParagraph"/>
        <w:numPr>
          <w:ilvl w:val="0"/>
          <w:numId w:val="6"/>
        </w:numPr>
        <w:spacing w:before="210" w:beforeAutospacing="off" w:after="210" w:afterAutospacing="off" w:line="300" w:lineRule="auto"/>
        <w:rPr>
          <w:rFonts w:ascii="Aptos" w:hAnsi="Aptos" w:eastAsia="Aptos" w:cs="Aptos" w:asciiTheme="minorAscii" w:hAnsiTheme="minorAscii" w:eastAsiaTheme="minorAscii" w:cstheme="minorAscii"/>
          <w:b w:val="0"/>
          <w:bCs w:val="0"/>
          <w:i w:val="0"/>
          <w:iCs w:val="0"/>
          <w:noProof w:val="0"/>
          <w:sz w:val="24"/>
          <w:szCs w:val="24"/>
          <w:lang w:val="en-US"/>
        </w:rPr>
      </w:pPr>
      <w:r w:rsidRPr="058BC90B" w:rsidR="353F175F">
        <w:rPr>
          <w:rFonts w:ascii="Aptos" w:hAnsi="Aptos" w:eastAsia="Aptos" w:cs="Aptos" w:asciiTheme="minorAscii" w:hAnsiTheme="minorAscii" w:eastAsiaTheme="minorAscii" w:cstheme="minorAscii"/>
          <w:b w:val="1"/>
          <w:bCs w:val="1"/>
          <w:i w:val="0"/>
          <w:iCs w:val="0"/>
          <w:noProof w:val="0"/>
          <w:sz w:val="24"/>
          <w:szCs w:val="24"/>
          <w:lang w:val="en-US"/>
        </w:rPr>
        <w:t>Gaps in Literature</w:t>
      </w:r>
      <w:r>
        <w:br/>
      </w:r>
      <w:r w:rsidRPr="058BC90B" w:rsidR="353F175F">
        <w:rPr>
          <w:rFonts w:ascii="Aptos" w:hAnsi="Aptos" w:eastAsia="Aptos" w:cs="Aptos" w:asciiTheme="minorAscii" w:hAnsiTheme="minorAscii" w:eastAsiaTheme="minorAscii" w:cstheme="minorAscii"/>
          <w:b w:val="0"/>
          <w:bCs w:val="0"/>
          <w:i w:val="0"/>
          <w:iCs w:val="0"/>
          <w:noProof w:val="0"/>
          <w:sz w:val="24"/>
          <w:szCs w:val="24"/>
          <w:lang w:val="en-US"/>
        </w:rPr>
        <w:t xml:space="preserve"> 6.1 Unexplored Areas</w:t>
      </w:r>
      <w:r>
        <w:br/>
      </w:r>
      <w:r w:rsidRPr="058BC90B" w:rsidR="353F175F">
        <w:rPr>
          <w:rFonts w:ascii="Aptos" w:hAnsi="Aptos" w:eastAsia="Aptos" w:cs="Aptos" w:asciiTheme="minorAscii" w:hAnsiTheme="minorAscii" w:eastAsiaTheme="minorAscii" w:cstheme="minorAscii"/>
          <w:b w:val="0"/>
          <w:bCs w:val="0"/>
          <w:i w:val="0"/>
          <w:iCs w:val="0"/>
          <w:noProof w:val="0"/>
          <w:sz w:val="24"/>
          <w:szCs w:val="24"/>
          <w:lang w:val="en-US"/>
        </w:rPr>
        <w:t xml:space="preserve"> 6.2 Limitations of Current Research</w:t>
      </w:r>
    </w:p>
    <w:p w:rsidR="353F175F" w:rsidP="058BC90B" w:rsidRDefault="353F175F" w14:paraId="7CFF1927" w14:textId="3D64CB3F">
      <w:pPr>
        <w:pStyle w:val="ListParagraph"/>
        <w:numPr>
          <w:ilvl w:val="0"/>
          <w:numId w:val="6"/>
        </w:numPr>
        <w:spacing w:before="210" w:beforeAutospacing="off" w:after="210" w:afterAutospacing="off" w:line="300" w:lineRule="auto"/>
        <w:rPr>
          <w:rFonts w:ascii="Aptos" w:hAnsi="Aptos" w:eastAsia="Aptos" w:cs="Aptos" w:asciiTheme="minorAscii" w:hAnsiTheme="minorAscii" w:eastAsiaTheme="minorAscii" w:cstheme="minorAscii"/>
          <w:b w:val="1"/>
          <w:bCs w:val="1"/>
          <w:i w:val="0"/>
          <w:iCs w:val="0"/>
          <w:noProof w:val="0"/>
          <w:sz w:val="24"/>
          <w:szCs w:val="24"/>
          <w:lang w:val="en-US"/>
        </w:rPr>
      </w:pPr>
      <w:r w:rsidRPr="058BC90B" w:rsidR="353F175F">
        <w:rPr>
          <w:rFonts w:ascii="Aptos" w:hAnsi="Aptos" w:eastAsia="Aptos" w:cs="Aptos" w:asciiTheme="minorAscii" w:hAnsiTheme="minorAscii" w:eastAsiaTheme="minorAscii" w:cstheme="minorAscii"/>
          <w:b w:val="1"/>
          <w:bCs w:val="1"/>
          <w:i w:val="0"/>
          <w:iCs w:val="0"/>
          <w:noProof w:val="0"/>
          <w:sz w:val="24"/>
          <w:szCs w:val="24"/>
          <w:lang w:val="en-US"/>
        </w:rPr>
        <w:t>Conclusion</w:t>
      </w:r>
    </w:p>
    <w:p w:rsidR="353F175F" w:rsidP="058BC90B" w:rsidRDefault="353F175F" w14:paraId="197D7E7D" w14:textId="1928684D">
      <w:pPr>
        <w:pStyle w:val="ListParagraph"/>
        <w:numPr>
          <w:ilvl w:val="0"/>
          <w:numId w:val="6"/>
        </w:numPr>
        <w:spacing w:before="210" w:beforeAutospacing="off" w:after="210" w:afterAutospacing="off" w:line="300" w:lineRule="auto"/>
        <w:rPr>
          <w:rFonts w:ascii="Aptos" w:hAnsi="Aptos" w:eastAsia="Aptos" w:cs="Aptos" w:asciiTheme="minorAscii" w:hAnsiTheme="minorAscii" w:eastAsiaTheme="minorAscii" w:cstheme="minorAscii"/>
          <w:b w:val="1"/>
          <w:bCs w:val="1"/>
          <w:i w:val="0"/>
          <w:iCs w:val="0"/>
          <w:noProof w:val="0"/>
          <w:sz w:val="24"/>
          <w:szCs w:val="24"/>
          <w:lang w:val="en-US"/>
        </w:rPr>
      </w:pPr>
      <w:r w:rsidRPr="058BC90B" w:rsidR="353F175F">
        <w:rPr>
          <w:rFonts w:ascii="Aptos" w:hAnsi="Aptos" w:eastAsia="Aptos" w:cs="Aptos" w:asciiTheme="minorAscii" w:hAnsiTheme="minorAscii" w:eastAsiaTheme="minorAscii" w:cstheme="minorAscii"/>
          <w:b w:val="1"/>
          <w:bCs w:val="1"/>
          <w:i w:val="0"/>
          <w:iCs w:val="0"/>
          <w:noProof w:val="0"/>
          <w:sz w:val="24"/>
          <w:szCs w:val="24"/>
          <w:lang w:val="en-US"/>
        </w:rPr>
        <w:t>Appendices</w:t>
      </w:r>
    </w:p>
    <w:p w:rsidR="353F175F" w:rsidP="058BC90B" w:rsidRDefault="353F175F" w14:paraId="364C3A75" w14:textId="0B37ECDA">
      <w:pPr>
        <w:pStyle w:val="ListParagraph"/>
        <w:numPr>
          <w:ilvl w:val="1"/>
          <w:numId w:val="6"/>
        </w:numPr>
        <w:spacing w:before="0" w:beforeAutospacing="off" w:after="0" w:afterAutospacing="off" w:line="300" w:lineRule="auto"/>
        <w:rPr>
          <w:rFonts w:ascii="Aptos" w:hAnsi="Aptos" w:eastAsia="Aptos" w:cs="Aptos" w:asciiTheme="minorAscii" w:hAnsiTheme="minorAscii" w:eastAsiaTheme="minorAscii" w:cstheme="minorAscii"/>
          <w:b w:val="0"/>
          <w:bCs w:val="0"/>
          <w:i w:val="0"/>
          <w:iCs w:val="0"/>
          <w:noProof w:val="0"/>
          <w:sz w:val="24"/>
          <w:szCs w:val="24"/>
          <w:lang w:val="en-US"/>
        </w:rPr>
      </w:pPr>
      <w:r w:rsidRPr="058BC90B" w:rsidR="353F175F">
        <w:rPr>
          <w:rFonts w:ascii="Aptos" w:hAnsi="Aptos" w:eastAsia="Aptos" w:cs="Aptos" w:asciiTheme="minorAscii" w:hAnsiTheme="minorAscii" w:eastAsiaTheme="minorAscii" w:cstheme="minorAscii"/>
          <w:b w:val="0"/>
          <w:bCs w:val="0"/>
          <w:i w:val="0"/>
          <w:iCs w:val="0"/>
          <w:noProof w:val="0"/>
          <w:sz w:val="24"/>
          <w:szCs w:val="24"/>
          <w:lang w:val="en-US"/>
        </w:rPr>
        <w:t>Appendix A: Search Strategy</w:t>
      </w:r>
    </w:p>
    <w:p w:rsidR="353F175F" w:rsidP="058BC90B" w:rsidRDefault="353F175F" w14:paraId="0BAC276E" w14:textId="0503FC48">
      <w:pPr>
        <w:pStyle w:val="ListParagraph"/>
        <w:numPr>
          <w:ilvl w:val="1"/>
          <w:numId w:val="6"/>
        </w:numPr>
        <w:spacing w:before="0" w:beforeAutospacing="off" w:after="0" w:afterAutospacing="off" w:line="300" w:lineRule="auto"/>
        <w:rPr>
          <w:rFonts w:ascii="Aptos" w:hAnsi="Aptos" w:eastAsia="Aptos" w:cs="Aptos" w:asciiTheme="minorAscii" w:hAnsiTheme="minorAscii" w:eastAsiaTheme="minorAscii" w:cstheme="minorAscii"/>
          <w:b w:val="0"/>
          <w:bCs w:val="0"/>
          <w:i w:val="0"/>
          <w:iCs w:val="0"/>
          <w:noProof w:val="0"/>
          <w:sz w:val="24"/>
          <w:szCs w:val="24"/>
          <w:lang w:val="en-US"/>
        </w:rPr>
      </w:pPr>
      <w:r w:rsidRPr="058BC90B" w:rsidR="353F175F">
        <w:rPr>
          <w:rFonts w:ascii="Aptos" w:hAnsi="Aptos" w:eastAsia="Aptos" w:cs="Aptos" w:asciiTheme="minorAscii" w:hAnsiTheme="minorAscii" w:eastAsiaTheme="minorAscii" w:cstheme="minorAscii"/>
          <w:b w:val="0"/>
          <w:bCs w:val="0"/>
          <w:i w:val="0"/>
          <w:iCs w:val="0"/>
          <w:noProof w:val="0"/>
          <w:sz w:val="24"/>
          <w:szCs w:val="24"/>
          <w:lang w:val="en-US"/>
        </w:rPr>
        <w:t>Appendix B: Summary Table of Key Contributions</w:t>
      </w:r>
    </w:p>
    <w:p w:rsidR="353F175F" w:rsidP="058BC90B" w:rsidRDefault="353F175F" w14:paraId="7C4A0C67" w14:textId="7314B28B">
      <w:pPr>
        <w:pStyle w:val="ListParagraph"/>
        <w:numPr>
          <w:ilvl w:val="1"/>
          <w:numId w:val="6"/>
        </w:numPr>
        <w:spacing w:before="0" w:beforeAutospacing="off" w:after="0" w:afterAutospacing="off" w:line="300" w:lineRule="auto"/>
        <w:rPr>
          <w:rFonts w:ascii="Aptos" w:hAnsi="Aptos" w:eastAsia="Aptos" w:cs="Aptos" w:asciiTheme="minorAscii" w:hAnsiTheme="minorAscii" w:eastAsiaTheme="minorAscii" w:cstheme="minorAscii"/>
          <w:b w:val="0"/>
          <w:bCs w:val="0"/>
          <w:i w:val="0"/>
          <w:iCs w:val="0"/>
          <w:noProof w:val="0"/>
          <w:sz w:val="24"/>
          <w:szCs w:val="24"/>
          <w:lang w:val="en-US"/>
        </w:rPr>
      </w:pPr>
      <w:r w:rsidRPr="058BC90B" w:rsidR="353F175F">
        <w:rPr>
          <w:rFonts w:ascii="Aptos" w:hAnsi="Aptos" w:eastAsia="Aptos" w:cs="Aptos" w:asciiTheme="minorAscii" w:hAnsiTheme="minorAscii" w:eastAsiaTheme="minorAscii" w:cstheme="minorAscii"/>
          <w:b w:val="0"/>
          <w:bCs w:val="0"/>
          <w:i w:val="0"/>
          <w:iCs w:val="0"/>
          <w:noProof w:val="0"/>
          <w:sz w:val="24"/>
          <w:szCs w:val="24"/>
          <w:lang w:val="en-US"/>
        </w:rPr>
        <w:t>Appendix C: Ethical Considerations</w:t>
      </w:r>
    </w:p>
    <w:p w:rsidR="353F175F" w:rsidP="058BC90B" w:rsidRDefault="353F175F" w14:paraId="1A973CCC" w14:textId="6DC0DFAF">
      <w:pPr>
        <w:pStyle w:val="ListParagraph"/>
        <w:numPr>
          <w:ilvl w:val="0"/>
          <w:numId w:val="6"/>
        </w:numPr>
        <w:spacing w:before="210" w:beforeAutospacing="off" w:after="210" w:afterAutospacing="off" w:line="300" w:lineRule="auto"/>
        <w:rPr>
          <w:rFonts w:ascii="Aptos" w:hAnsi="Aptos" w:eastAsia="Aptos" w:cs="Aptos" w:asciiTheme="minorAscii" w:hAnsiTheme="minorAscii" w:eastAsiaTheme="minorAscii" w:cstheme="minorAscii"/>
          <w:b w:val="1"/>
          <w:bCs w:val="1"/>
          <w:i w:val="0"/>
          <w:iCs w:val="0"/>
          <w:noProof w:val="0"/>
          <w:sz w:val="24"/>
          <w:szCs w:val="24"/>
          <w:lang w:val="en-US"/>
        </w:rPr>
      </w:pPr>
      <w:r w:rsidRPr="058BC90B" w:rsidR="353F175F">
        <w:rPr>
          <w:rFonts w:ascii="Aptos" w:hAnsi="Aptos" w:eastAsia="Aptos" w:cs="Aptos" w:asciiTheme="minorAscii" w:hAnsiTheme="minorAscii" w:eastAsiaTheme="minorAscii" w:cstheme="minorAscii"/>
          <w:b w:val="1"/>
          <w:bCs w:val="1"/>
          <w:i w:val="0"/>
          <w:iCs w:val="0"/>
          <w:noProof w:val="0"/>
          <w:sz w:val="24"/>
          <w:szCs w:val="24"/>
          <w:lang w:val="en-US"/>
        </w:rPr>
        <w:t>References</w:t>
      </w:r>
    </w:p>
    <w:p w:rsidR="058BC90B" w:rsidP="058BC90B" w:rsidRDefault="058BC90B" w14:paraId="70C46A13" w14:textId="7F279178">
      <w:pPr>
        <w:pStyle w:val="Normal"/>
        <w:rPr>
          <w:rFonts w:ascii="Aptos" w:hAnsi="Aptos" w:eastAsia="Aptos" w:cs="Aptos"/>
          <w:noProof w:val="0"/>
          <w:sz w:val="24"/>
          <w:szCs w:val="24"/>
          <w:lang w:val="en-US"/>
        </w:rPr>
      </w:pPr>
    </w:p>
    <w:p w:rsidR="1EB9090B" w:rsidP="1EB9090B" w:rsidRDefault="1EB9090B" w14:paraId="0E70609E" w14:textId="7CBBF00F">
      <w:pPr>
        <w:pStyle w:val="Normal"/>
        <w:rPr>
          <w:rFonts w:ascii="Aptos" w:hAnsi="Aptos" w:eastAsia="Aptos" w:cs="Aptos"/>
          <w:noProof w:val="0"/>
          <w:sz w:val="24"/>
          <w:szCs w:val="24"/>
          <w:lang w:val="en-US"/>
        </w:rPr>
      </w:pPr>
    </w:p>
    <w:p w:rsidR="0F2836B2" w:rsidP="1EB9090B" w:rsidRDefault="0F2836B2" w14:paraId="4542763D" w14:textId="74518D40">
      <w:pPr>
        <w:pStyle w:val="Normal"/>
      </w:pPr>
      <w:r w:rsidRPr="0444835D" w:rsidR="2CB59A21">
        <w:rPr>
          <w:rFonts w:ascii="Aptos" w:hAnsi="Aptos" w:eastAsia="Aptos" w:cs="Aptos"/>
          <w:noProof w:val="0"/>
          <w:sz w:val="24"/>
          <w:szCs w:val="24"/>
          <w:lang w:val="en-US"/>
        </w:rPr>
        <w:t xml:space="preserve">1. Introduction </w:t>
      </w:r>
    </w:p>
    <w:p w:rsidR="0444835D" w:rsidP="0444835D" w:rsidRDefault="0444835D" w14:paraId="1AC18A0C" w14:textId="213518D8">
      <w:pPr>
        <w:pStyle w:val="Normal"/>
        <w:rPr>
          <w:rFonts w:ascii="Aptos" w:hAnsi="Aptos" w:eastAsia="Aptos" w:cs="Aptos"/>
          <w:noProof w:val="0"/>
          <w:sz w:val="24"/>
          <w:szCs w:val="24"/>
          <w:lang w:val="en-US"/>
        </w:rPr>
      </w:pPr>
      <w:r w:rsidRPr="058BC90B" w:rsidR="29EDEA75">
        <w:rPr>
          <w:rFonts w:ascii="Aptos" w:hAnsi="Aptos" w:eastAsia="Aptos" w:cs="Aptos"/>
          <w:noProof w:val="0"/>
          <w:sz w:val="24"/>
          <w:szCs w:val="24"/>
          <w:lang w:val="en-US"/>
        </w:rPr>
        <w:t xml:space="preserve">Marketing strategies for smart wearables, especially smartwatches, </w:t>
      </w:r>
      <w:r w:rsidRPr="058BC90B" w:rsidR="29EDEA75">
        <w:rPr>
          <w:rFonts w:ascii="Aptos" w:hAnsi="Aptos" w:eastAsia="Aptos" w:cs="Aptos"/>
          <w:noProof w:val="0"/>
          <w:sz w:val="24"/>
          <w:szCs w:val="24"/>
          <w:lang w:val="en-US"/>
        </w:rPr>
        <w:t>necessitate</w:t>
      </w:r>
      <w:r w:rsidRPr="058BC90B" w:rsidR="29EDEA75">
        <w:rPr>
          <w:rFonts w:ascii="Aptos" w:hAnsi="Aptos" w:eastAsia="Aptos" w:cs="Aptos"/>
          <w:noProof w:val="0"/>
          <w:sz w:val="24"/>
          <w:szCs w:val="24"/>
          <w:lang w:val="en-US"/>
        </w:rPr>
        <w:t xml:space="preserve"> a synthesis of consumer behavior, technology adoption, and modern distribution tactics. The larger context of digital engagement and AI-enabled experiences is still pertinent even though the Gard Pro Smartwatch is positioned within the consumer electronics domain. </w:t>
      </w:r>
      <w:r w:rsidRPr="058BC90B" w:rsidR="29EDEA75">
        <w:rPr>
          <w:rFonts w:ascii="Aptos" w:hAnsi="Aptos" w:eastAsia="Aptos" w:cs="Aptos"/>
          <w:noProof w:val="0"/>
          <w:sz w:val="24"/>
          <w:szCs w:val="24"/>
          <w:lang w:val="en-US"/>
        </w:rPr>
        <w:t>Like</w:t>
      </w:r>
      <w:r w:rsidRPr="058BC90B" w:rsidR="29EDEA75">
        <w:rPr>
          <w:rFonts w:ascii="Aptos" w:hAnsi="Aptos" w:eastAsia="Aptos" w:cs="Aptos"/>
          <w:noProof w:val="0"/>
          <w:sz w:val="24"/>
          <w:szCs w:val="24"/>
          <w:lang w:val="en-US"/>
        </w:rPr>
        <w:t xml:space="preserve"> wearable interfaces that encourage users to adopt healthier routines and perform better, research on digital learning environments shows how interactive technologies can boost engagement by personalizing content, boosting feedback immediacy, and promoting self-regulated behaviors (Smith &amp; Brown, 2023). Similarly, the growth of AI use cases highlights the significance of human-computer interaction, explainability, and data privacy, all of which influence how users understand and trust intelligent features within smartwatch ecosystems (Johnson, 2022). A review of the literature covering the structure and growth of the smartwatch industry, target market characteristics, marketing frameworks, place/distribution strategies, and gaps that influence future research and managerial decision-making is motivated by these similarities.</w:t>
      </w:r>
    </w:p>
    <w:p w:rsidR="0444835D" w:rsidP="0444835D" w:rsidRDefault="0444835D" w14:paraId="27097BD3" w14:textId="02DC69B0">
      <w:pPr>
        <w:pStyle w:val="Normal"/>
        <w:rPr>
          <w:rFonts w:ascii="Aptos" w:hAnsi="Aptos" w:eastAsia="Aptos" w:cs="Aptos"/>
          <w:noProof w:val="0"/>
          <w:sz w:val="24"/>
          <w:szCs w:val="24"/>
          <w:lang w:val="en-US"/>
        </w:rPr>
      </w:pPr>
    </w:p>
    <w:p w:rsidR="0F2836B2" w:rsidP="058BC90B" w:rsidRDefault="0F2836B2" w14:paraId="54AC7088" w14:textId="3AAFBE8C">
      <w:pPr>
        <w:pStyle w:val="Normal"/>
        <w:rPr>
          <w:rFonts w:ascii="Aptos" w:hAnsi="Aptos" w:eastAsia="Aptos" w:cs="Aptos"/>
          <w:noProof w:val="0"/>
          <w:sz w:val="24"/>
          <w:szCs w:val="24"/>
          <w:lang w:val="en-US"/>
        </w:rPr>
      </w:pPr>
      <w:r w:rsidRPr="058BC90B" w:rsidR="5F2B5046">
        <w:rPr>
          <w:rFonts w:ascii="Aptos" w:hAnsi="Aptos" w:eastAsia="Aptos" w:cs="Aptos"/>
          <w:noProof w:val="0"/>
          <w:sz w:val="24"/>
          <w:szCs w:val="24"/>
          <w:lang w:val="en-US"/>
        </w:rPr>
        <w:t xml:space="preserve">2. Overview of the Smartwatch Industry </w:t>
      </w:r>
    </w:p>
    <w:p w:rsidR="679776DD" w:rsidP="679776DD" w:rsidRDefault="679776DD" w14:paraId="0B18D6BF" w14:textId="0CE5E8CB">
      <w:pPr>
        <w:pStyle w:val="Normal"/>
        <w:rPr>
          <w:rFonts w:ascii="Aptos" w:hAnsi="Aptos" w:eastAsia="Aptos" w:cs="Aptos"/>
          <w:noProof w:val="0"/>
          <w:sz w:val="24"/>
          <w:szCs w:val="24"/>
          <w:lang w:val="en-US"/>
        </w:rPr>
      </w:pPr>
    </w:p>
    <w:p w:rsidR="0F2836B2" w:rsidP="1EB9090B" w:rsidRDefault="0F2836B2" w14:paraId="1E49ED50" w14:textId="65F17A39">
      <w:pPr>
        <w:pStyle w:val="Normal"/>
      </w:pPr>
      <w:r w:rsidRPr="679776DD" w:rsidR="5F2B5046">
        <w:rPr>
          <w:rFonts w:ascii="Aptos" w:hAnsi="Aptos" w:eastAsia="Aptos" w:cs="Aptos"/>
          <w:noProof w:val="0"/>
          <w:sz w:val="24"/>
          <w:szCs w:val="24"/>
          <w:lang w:val="en-US"/>
        </w:rPr>
        <w:t xml:space="preserve">2.1 Growth and Trends in the Wearable Technology Market </w:t>
      </w:r>
    </w:p>
    <w:p w:rsidR="123D1B03" w:rsidP="679776DD" w:rsidRDefault="123D1B03" w14:paraId="09663AD3" w14:textId="40FCBBB8">
      <w:pPr>
        <w:pStyle w:val="Normal"/>
        <w:rPr>
          <w:rFonts w:ascii="Aptos" w:hAnsi="Aptos" w:eastAsia="Aptos" w:cs="Aptos"/>
          <w:noProof w:val="0"/>
          <w:sz w:val="24"/>
          <w:szCs w:val="24"/>
          <w:lang w:val="en-US"/>
        </w:rPr>
      </w:pPr>
      <w:r w:rsidRPr="679776DD" w:rsidR="123D1B03">
        <w:rPr>
          <w:rFonts w:ascii="Aptos" w:hAnsi="Aptos" w:eastAsia="Aptos" w:cs="Aptos"/>
          <w:noProof w:val="0"/>
          <w:sz w:val="24"/>
          <w:szCs w:val="24"/>
          <w:lang w:val="en-US"/>
        </w:rPr>
        <w:t xml:space="preserve">As the wearable market has changed, smartwatches have evolved from </w:t>
      </w:r>
      <w:r w:rsidRPr="679776DD" w:rsidR="123D1B03">
        <w:rPr>
          <w:rFonts w:ascii="Aptos" w:hAnsi="Aptos" w:eastAsia="Aptos" w:cs="Aptos"/>
          <w:noProof w:val="0"/>
          <w:sz w:val="24"/>
          <w:szCs w:val="24"/>
          <w:lang w:val="en-US"/>
        </w:rPr>
        <w:t>specialised</w:t>
      </w:r>
      <w:r w:rsidRPr="679776DD" w:rsidR="123D1B03">
        <w:rPr>
          <w:rFonts w:ascii="Aptos" w:hAnsi="Aptos" w:eastAsia="Aptos" w:cs="Aptos"/>
          <w:noProof w:val="0"/>
          <w:sz w:val="24"/>
          <w:szCs w:val="24"/>
          <w:lang w:val="en-US"/>
        </w:rPr>
        <w:t xml:space="preserve"> fitness trackers to all-inclusive health, productivity, and lifestyle gadgets. By shifting consumer value </w:t>
      </w:r>
      <w:r w:rsidRPr="679776DD" w:rsidR="123D1B03">
        <w:rPr>
          <w:rFonts w:ascii="Aptos" w:hAnsi="Aptos" w:eastAsia="Aptos" w:cs="Aptos"/>
          <w:noProof w:val="0"/>
          <w:sz w:val="24"/>
          <w:szCs w:val="24"/>
          <w:lang w:val="en-US"/>
        </w:rPr>
        <w:t>perceptions</w:t>
      </w:r>
      <w:r w:rsidRPr="679776DD" w:rsidR="123D1B03">
        <w:rPr>
          <w:rFonts w:ascii="Aptos" w:hAnsi="Aptos" w:eastAsia="Aptos" w:cs="Aptos"/>
          <w:noProof w:val="0"/>
          <w:sz w:val="24"/>
          <w:szCs w:val="24"/>
          <w:lang w:val="en-US"/>
        </w:rPr>
        <w:t xml:space="preserve"> towards connectivity, biometric monitoring, and app ecosystems, the smartwatch category has sparked a reconfiguration of the traditional watch industry over the last ten years (</w:t>
      </w:r>
      <w:r w:rsidRPr="679776DD" w:rsidR="4C7F7776">
        <w:rPr>
          <w:rFonts w:ascii="Aptos" w:hAnsi="Aptos" w:eastAsia="Aptos" w:cs="Aptos"/>
          <w:noProof w:val="0"/>
          <w:sz w:val="24"/>
          <w:szCs w:val="24"/>
          <w:lang w:val="en-US"/>
        </w:rPr>
        <w:t>Medi Charla</w:t>
      </w:r>
      <w:r w:rsidRPr="679776DD" w:rsidR="123D1B03">
        <w:rPr>
          <w:rFonts w:ascii="Aptos" w:hAnsi="Aptos" w:eastAsia="Aptos" w:cs="Aptos"/>
          <w:noProof w:val="0"/>
          <w:sz w:val="24"/>
          <w:szCs w:val="24"/>
          <w:lang w:val="en-US"/>
        </w:rPr>
        <w:t xml:space="preserve">, 2025). These days, </w:t>
      </w:r>
      <w:r w:rsidRPr="679776DD" w:rsidR="5A7EE457">
        <w:rPr>
          <w:rFonts w:ascii="Aptos" w:hAnsi="Aptos" w:eastAsia="Aptos" w:cs="Aptos"/>
          <w:noProof w:val="0"/>
          <w:sz w:val="24"/>
          <w:szCs w:val="24"/>
          <w:lang w:val="en-US"/>
        </w:rPr>
        <w:t>behavioral</w:t>
      </w:r>
      <w:r w:rsidRPr="679776DD" w:rsidR="123D1B03">
        <w:rPr>
          <w:rFonts w:ascii="Aptos" w:hAnsi="Aptos" w:eastAsia="Aptos" w:cs="Aptos"/>
          <w:noProof w:val="0"/>
          <w:sz w:val="24"/>
          <w:szCs w:val="24"/>
          <w:lang w:val="en-US"/>
        </w:rPr>
        <w:t xml:space="preserve"> cues like activity rings and coaching prompts interact with health-centric features like continuous heart rate, sleep staging, VO2 max estimation, and stress indices. A 25-year research perspective on healthcare shows how smartwatches have evolved from simple monitoring to predictive analytics and preventive care, </w:t>
      </w:r>
      <w:r w:rsidRPr="679776DD" w:rsidR="123D1B03">
        <w:rPr>
          <w:rFonts w:ascii="Aptos" w:hAnsi="Aptos" w:eastAsia="Aptos" w:cs="Aptos"/>
          <w:noProof w:val="0"/>
          <w:sz w:val="24"/>
          <w:szCs w:val="24"/>
          <w:lang w:val="en-US"/>
        </w:rPr>
        <w:t>indicating</w:t>
      </w:r>
      <w:r w:rsidRPr="679776DD" w:rsidR="123D1B03">
        <w:rPr>
          <w:rFonts w:ascii="Aptos" w:hAnsi="Aptos" w:eastAsia="Aptos" w:cs="Aptos"/>
          <w:noProof w:val="0"/>
          <w:sz w:val="24"/>
          <w:szCs w:val="24"/>
          <w:lang w:val="en-US"/>
        </w:rPr>
        <w:t xml:space="preserve"> their increasing acceptance as telehealth, remote patient monitoring, and </w:t>
      </w:r>
      <w:r w:rsidRPr="679776DD" w:rsidR="4617A6C1">
        <w:rPr>
          <w:rFonts w:ascii="Aptos" w:hAnsi="Aptos" w:eastAsia="Aptos" w:cs="Aptos"/>
          <w:noProof w:val="0"/>
          <w:sz w:val="24"/>
          <w:szCs w:val="24"/>
          <w:lang w:val="en-US"/>
        </w:rPr>
        <w:t>behaviors</w:t>
      </w:r>
      <w:r w:rsidRPr="679776DD" w:rsidR="123D1B03">
        <w:rPr>
          <w:rFonts w:ascii="Aptos" w:hAnsi="Aptos" w:eastAsia="Aptos" w:cs="Aptos"/>
          <w:noProof w:val="0"/>
          <w:sz w:val="24"/>
          <w:szCs w:val="24"/>
          <w:lang w:val="en-US"/>
        </w:rPr>
        <w:t xml:space="preserve"> modification tools (Köhler, </w:t>
      </w:r>
      <w:r w:rsidRPr="679776DD" w:rsidR="123D1B03">
        <w:rPr>
          <w:rFonts w:ascii="Aptos" w:hAnsi="Aptos" w:eastAsia="Aptos" w:cs="Aptos"/>
          <w:noProof w:val="0"/>
          <w:sz w:val="24"/>
          <w:szCs w:val="24"/>
          <w:lang w:val="en-US"/>
        </w:rPr>
        <w:t>Bartschke</w:t>
      </w:r>
      <w:r w:rsidRPr="679776DD" w:rsidR="123D1B03">
        <w:rPr>
          <w:rFonts w:ascii="Aptos" w:hAnsi="Aptos" w:eastAsia="Aptos" w:cs="Aptos"/>
          <w:noProof w:val="0"/>
          <w:sz w:val="24"/>
          <w:szCs w:val="24"/>
          <w:lang w:val="en-US"/>
        </w:rPr>
        <w:t xml:space="preserve">, </w:t>
      </w:r>
      <w:r w:rsidRPr="679776DD" w:rsidR="7765D6C9">
        <w:rPr>
          <w:rFonts w:ascii="Aptos" w:hAnsi="Aptos" w:eastAsia="Aptos" w:cs="Aptos"/>
          <w:noProof w:val="0"/>
          <w:sz w:val="24"/>
          <w:szCs w:val="24"/>
          <w:lang w:val="en-US"/>
        </w:rPr>
        <w:t>Munteanu</w:t>
      </w:r>
      <w:r w:rsidRPr="679776DD" w:rsidR="123D1B03">
        <w:rPr>
          <w:rFonts w:ascii="Aptos" w:hAnsi="Aptos" w:eastAsia="Aptos" w:cs="Aptos"/>
          <w:noProof w:val="0"/>
          <w:sz w:val="24"/>
          <w:szCs w:val="24"/>
          <w:lang w:val="en-US"/>
        </w:rPr>
        <w:t>, Schaaf, &amp; Salgado-Baez, 2024). As devices traverse the line between consumer wellness and medical-grade applications, these trends also portend regulatory scrutiny and the need for clinically validated algorithms.</w:t>
      </w:r>
    </w:p>
    <w:p w:rsidR="0F2836B2" w:rsidP="1EB9090B" w:rsidRDefault="0F2836B2" w14:paraId="3713F371" w14:textId="3A34A02D">
      <w:pPr>
        <w:pStyle w:val="Normal"/>
      </w:pPr>
      <w:r w:rsidRPr="679776DD" w:rsidR="5F2B5046">
        <w:rPr>
          <w:rFonts w:ascii="Aptos" w:hAnsi="Aptos" w:eastAsia="Aptos" w:cs="Aptos"/>
          <w:noProof w:val="0"/>
          <w:sz w:val="24"/>
          <w:szCs w:val="24"/>
          <w:lang w:val="en-US"/>
        </w:rPr>
        <w:t xml:space="preserve">2.2 Consumer Adoption of Smartwatches </w:t>
      </w:r>
    </w:p>
    <w:p w:rsidR="0E51A319" w:rsidP="679776DD" w:rsidRDefault="0E51A319" w14:paraId="5389BD8E" w14:textId="16741760">
      <w:pPr>
        <w:spacing w:before="120" w:beforeAutospacing="off" w:after="120" w:afterAutospacing="off"/>
        <w:jc w:val="left"/>
      </w:pPr>
      <w:r w:rsidRPr="679776DD" w:rsidR="0E51A319">
        <w:rPr>
          <w:rFonts w:ascii="Aptos" w:hAnsi="Aptos" w:eastAsia="Aptos" w:cs="Aptos"/>
          <w:noProof w:val="0"/>
          <w:sz w:val="24"/>
          <w:szCs w:val="24"/>
          <w:lang w:val="en-US"/>
        </w:rPr>
        <w:t>Even though the market is growing quickly, adoption rates vary across different groups and regions. Privacy calculus, which means weighing the benefits like utility and health insights against risks such as data security, plays a key role in whether people choose to use these products and is important for product and communication strategies (Kumar, Ahmad, Srinivas Kumar, &amp; Gupta, 2024). Research in emerging markets highlights user-focused factors like usefulness, ease of use, comfort, aesthetics, battery life, and localization, including language options and relevant content, as important for user experience and keeping customers (Gumasing, Carrillo, De Guzman, et al., 2024). Consumer views and social signaling, such as how wearables show identity, fitness commitment, or tech skills, also matter, with expectations differing by age, income, and lifestyle (Sinchana, 2024). For Gard Pro, it is important to match practical value, like accuracy and reliability, with symbolic value, such as design and brand image, to reach more than just early adopters and appeal to mainstream customers.</w:t>
      </w:r>
    </w:p>
    <w:p w:rsidR="679776DD" w:rsidP="679776DD" w:rsidRDefault="679776DD" w14:paraId="32A20257" w14:textId="7F48B16A">
      <w:pPr>
        <w:pStyle w:val="Normal"/>
        <w:rPr>
          <w:rFonts w:ascii="Aptos" w:hAnsi="Aptos" w:eastAsia="Aptos" w:cs="Aptos"/>
          <w:noProof w:val="0"/>
          <w:sz w:val="24"/>
          <w:szCs w:val="24"/>
          <w:lang w:val="en-US"/>
        </w:rPr>
      </w:pPr>
    </w:p>
    <w:p w:rsidR="0F2836B2" w:rsidP="1EB9090B" w:rsidRDefault="0F2836B2" w14:paraId="09D76F03" w14:textId="1B959A99">
      <w:pPr>
        <w:pStyle w:val="Normal"/>
      </w:pPr>
      <w:r w:rsidRPr="679776DD" w:rsidR="5F2B5046">
        <w:rPr>
          <w:rFonts w:ascii="Aptos" w:hAnsi="Aptos" w:eastAsia="Aptos" w:cs="Aptos"/>
          <w:noProof w:val="0"/>
          <w:sz w:val="24"/>
          <w:szCs w:val="24"/>
          <w:lang w:val="en-US"/>
        </w:rPr>
        <w:t>2.3 Competitive Landscape</w:t>
      </w:r>
    </w:p>
    <w:p w:rsidR="6B1F9116" w:rsidP="679776DD" w:rsidRDefault="6B1F9116" w14:paraId="0847427A" w14:textId="23882E4E">
      <w:pPr>
        <w:spacing w:before="120" w:beforeAutospacing="off" w:after="120" w:afterAutospacing="off"/>
        <w:jc w:val="left"/>
      </w:pPr>
      <w:r w:rsidRPr="679776DD" w:rsidR="6B1F9116">
        <w:rPr>
          <w:rFonts w:ascii="Aptos" w:hAnsi="Aptos" w:eastAsia="Aptos" w:cs="Aptos"/>
          <w:noProof w:val="0"/>
          <w:sz w:val="24"/>
          <w:szCs w:val="24"/>
          <w:lang w:val="en-US"/>
        </w:rPr>
        <w:t xml:space="preserve">Competition includes integrated ecosystem players like platform-linked smartwatches, specialized sports brands, and budget-friendly options. Medi Charla (2025) notes that traditional watchmakers are adapting through hybrid models and strategic partnerships. Digital health companies are focusing their portfolios on unique algorithms and services. Köhler et al. (2024) point out that monitoring, nudging, and predicting are becoming keyways to stand out, which means data governance and working with clinical partners will be important. Kumar et al. (2024) add that companies need to clearly explain their data practices to reduce concerns that might stop people from buying or using these products. For Gard Pro, a strong position will </w:t>
      </w:r>
      <w:r w:rsidRPr="679776DD" w:rsidR="6B1F9116">
        <w:rPr>
          <w:rFonts w:ascii="Aptos" w:hAnsi="Aptos" w:eastAsia="Aptos" w:cs="Aptos"/>
          <w:noProof w:val="0"/>
          <w:sz w:val="24"/>
          <w:szCs w:val="24"/>
          <w:lang w:val="en-US"/>
        </w:rPr>
        <w:t>likely depend</w:t>
      </w:r>
      <w:r w:rsidRPr="679776DD" w:rsidR="6B1F9116">
        <w:rPr>
          <w:rFonts w:ascii="Aptos" w:hAnsi="Aptos" w:eastAsia="Aptos" w:cs="Aptos"/>
          <w:noProof w:val="0"/>
          <w:sz w:val="24"/>
          <w:szCs w:val="24"/>
          <w:lang w:val="en-US"/>
        </w:rPr>
        <w:t xml:space="preserve"> on three things: proven health insights, </w:t>
      </w:r>
      <w:r w:rsidRPr="679776DD" w:rsidR="224BF8B6">
        <w:rPr>
          <w:rFonts w:ascii="Aptos" w:hAnsi="Aptos" w:eastAsia="Aptos" w:cs="Aptos"/>
          <w:noProof w:val="0"/>
          <w:sz w:val="24"/>
          <w:szCs w:val="24"/>
          <w:lang w:val="en-US"/>
        </w:rPr>
        <w:t>high</w:t>
      </w:r>
      <w:r w:rsidRPr="679776DD" w:rsidR="6B1F9116">
        <w:rPr>
          <w:rFonts w:ascii="Aptos" w:hAnsi="Aptos" w:eastAsia="Aptos" w:cs="Aptos"/>
          <w:noProof w:val="0"/>
          <w:sz w:val="24"/>
          <w:szCs w:val="24"/>
          <w:lang w:val="en-US"/>
        </w:rPr>
        <w:t>-quality and practical design, and reliable data management.</w:t>
      </w:r>
    </w:p>
    <w:p w:rsidR="679776DD" w:rsidP="679776DD" w:rsidRDefault="679776DD" w14:paraId="7BB89DBC" w14:textId="3F964567">
      <w:pPr>
        <w:pStyle w:val="Normal"/>
        <w:rPr>
          <w:rFonts w:ascii="Aptos" w:hAnsi="Aptos" w:eastAsia="Aptos" w:cs="Aptos"/>
          <w:noProof w:val="0"/>
          <w:sz w:val="24"/>
          <w:szCs w:val="24"/>
          <w:lang w:val="en-US"/>
        </w:rPr>
      </w:pPr>
    </w:p>
    <w:p w:rsidR="0F2836B2" w:rsidP="1EB9090B" w:rsidRDefault="0F2836B2" w14:paraId="1E886664" w14:textId="2F0C297B">
      <w:pPr>
        <w:pStyle w:val="Normal"/>
      </w:pPr>
      <w:r w:rsidRPr="058BC90B" w:rsidR="35328038">
        <w:rPr>
          <w:rFonts w:ascii="Aptos" w:hAnsi="Aptos" w:eastAsia="Aptos" w:cs="Aptos"/>
          <w:noProof w:val="0"/>
          <w:sz w:val="24"/>
          <w:szCs w:val="24"/>
          <w:lang w:val="en-US"/>
        </w:rPr>
        <w:t xml:space="preserve"> </w:t>
      </w:r>
      <w:r w:rsidRPr="058BC90B" w:rsidR="35328038">
        <w:rPr>
          <w:rFonts w:ascii="Aptos" w:hAnsi="Aptos" w:eastAsia="Aptos" w:cs="Aptos"/>
          <w:noProof w:val="0"/>
          <w:sz w:val="24"/>
          <w:szCs w:val="24"/>
          <w:lang w:val="en-US"/>
        </w:rPr>
        <w:t xml:space="preserve">3. Target Market Insights </w:t>
      </w:r>
    </w:p>
    <w:p w:rsidR="0F2836B2" w:rsidP="1EB9090B" w:rsidRDefault="0F2836B2" w14:paraId="50281EF1" w14:textId="69EF890D">
      <w:pPr>
        <w:pStyle w:val="Normal"/>
      </w:pPr>
      <w:r w:rsidRPr="679776DD" w:rsidR="5F2B5046">
        <w:rPr>
          <w:rFonts w:ascii="Aptos" w:hAnsi="Aptos" w:eastAsia="Aptos" w:cs="Aptos"/>
          <w:noProof w:val="0"/>
          <w:sz w:val="24"/>
          <w:szCs w:val="24"/>
          <w:lang w:val="en-US"/>
        </w:rPr>
        <w:t xml:space="preserve">3.1 Demographic Segmentation </w:t>
      </w:r>
    </w:p>
    <w:p w:rsidR="05634411" w:rsidP="679776DD" w:rsidRDefault="05634411" w14:paraId="78A43D84" w14:textId="43045C00">
      <w:pPr>
        <w:pStyle w:val="Normal"/>
        <w:rPr>
          <w:rFonts w:ascii="Aptos" w:hAnsi="Aptos" w:eastAsia="Aptos" w:cs="Aptos"/>
          <w:noProof w:val="0"/>
          <w:sz w:val="24"/>
          <w:szCs w:val="24"/>
          <w:lang w:val="en-US"/>
        </w:rPr>
      </w:pPr>
      <w:r w:rsidRPr="679776DD" w:rsidR="05634411">
        <w:rPr>
          <w:rFonts w:ascii="Aptos" w:hAnsi="Aptos" w:eastAsia="Aptos" w:cs="Aptos"/>
          <w:noProof w:val="0"/>
          <w:sz w:val="24"/>
          <w:szCs w:val="24"/>
          <w:lang w:val="en-US"/>
        </w:rPr>
        <w:t>Demographic segmentation, such as age, gender, income, education, and occupation, remains foundational and thus allows feature sets and messaging to be appropriately tailored. Younger consumers appreciate integrated communications, gamified fitness, and social sharing, while older segments are more concerned with health monitoring and caregiver connectivity. The recent work in psychographic segmentation theory contributes to the analysis needed to make sense of the demographic–psychographic interface, pushing marketers beyond surface descriptors into motivational structures (Lesser &amp; Barthol, 2024). Region‑specific evidence-for example, the Philippines-shows the importance of affordability and localized content for wider adoption and points, therefore, to demographic profiles necessarily being framed within purchasing power and digital literacy (Gumasing et al., 2024).</w:t>
      </w:r>
    </w:p>
    <w:p w:rsidR="0F2836B2" w:rsidP="1EB9090B" w:rsidRDefault="0F2836B2" w14:paraId="71819027" w14:textId="196EDBB6">
      <w:pPr>
        <w:pStyle w:val="Normal"/>
      </w:pPr>
      <w:r w:rsidRPr="679776DD" w:rsidR="5F2B5046">
        <w:rPr>
          <w:rFonts w:ascii="Aptos" w:hAnsi="Aptos" w:eastAsia="Aptos" w:cs="Aptos"/>
          <w:noProof w:val="0"/>
          <w:sz w:val="24"/>
          <w:szCs w:val="24"/>
          <w:lang w:val="en-US"/>
        </w:rPr>
        <w:t xml:space="preserve">3.2 Psychographic and </w:t>
      </w:r>
      <w:r w:rsidRPr="679776DD" w:rsidR="174FE5BB">
        <w:rPr>
          <w:rFonts w:ascii="Aptos" w:hAnsi="Aptos" w:eastAsia="Aptos" w:cs="Aptos"/>
          <w:noProof w:val="0"/>
          <w:sz w:val="24"/>
          <w:szCs w:val="24"/>
          <w:lang w:val="en-US"/>
        </w:rPr>
        <w:t>Behavioral</w:t>
      </w:r>
      <w:r w:rsidRPr="679776DD" w:rsidR="5F2B5046">
        <w:rPr>
          <w:rFonts w:ascii="Aptos" w:hAnsi="Aptos" w:eastAsia="Aptos" w:cs="Aptos"/>
          <w:noProof w:val="0"/>
          <w:sz w:val="24"/>
          <w:szCs w:val="24"/>
          <w:lang w:val="en-US"/>
        </w:rPr>
        <w:t xml:space="preserve"> Segmentation </w:t>
      </w:r>
    </w:p>
    <w:p w:rsidR="25CBFD36" w:rsidP="679776DD" w:rsidRDefault="25CBFD36" w14:paraId="5C9F3CBF" w14:textId="559A3A9B">
      <w:pPr>
        <w:pStyle w:val="Normal"/>
        <w:rPr>
          <w:rFonts w:ascii="Aptos" w:hAnsi="Aptos" w:eastAsia="Aptos" w:cs="Aptos"/>
          <w:noProof w:val="0"/>
          <w:sz w:val="24"/>
          <w:szCs w:val="24"/>
          <w:lang w:val="en-US"/>
        </w:rPr>
      </w:pPr>
      <w:r w:rsidRPr="679776DD" w:rsidR="25CBFD36">
        <w:rPr>
          <w:rFonts w:ascii="Aptos" w:hAnsi="Aptos" w:eastAsia="Aptos" w:cs="Aptos"/>
          <w:noProof w:val="0"/>
          <w:sz w:val="24"/>
          <w:szCs w:val="24"/>
          <w:lang w:val="en-US"/>
        </w:rPr>
        <w:t>Variables such as values, lifestyles, health orientations, and technology attitudes are also psychographic and play a critical role in variations in smartwatch usage. Lesser and Barthol (2024) recommend more integration and consistency in measurement theories and relative segmentation models focused on emotional/motivational drivers. In terms of behavioral aspects, frequency and engagement across apps and sustained adherence rates (e.g., continued usage after purchasing a gadget) are critical. Perceived usefulness and ease of use are deemed insufficient but necessarily prior emotional and social aspects and post-purchase adherence and positive engagement interactions such as emotional and self-image alignment and positive social interactions, respectively (Gumasing et al. 2024). Perception studies also point out constraints such as size and notification anxiety, along with privacy and other similar concerns, and a careful design is therefore imperative and a must, as explained by Sinchana (2024).</w:t>
      </w:r>
    </w:p>
    <w:p w:rsidR="0F2836B2" w:rsidP="1EB9090B" w:rsidRDefault="0F2836B2" w14:paraId="5A479860" w14:textId="41F3DD45">
      <w:pPr>
        <w:pStyle w:val="Normal"/>
      </w:pPr>
      <w:r w:rsidRPr="679776DD" w:rsidR="65B68C74">
        <w:rPr>
          <w:rFonts w:ascii="Aptos" w:hAnsi="Aptos" w:eastAsia="Aptos" w:cs="Aptos"/>
          <w:noProof w:val="0"/>
          <w:sz w:val="24"/>
          <w:szCs w:val="24"/>
          <w:lang w:val="en-US"/>
        </w:rPr>
        <w:t xml:space="preserve">3.3 Consumer Needs and Pain Points </w:t>
      </w:r>
    </w:p>
    <w:p w:rsidR="6717D0B3" w:rsidP="679776DD" w:rsidRDefault="6717D0B3" w14:paraId="6E822042" w14:textId="42936F26">
      <w:pPr>
        <w:pStyle w:val="Normal"/>
        <w:rPr>
          <w:rFonts w:ascii="Aptos" w:hAnsi="Aptos" w:eastAsia="Aptos" w:cs="Aptos"/>
          <w:noProof w:val="0"/>
          <w:sz w:val="24"/>
          <w:szCs w:val="24"/>
          <w:lang w:val="en-US"/>
        </w:rPr>
      </w:pPr>
      <w:r w:rsidRPr="058BC90B" w:rsidR="6717D0B3">
        <w:rPr>
          <w:rFonts w:ascii="Aptos" w:hAnsi="Aptos" w:eastAsia="Aptos" w:cs="Aptos"/>
          <w:noProof w:val="0"/>
          <w:sz w:val="24"/>
          <w:szCs w:val="24"/>
          <w:lang w:val="en-US"/>
        </w:rPr>
        <w:t xml:space="preserve">Consumers are looking for valuable, meaningful feedback that is, not just data points. Pain points include </w:t>
      </w:r>
      <w:r w:rsidRPr="058BC90B" w:rsidR="6717D0B3">
        <w:rPr>
          <w:rFonts w:ascii="Aptos" w:hAnsi="Aptos" w:eastAsia="Aptos" w:cs="Aptos"/>
          <w:noProof w:val="0"/>
          <w:sz w:val="24"/>
          <w:szCs w:val="24"/>
          <w:lang w:val="en-US"/>
        </w:rPr>
        <w:t>a lack</w:t>
      </w:r>
      <w:r w:rsidRPr="058BC90B" w:rsidR="6717D0B3">
        <w:rPr>
          <w:rFonts w:ascii="Aptos" w:hAnsi="Aptos" w:eastAsia="Aptos" w:cs="Aptos"/>
          <w:noProof w:val="0"/>
          <w:sz w:val="24"/>
          <w:szCs w:val="24"/>
          <w:lang w:val="en-US"/>
        </w:rPr>
        <w:t xml:space="preserve"> of consistent metrics on different devices, a lack of interoperability between third-party apps, battery performance, and a lack of understanding of data ownership. In terms of research methods, the paper of Köhler et al. (2024) criticizes the mismatch between experimental testing and actual outcomes, particularly for nudges intended to influence lifestyle-related behaviors. The importance of privacy calculus, addressed in the Kumar et al. (2024) piece, includes consumers’ demands for explicit consent mechanisms, data transparency, and the right to share. Addressing the pain points for Gard Pro will include a strong "insights to action" narrative.</w:t>
      </w:r>
    </w:p>
    <w:p w:rsidR="058BC90B" w:rsidP="058BC90B" w:rsidRDefault="058BC90B" w14:paraId="15F7721A" w14:textId="546AC0FC">
      <w:pPr>
        <w:pStyle w:val="Normal"/>
        <w:rPr>
          <w:rFonts w:ascii="Aptos" w:hAnsi="Aptos" w:eastAsia="Aptos" w:cs="Aptos"/>
          <w:noProof w:val="0"/>
          <w:sz w:val="24"/>
          <w:szCs w:val="24"/>
          <w:lang w:val="en-US"/>
        </w:rPr>
      </w:pPr>
    </w:p>
    <w:p w:rsidR="0F2836B2" w:rsidP="058BC90B" w:rsidRDefault="0F2836B2" w14:paraId="3D7D9083" w14:textId="3D8828F3">
      <w:pPr>
        <w:pStyle w:val="Normal"/>
        <w:rPr>
          <w:rFonts w:ascii="Aptos" w:hAnsi="Aptos" w:eastAsia="Aptos" w:cs="Aptos"/>
          <w:noProof w:val="0"/>
          <w:sz w:val="24"/>
          <w:szCs w:val="24"/>
          <w:lang w:val="en-US"/>
        </w:rPr>
      </w:pPr>
      <w:r w:rsidRPr="058BC90B" w:rsidR="0F2836B2">
        <w:rPr>
          <w:rFonts w:ascii="Aptos" w:hAnsi="Aptos" w:eastAsia="Aptos" w:cs="Aptos"/>
          <w:noProof w:val="0"/>
          <w:sz w:val="24"/>
          <w:szCs w:val="24"/>
          <w:lang w:val="en-US"/>
        </w:rPr>
        <w:t>4. Marketing Theories and Frameworks</w:t>
      </w:r>
    </w:p>
    <w:p w:rsidR="0F2836B2" w:rsidP="1EB9090B" w:rsidRDefault="0F2836B2" w14:paraId="58872D59" w14:textId="2E3EBDDC">
      <w:pPr>
        <w:pStyle w:val="Normal"/>
      </w:pPr>
      <w:r w:rsidRPr="679776DD" w:rsidR="5F2B5046">
        <w:rPr>
          <w:rFonts w:ascii="Aptos" w:hAnsi="Aptos" w:eastAsia="Aptos" w:cs="Aptos"/>
          <w:noProof w:val="0"/>
          <w:sz w:val="24"/>
          <w:szCs w:val="24"/>
          <w:lang w:val="en-US"/>
        </w:rPr>
        <w:t xml:space="preserve"> 4.1 </w:t>
      </w:r>
      <w:r w:rsidRPr="679776DD" w:rsidR="40CF6013">
        <w:rPr>
          <w:rFonts w:ascii="Aptos" w:hAnsi="Aptos" w:eastAsia="Aptos" w:cs="Aptos"/>
          <w:noProof w:val="0"/>
          <w:sz w:val="24"/>
          <w:szCs w:val="24"/>
          <w:lang w:val="en-US"/>
        </w:rPr>
        <w:t>Marketing</w:t>
      </w:r>
      <w:r w:rsidRPr="679776DD" w:rsidR="5F2B5046">
        <w:rPr>
          <w:rFonts w:ascii="Aptos" w:hAnsi="Aptos" w:eastAsia="Aptos" w:cs="Aptos"/>
          <w:noProof w:val="0"/>
          <w:sz w:val="24"/>
          <w:szCs w:val="24"/>
          <w:lang w:val="en-US"/>
        </w:rPr>
        <w:t xml:space="preserve"> Mix </w:t>
      </w:r>
    </w:p>
    <w:p w:rsidR="0F2836B2" w:rsidP="679776DD" w:rsidRDefault="0F2836B2" w14:paraId="4E8475B5" w14:textId="4769B9D5">
      <w:pPr>
        <w:pStyle w:val="Normal"/>
        <w:rPr>
          <w:rFonts w:ascii="Aptos" w:hAnsi="Aptos" w:eastAsia="Aptos" w:cs="Aptos"/>
          <w:noProof w:val="0"/>
          <w:sz w:val="24"/>
          <w:szCs w:val="24"/>
          <w:lang w:val="en-US"/>
        </w:rPr>
      </w:pPr>
      <w:r w:rsidRPr="679776DD" w:rsidR="5B84B01D">
        <w:rPr>
          <w:rFonts w:ascii="Aptos" w:hAnsi="Aptos" w:eastAsia="Aptos" w:cs="Aptos"/>
          <w:noProof w:val="0"/>
          <w:sz w:val="24"/>
          <w:szCs w:val="24"/>
          <w:lang w:val="en-US"/>
        </w:rPr>
        <w:t>The Marketing Mix offers a framework to integrate product, price, place, and promotion. The discussion of Goi (2009) outlines the progression from the traditional 4Ps to expanded frameworks such as the 7Ps and the critiques for a more customer and relationship-building focused approach. Wearable technology's Product involves precision and design, Price, the balance of perceived value and health and ecosystem, Place includes all omnichannel delivery, and the Promotion includes technology-enabled storytelling. Blending the service components (people, process, and physical touch points) becomes a key differentiator with the inclusion of mLearning experiences and service strategies in the business model (Goi, 2009). The strategy for GardPro includes using product and pricing management to map customer value to products with controlled product lines (e.g. sport and wellness offerings).</w:t>
      </w:r>
    </w:p>
    <w:p w:rsidR="0F2836B2" w:rsidP="679776DD" w:rsidRDefault="0F2836B2" w14:paraId="268F70A3" w14:textId="3CF75703">
      <w:pPr>
        <w:pStyle w:val="Normal"/>
        <w:rPr>
          <w:rFonts w:ascii="Aptos" w:hAnsi="Aptos" w:eastAsia="Aptos" w:cs="Aptos"/>
          <w:noProof w:val="0"/>
          <w:sz w:val="24"/>
          <w:szCs w:val="24"/>
          <w:lang w:val="en-US"/>
        </w:rPr>
      </w:pPr>
      <w:r w:rsidRPr="679776DD" w:rsidR="5F2B5046">
        <w:rPr>
          <w:rFonts w:ascii="Aptos" w:hAnsi="Aptos" w:eastAsia="Aptos" w:cs="Aptos"/>
          <w:noProof w:val="0"/>
          <w:sz w:val="24"/>
          <w:szCs w:val="24"/>
          <w:lang w:val="en-US"/>
        </w:rPr>
        <w:t>4.2 STP Model</w:t>
      </w:r>
    </w:p>
    <w:p w:rsidR="7709BD41" w:rsidP="679776DD" w:rsidRDefault="7709BD41" w14:paraId="4FE26094" w14:textId="40EB205E">
      <w:pPr>
        <w:pStyle w:val="Normal"/>
        <w:rPr>
          <w:rFonts w:ascii="Aptos" w:hAnsi="Aptos" w:eastAsia="Aptos" w:cs="Aptos"/>
          <w:noProof w:val="0"/>
          <w:sz w:val="24"/>
          <w:szCs w:val="24"/>
          <w:lang w:val="en-US"/>
        </w:rPr>
      </w:pPr>
      <w:r w:rsidRPr="679776DD" w:rsidR="7709BD41">
        <w:rPr>
          <w:rFonts w:ascii="Aptos" w:hAnsi="Aptos" w:eastAsia="Aptos" w:cs="Aptos"/>
          <w:noProof w:val="0"/>
          <w:sz w:val="24"/>
          <w:szCs w:val="24"/>
          <w:lang w:val="en-US"/>
        </w:rPr>
        <w:t xml:space="preserve">Segmentation-Targeting-Positioning, or STP, continues to be at the heart of marketing planning. According to </w:t>
      </w:r>
      <w:r w:rsidRPr="679776DD" w:rsidR="7709BD41">
        <w:rPr>
          <w:rFonts w:ascii="Aptos" w:hAnsi="Aptos" w:eastAsia="Aptos" w:cs="Aptos"/>
          <w:noProof w:val="0"/>
          <w:sz w:val="24"/>
          <w:szCs w:val="24"/>
          <w:lang w:val="en-US"/>
        </w:rPr>
        <w:t>Mogaji</w:t>
      </w:r>
      <w:r w:rsidRPr="679776DD" w:rsidR="7709BD41">
        <w:rPr>
          <w:rFonts w:ascii="Aptos" w:hAnsi="Aptos" w:eastAsia="Aptos" w:cs="Aptos"/>
          <w:noProof w:val="0"/>
          <w:sz w:val="24"/>
          <w:szCs w:val="24"/>
          <w:lang w:val="en-US"/>
        </w:rPr>
        <w:t xml:space="preserve"> (2025), segmentation must be based on strong foundations: demographic, psychographic, behavioral, careful targeting criteria, such as size, growth, and fit. Positioning must be a value-proposition driven process, based on perceptual maps and </w:t>
      </w:r>
      <w:r w:rsidRPr="679776DD" w:rsidR="7709BD41">
        <w:rPr>
          <w:rFonts w:ascii="Aptos" w:hAnsi="Aptos" w:eastAsia="Aptos" w:cs="Aptos"/>
          <w:noProof w:val="0"/>
          <w:sz w:val="24"/>
          <w:szCs w:val="24"/>
          <w:lang w:val="en-US"/>
        </w:rPr>
        <w:t>mixing</w:t>
      </w:r>
      <w:r w:rsidRPr="679776DD" w:rsidR="7709BD41">
        <w:rPr>
          <w:rFonts w:ascii="Aptos" w:hAnsi="Aptos" w:eastAsia="Aptos" w:cs="Aptos"/>
          <w:noProof w:val="0"/>
          <w:sz w:val="24"/>
          <w:szCs w:val="24"/>
          <w:lang w:val="en-US"/>
        </w:rPr>
        <w:t xml:space="preserve">. For Gard Pro, data-driven positioning like “precision health insights, athlete-grade reliability, at a reasonable price” would help to compete effectively on fashion-focused competitors and general-purpose bands. It is essential that ethical issues in digital STP, like data protection and bias, be raised in communications to foster trust, per </w:t>
      </w:r>
      <w:r w:rsidRPr="679776DD" w:rsidR="7709BD41">
        <w:rPr>
          <w:rFonts w:ascii="Aptos" w:hAnsi="Aptos" w:eastAsia="Aptos" w:cs="Aptos"/>
          <w:noProof w:val="0"/>
          <w:sz w:val="24"/>
          <w:szCs w:val="24"/>
          <w:lang w:val="en-US"/>
        </w:rPr>
        <w:t>Mogaji</w:t>
      </w:r>
      <w:r w:rsidRPr="679776DD" w:rsidR="7709BD41">
        <w:rPr>
          <w:rFonts w:ascii="Aptos" w:hAnsi="Aptos" w:eastAsia="Aptos" w:cs="Aptos"/>
          <w:noProof w:val="0"/>
          <w:sz w:val="24"/>
          <w:szCs w:val="24"/>
          <w:lang w:val="en-US"/>
        </w:rPr>
        <w:t xml:space="preserve"> (2025).</w:t>
      </w:r>
    </w:p>
    <w:p w:rsidR="0F2836B2" w:rsidP="1EB9090B" w:rsidRDefault="0F2836B2" w14:paraId="25459A05" w14:textId="064841D2">
      <w:pPr>
        <w:pStyle w:val="Normal"/>
      </w:pPr>
      <w:r w:rsidRPr="679776DD" w:rsidR="5F2B5046">
        <w:rPr>
          <w:rFonts w:ascii="Aptos" w:hAnsi="Aptos" w:eastAsia="Aptos" w:cs="Aptos"/>
          <w:noProof w:val="0"/>
          <w:sz w:val="24"/>
          <w:szCs w:val="24"/>
          <w:lang w:val="en-US"/>
        </w:rPr>
        <w:t xml:space="preserve"> 4.3 Consumer Decision-Making Models </w:t>
      </w:r>
    </w:p>
    <w:p w:rsidR="7037C450" w:rsidP="679776DD" w:rsidRDefault="7037C450" w14:paraId="53FB48CA" w14:textId="197F6378">
      <w:pPr>
        <w:pStyle w:val="Normal"/>
        <w:rPr>
          <w:rFonts w:ascii="Aptos" w:hAnsi="Aptos" w:eastAsia="Aptos" w:cs="Aptos"/>
          <w:noProof w:val="0"/>
          <w:sz w:val="24"/>
          <w:szCs w:val="24"/>
          <w:lang w:val="en-US"/>
        </w:rPr>
      </w:pPr>
      <w:r w:rsidRPr="679776DD" w:rsidR="7037C450">
        <w:rPr>
          <w:rFonts w:ascii="Aptos" w:hAnsi="Aptos" w:eastAsia="Aptos" w:cs="Aptos"/>
          <w:noProof w:val="0"/>
          <w:sz w:val="24"/>
          <w:szCs w:val="24"/>
          <w:lang w:val="en-US"/>
        </w:rPr>
        <w:t>Consumer decision-making processes include information search, evaluation of alternatives, purchase, and post-purchase. Stankevich (2017) proposes a combination of theories to pinpoint moments for intervention, emphasizing the power of contextual nudges and social validation. From a broader perspective, Schmitt (2024) traces the development trajectory of theories related to information processing for consumers’ judgment and choice. Starting with wearables, possibly the sequence is problem recognition (related to health or productivity), evaluation of product characteristics as well as potential for lock-in, to a final phase of a cycle with continuous feedback to enhance satisfaction with the product. For Gard Pro, it is crucial that their points of contact with customers focus on all stages, such as quality comparisons (evaluation), simple initiation (purchase), and smart feedback (post-purchase).</w:t>
      </w:r>
    </w:p>
    <w:p w:rsidR="0F2836B2" w:rsidP="1EB9090B" w:rsidRDefault="0F2836B2" w14:paraId="03212113" w14:textId="5D9D67DD">
      <w:pPr>
        <w:pStyle w:val="Normal"/>
      </w:pPr>
      <w:r w:rsidRPr="679776DD" w:rsidR="127703C0">
        <w:rPr>
          <w:rFonts w:ascii="Aptos" w:hAnsi="Aptos" w:eastAsia="Aptos" w:cs="Aptos"/>
          <w:noProof w:val="0"/>
          <w:sz w:val="24"/>
          <w:szCs w:val="24"/>
          <w:lang w:val="en-US"/>
        </w:rPr>
        <w:t xml:space="preserve">4.4 Technology Adoption Models </w:t>
      </w:r>
    </w:p>
    <w:p w:rsidR="7188F106" w:rsidP="679776DD" w:rsidRDefault="7188F106" w14:paraId="53066B41" w14:textId="7F3FADF0">
      <w:pPr>
        <w:pStyle w:val="Normal"/>
        <w:rPr>
          <w:rFonts w:ascii="Aptos" w:hAnsi="Aptos" w:eastAsia="Aptos" w:cs="Aptos"/>
          <w:noProof w:val="0"/>
          <w:sz w:val="24"/>
          <w:szCs w:val="24"/>
          <w:lang w:val="en-US"/>
        </w:rPr>
      </w:pPr>
      <w:r w:rsidRPr="058BC90B" w:rsidR="7188F106">
        <w:rPr>
          <w:rFonts w:ascii="Aptos" w:hAnsi="Aptos" w:eastAsia="Aptos" w:cs="Aptos"/>
          <w:noProof w:val="0"/>
          <w:sz w:val="24"/>
          <w:szCs w:val="24"/>
          <w:lang w:val="en-US"/>
        </w:rPr>
        <w:t xml:space="preserve">Technology Adoption Model and UTAUT frameworks explain antecedents of acceptance. Meta-reviews </w:t>
      </w:r>
      <w:r w:rsidRPr="058BC90B" w:rsidR="7188F106">
        <w:rPr>
          <w:rFonts w:ascii="Aptos" w:hAnsi="Aptos" w:eastAsia="Aptos" w:cs="Aptos"/>
          <w:noProof w:val="0"/>
          <w:sz w:val="24"/>
          <w:szCs w:val="24"/>
          <w:lang w:val="en-US"/>
        </w:rPr>
        <w:t>indicate</w:t>
      </w:r>
      <w:r w:rsidRPr="058BC90B" w:rsidR="7188F106">
        <w:rPr>
          <w:rFonts w:ascii="Aptos" w:hAnsi="Aptos" w:eastAsia="Aptos" w:cs="Aptos"/>
          <w:noProof w:val="0"/>
          <w:sz w:val="24"/>
          <w:szCs w:val="24"/>
          <w:lang w:val="en-US"/>
        </w:rPr>
        <w:t xml:space="preserve"> the continuing presence of perceived usefulness and ease of use as core beliefs, but continue to point to contextual moderators like trust, </w:t>
      </w:r>
      <w:r w:rsidRPr="058BC90B" w:rsidR="7188F106">
        <w:rPr>
          <w:rFonts w:ascii="Aptos" w:hAnsi="Aptos" w:eastAsia="Aptos" w:cs="Aptos"/>
          <w:noProof w:val="0"/>
          <w:sz w:val="24"/>
          <w:szCs w:val="24"/>
          <w:lang w:val="en-US"/>
        </w:rPr>
        <w:t>facilitating</w:t>
      </w:r>
      <w:r w:rsidRPr="058BC90B" w:rsidR="7188F106">
        <w:rPr>
          <w:rFonts w:ascii="Aptos" w:hAnsi="Aptos" w:eastAsia="Aptos" w:cs="Aptos"/>
          <w:noProof w:val="0"/>
          <w:sz w:val="24"/>
          <w:szCs w:val="24"/>
          <w:lang w:val="en-US"/>
        </w:rPr>
        <w:t xml:space="preserve"> conditions, and social influence. Healthcare-oriented reviews </w:t>
      </w:r>
      <w:r w:rsidRPr="058BC90B" w:rsidR="7188F106">
        <w:rPr>
          <w:rFonts w:ascii="Aptos" w:hAnsi="Aptos" w:eastAsia="Aptos" w:cs="Aptos"/>
          <w:noProof w:val="0"/>
          <w:sz w:val="24"/>
          <w:szCs w:val="24"/>
          <w:lang w:val="en-US"/>
        </w:rPr>
        <w:t>identify</w:t>
      </w:r>
      <w:r w:rsidRPr="058BC90B" w:rsidR="7188F106">
        <w:rPr>
          <w:rFonts w:ascii="Aptos" w:hAnsi="Aptos" w:eastAsia="Aptos" w:cs="Aptos"/>
          <w:noProof w:val="0"/>
          <w:sz w:val="24"/>
          <w:szCs w:val="24"/>
          <w:lang w:val="en-US"/>
        </w:rPr>
        <w:t xml:space="preserve"> TAM alone to be weak in capturing organizational and psychosocial barriers; integrative approaches are thus prescribed which embed trust, training, and readiness. For Gard Pro, therefore, adoption strategies should strongly spell out utility-e.g., clearly validated health metrics-</w:t>
      </w:r>
      <w:r w:rsidRPr="058BC90B" w:rsidR="6B3458E2">
        <w:rPr>
          <w:rFonts w:ascii="Aptos" w:hAnsi="Aptos" w:eastAsia="Aptos" w:cs="Aptos"/>
          <w:noProof w:val="0"/>
          <w:sz w:val="24"/>
          <w:szCs w:val="24"/>
          <w:lang w:val="en-US"/>
        </w:rPr>
        <w:t>reduced</w:t>
      </w:r>
      <w:r w:rsidRPr="058BC90B" w:rsidR="7188F106">
        <w:rPr>
          <w:rFonts w:ascii="Aptos" w:hAnsi="Aptos" w:eastAsia="Aptos" w:cs="Aptos"/>
          <w:noProof w:val="0"/>
          <w:sz w:val="24"/>
          <w:szCs w:val="24"/>
          <w:lang w:val="en-US"/>
        </w:rPr>
        <w:t xml:space="preserve"> friction through intuitive UX, and address issues of trust through transparent data governance and certification. The managerial takeaway would be to use constructs of UTAUT such as performance expectancy and </w:t>
      </w:r>
      <w:r w:rsidRPr="058BC90B" w:rsidR="7188F106">
        <w:rPr>
          <w:rFonts w:ascii="Aptos" w:hAnsi="Aptos" w:eastAsia="Aptos" w:cs="Aptos"/>
          <w:noProof w:val="0"/>
          <w:sz w:val="24"/>
          <w:szCs w:val="24"/>
          <w:lang w:val="en-US"/>
        </w:rPr>
        <w:t>facilitating</w:t>
      </w:r>
      <w:r w:rsidRPr="058BC90B" w:rsidR="7188F106">
        <w:rPr>
          <w:rFonts w:ascii="Aptos" w:hAnsi="Aptos" w:eastAsia="Aptos" w:cs="Aptos"/>
          <w:noProof w:val="0"/>
          <w:sz w:val="24"/>
          <w:szCs w:val="24"/>
          <w:lang w:val="en-US"/>
        </w:rPr>
        <w:t xml:space="preserve"> conditions for feature roadmaps and support policies.</w:t>
      </w:r>
    </w:p>
    <w:p w:rsidR="679776DD" w:rsidP="679776DD" w:rsidRDefault="679776DD" w14:paraId="7A169A4C" w14:textId="3ADE65BA">
      <w:pPr>
        <w:spacing w:before="0" w:beforeAutospacing="off" w:after="0" w:afterAutospacing="off" w:line="300" w:lineRule="auto"/>
        <w:rPr>
          <w:rFonts w:ascii="Segoe UI" w:hAnsi="Segoe UI" w:eastAsia="Segoe UI" w:cs="Segoe UI"/>
          <w:b w:val="0"/>
          <w:bCs w:val="0"/>
          <w:i w:val="0"/>
          <w:iCs w:val="0"/>
          <w:noProof w:val="0"/>
          <w:sz w:val="21"/>
          <w:szCs w:val="21"/>
          <w:lang w:val="en-US"/>
        </w:rPr>
      </w:pPr>
    </w:p>
    <w:p w:rsidR="0F2836B2" w:rsidP="058BC90B" w:rsidRDefault="0F2836B2" w14:paraId="65067992" w14:textId="002882E0">
      <w:pPr>
        <w:pStyle w:val="Normal"/>
        <w:rPr>
          <w:rFonts w:ascii="Aptos" w:hAnsi="Aptos" w:eastAsia="Aptos" w:cs="Aptos"/>
          <w:noProof w:val="0"/>
          <w:sz w:val="24"/>
          <w:szCs w:val="24"/>
          <w:lang w:val="en-US"/>
        </w:rPr>
      </w:pPr>
      <w:r w:rsidRPr="058BC90B" w:rsidR="0E7B5A61">
        <w:rPr>
          <w:rFonts w:ascii="Aptos" w:hAnsi="Aptos" w:eastAsia="Aptos" w:cs="Aptos"/>
          <w:noProof w:val="0"/>
          <w:sz w:val="24"/>
          <w:szCs w:val="24"/>
          <w:lang w:val="en-US"/>
        </w:rPr>
        <w:t>5</w:t>
      </w:r>
      <w:r w:rsidRPr="058BC90B" w:rsidR="5F2B5046">
        <w:rPr>
          <w:rFonts w:ascii="Aptos" w:hAnsi="Aptos" w:eastAsia="Aptos" w:cs="Aptos"/>
          <w:noProof w:val="0"/>
          <w:sz w:val="24"/>
          <w:szCs w:val="24"/>
          <w:lang w:val="en-US"/>
        </w:rPr>
        <w:t xml:space="preserve">. Place &amp; Distribution </w:t>
      </w:r>
    </w:p>
    <w:p w:rsidR="0F2836B2" w:rsidP="1EB9090B" w:rsidRDefault="0F2836B2" w14:paraId="0E318C6A" w14:textId="2250D6C1">
      <w:pPr>
        <w:pStyle w:val="Normal"/>
      </w:pPr>
      <w:r w:rsidRPr="679776DD" w:rsidR="2352505F">
        <w:rPr>
          <w:rFonts w:ascii="Aptos" w:hAnsi="Aptos" w:eastAsia="Aptos" w:cs="Aptos"/>
          <w:noProof w:val="0"/>
          <w:sz w:val="24"/>
          <w:szCs w:val="24"/>
          <w:lang w:val="en-US"/>
        </w:rPr>
        <w:t>5</w:t>
      </w:r>
      <w:r w:rsidRPr="679776DD" w:rsidR="5F2B5046">
        <w:rPr>
          <w:rFonts w:ascii="Aptos" w:hAnsi="Aptos" w:eastAsia="Aptos" w:cs="Aptos"/>
          <w:noProof w:val="0"/>
          <w:sz w:val="24"/>
          <w:szCs w:val="24"/>
          <w:lang w:val="en-US"/>
        </w:rPr>
        <w:t>.1 Online vs. In-Store Retail</w:t>
      </w:r>
    </w:p>
    <w:p w:rsidR="3B94106C" w:rsidP="679776DD" w:rsidRDefault="3B94106C" w14:paraId="0076418F" w14:textId="3374E302">
      <w:pPr>
        <w:pStyle w:val="Normal"/>
        <w:rPr>
          <w:rFonts w:ascii="Aptos" w:hAnsi="Aptos" w:eastAsia="Aptos" w:cs="Aptos"/>
          <w:noProof w:val="0"/>
          <w:sz w:val="24"/>
          <w:szCs w:val="24"/>
          <w:lang w:val="en-US"/>
        </w:rPr>
      </w:pPr>
      <w:r w:rsidRPr="679776DD" w:rsidR="3B94106C">
        <w:rPr>
          <w:rFonts w:ascii="Aptos" w:hAnsi="Aptos" w:eastAsia="Aptos" w:cs="Aptos"/>
          <w:noProof w:val="0"/>
          <w:sz w:val="24"/>
          <w:szCs w:val="24"/>
          <w:lang w:val="en-US"/>
        </w:rPr>
        <w:t xml:space="preserve">Channel strategy in wearables </w:t>
      </w:r>
      <w:r w:rsidRPr="679776DD" w:rsidR="04E9D1DC">
        <w:rPr>
          <w:rFonts w:ascii="Aptos" w:hAnsi="Aptos" w:eastAsia="Aptos" w:cs="Aptos"/>
          <w:noProof w:val="0"/>
          <w:sz w:val="24"/>
          <w:szCs w:val="24"/>
          <w:lang w:val="en-US"/>
        </w:rPr>
        <w:t>must</w:t>
      </w:r>
      <w:r w:rsidRPr="679776DD" w:rsidR="3B94106C">
        <w:rPr>
          <w:rFonts w:ascii="Aptos" w:hAnsi="Aptos" w:eastAsia="Aptos" w:cs="Aptos"/>
          <w:noProof w:val="0"/>
          <w:sz w:val="24"/>
          <w:szCs w:val="24"/>
          <w:lang w:val="en-US"/>
        </w:rPr>
        <w:t xml:space="preserve"> balance the reach and convenience of online with experiential benefits of in-store trial. A systematic review of shopping channel choice behavior </w:t>
      </w:r>
      <w:r w:rsidRPr="679776DD" w:rsidR="3B94106C">
        <w:rPr>
          <w:rFonts w:ascii="Aptos" w:hAnsi="Aptos" w:eastAsia="Aptos" w:cs="Aptos"/>
          <w:noProof w:val="0"/>
          <w:sz w:val="24"/>
          <w:szCs w:val="24"/>
          <w:lang w:val="en-US"/>
        </w:rPr>
        <w:t>identifies</w:t>
      </w:r>
      <w:r w:rsidRPr="679776DD" w:rsidR="3B94106C">
        <w:rPr>
          <w:rFonts w:ascii="Aptos" w:hAnsi="Aptos" w:eastAsia="Aptos" w:cs="Aptos"/>
          <w:noProof w:val="0"/>
          <w:sz w:val="24"/>
          <w:szCs w:val="24"/>
          <w:lang w:val="en-US"/>
        </w:rPr>
        <w:t xml:space="preserve"> how consumer attitudes, motives, socio-economic factors, accessibility, and product attributes shape channel selection patterns (Biswas, Chattopadhyaya, Barai, &amp; Samanta, 2024). For smartwatches, tactility-device feel, strap comfort, screen readability-and live demos of health features may </w:t>
      </w:r>
      <w:r w:rsidRPr="679776DD" w:rsidR="3B94106C">
        <w:rPr>
          <w:rFonts w:ascii="Aptos" w:hAnsi="Aptos" w:eastAsia="Aptos" w:cs="Aptos"/>
          <w:noProof w:val="0"/>
          <w:sz w:val="24"/>
          <w:szCs w:val="24"/>
          <w:lang w:val="en-US"/>
        </w:rPr>
        <w:t>benefit</w:t>
      </w:r>
      <w:r w:rsidRPr="679776DD" w:rsidR="3B94106C">
        <w:rPr>
          <w:rFonts w:ascii="Aptos" w:hAnsi="Aptos" w:eastAsia="Aptos" w:cs="Aptos"/>
          <w:noProof w:val="0"/>
          <w:sz w:val="24"/>
          <w:szCs w:val="24"/>
          <w:lang w:val="en-US"/>
        </w:rPr>
        <w:t xml:space="preserve"> from in-store environments, </w:t>
      </w:r>
      <w:r w:rsidRPr="679776DD" w:rsidR="3B94106C">
        <w:rPr>
          <w:rFonts w:ascii="Aptos" w:hAnsi="Aptos" w:eastAsia="Aptos" w:cs="Aptos"/>
          <w:noProof w:val="0"/>
          <w:sz w:val="24"/>
          <w:szCs w:val="24"/>
          <w:lang w:val="en-US"/>
        </w:rPr>
        <w:t>whereas</w:t>
      </w:r>
      <w:r w:rsidRPr="679776DD" w:rsidR="3B94106C">
        <w:rPr>
          <w:rFonts w:ascii="Aptos" w:hAnsi="Aptos" w:eastAsia="Aptos" w:cs="Aptos"/>
          <w:noProof w:val="0"/>
          <w:sz w:val="24"/>
          <w:szCs w:val="24"/>
          <w:lang w:val="en-US"/>
        </w:rPr>
        <w:t xml:space="preserve"> online channels excel when it comes to comparison shopping, reviews, and rapid fulfillment. Risk </w:t>
      </w:r>
      <w:r w:rsidRPr="679776DD" w:rsidR="3B94106C">
        <w:rPr>
          <w:rFonts w:ascii="Aptos" w:hAnsi="Aptos" w:eastAsia="Aptos" w:cs="Aptos"/>
          <w:noProof w:val="0"/>
          <w:sz w:val="24"/>
          <w:szCs w:val="24"/>
          <w:lang w:val="en-US"/>
        </w:rPr>
        <w:t>perceptions</w:t>
      </w:r>
      <w:r w:rsidRPr="679776DD" w:rsidR="3B94106C">
        <w:rPr>
          <w:rFonts w:ascii="Aptos" w:hAnsi="Aptos" w:eastAsia="Aptos" w:cs="Aptos"/>
          <w:noProof w:val="0"/>
          <w:sz w:val="24"/>
          <w:szCs w:val="24"/>
          <w:lang w:val="en-US"/>
        </w:rPr>
        <w:t xml:space="preserve"> are varied by channel: logistic, psychological, and performance risks may be heightened from an online purchase, </w:t>
      </w:r>
      <w:r w:rsidRPr="679776DD" w:rsidR="3B94106C">
        <w:rPr>
          <w:rFonts w:ascii="Aptos" w:hAnsi="Aptos" w:eastAsia="Aptos" w:cs="Aptos"/>
          <w:noProof w:val="0"/>
          <w:sz w:val="24"/>
          <w:szCs w:val="24"/>
          <w:lang w:val="en-US"/>
        </w:rPr>
        <w:t>whereas</w:t>
      </w:r>
      <w:r w:rsidRPr="679776DD" w:rsidR="3B94106C">
        <w:rPr>
          <w:rFonts w:ascii="Aptos" w:hAnsi="Aptos" w:eastAsia="Aptos" w:cs="Aptos"/>
          <w:noProof w:val="0"/>
          <w:sz w:val="24"/>
          <w:szCs w:val="24"/>
          <w:lang w:val="en-US"/>
        </w:rPr>
        <w:t xml:space="preserve"> time and transaction risks are from an in-store transaction, which suggests that mitigating these risks must be channel-specific (</w:t>
      </w:r>
      <w:r w:rsidRPr="679776DD" w:rsidR="3B94106C">
        <w:rPr>
          <w:rFonts w:ascii="Aptos" w:hAnsi="Aptos" w:eastAsia="Aptos" w:cs="Aptos"/>
          <w:noProof w:val="0"/>
          <w:sz w:val="24"/>
          <w:szCs w:val="24"/>
          <w:lang w:val="en-US"/>
        </w:rPr>
        <w:t>Bezès</w:t>
      </w:r>
      <w:r w:rsidRPr="679776DD" w:rsidR="3B94106C">
        <w:rPr>
          <w:rFonts w:ascii="Aptos" w:hAnsi="Aptos" w:eastAsia="Aptos" w:cs="Aptos"/>
          <w:noProof w:val="0"/>
          <w:sz w:val="24"/>
          <w:szCs w:val="24"/>
          <w:lang w:val="en-US"/>
        </w:rPr>
        <w:t>, 2016). For Gard Pro, a hybrid approach-demos by appointment and heavy online content such as 360° views, interactive tutorials, and transparent returns-can reduce friction across both contexts.</w:t>
      </w:r>
    </w:p>
    <w:p w:rsidR="0F2836B2" w:rsidP="1EB9090B" w:rsidRDefault="0F2836B2" w14:paraId="7E9530E0" w14:textId="646DA43B">
      <w:pPr>
        <w:pStyle w:val="Normal"/>
      </w:pPr>
      <w:r w:rsidRPr="679776DD" w:rsidR="21C2D629">
        <w:rPr>
          <w:rFonts w:ascii="Aptos" w:hAnsi="Aptos" w:eastAsia="Aptos" w:cs="Aptos"/>
          <w:noProof w:val="0"/>
          <w:sz w:val="24"/>
          <w:szCs w:val="24"/>
          <w:lang w:val="en-US"/>
        </w:rPr>
        <w:t>5</w:t>
      </w:r>
      <w:r w:rsidRPr="679776DD" w:rsidR="5F2B5046">
        <w:rPr>
          <w:rFonts w:ascii="Aptos" w:hAnsi="Aptos" w:eastAsia="Aptos" w:cs="Aptos"/>
          <w:noProof w:val="0"/>
          <w:sz w:val="24"/>
          <w:szCs w:val="24"/>
          <w:lang w:val="en-US"/>
        </w:rPr>
        <w:t xml:space="preserve">.2 E-Commerce Marketplaces </w:t>
      </w:r>
    </w:p>
    <w:p w:rsidR="5255EBB3" w:rsidP="679776DD" w:rsidRDefault="5255EBB3" w14:paraId="04B1A6BF" w14:textId="79B1A8B0">
      <w:pPr>
        <w:pStyle w:val="Normal"/>
        <w:rPr>
          <w:rFonts w:ascii="Aptos" w:hAnsi="Aptos" w:eastAsia="Aptos" w:cs="Aptos"/>
          <w:noProof w:val="0"/>
          <w:sz w:val="24"/>
          <w:szCs w:val="24"/>
          <w:lang w:val="en-US"/>
        </w:rPr>
      </w:pPr>
      <w:r w:rsidRPr="679776DD" w:rsidR="5255EBB3">
        <w:rPr>
          <w:rFonts w:ascii="Aptos" w:hAnsi="Aptos" w:eastAsia="Aptos" w:cs="Aptos"/>
          <w:noProof w:val="0"/>
          <w:sz w:val="24"/>
          <w:szCs w:val="24"/>
          <w:lang w:val="en-US"/>
        </w:rPr>
        <w:t xml:space="preserve">Marketplaces mediate discovery and trust through platform reputation, ratings, and community interactions. </w:t>
      </w:r>
      <w:r w:rsidRPr="679776DD" w:rsidR="5255EBB3">
        <w:rPr>
          <w:rFonts w:ascii="Aptos" w:hAnsi="Aptos" w:eastAsia="Aptos" w:cs="Aptos"/>
          <w:noProof w:val="0"/>
          <w:sz w:val="24"/>
          <w:szCs w:val="24"/>
          <w:lang w:val="en-US"/>
        </w:rPr>
        <w:t>Podkalicka</w:t>
      </w:r>
      <w:r w:rsidRPr="679776DD" w:rsidR="5255EBB3">
        <w:rPr>
          <w:rFonts w:ascii="Aptos" w:hAnsi="Aptos" w:eastAsia="Aptos" w:cs="Aptos"/>
          <w:noProof w:val="0"/>
          <w:sz w:val="24"/>
          <w:szCs w:val="24"/>
          <w:lang w:val="en-US"/>
        </w:rPr>
        <w:t xml:space="preserve"> and Fredriksson (2023) conceptualize "</w:t>
      </w:r>
      <w:r w:rsidRPr="679776DD" w:rsidR="4394D464">
        <w:rPr>
          <w:rFonts w:ascii="Aptos" w:hAnsi="Aptos" w:eastAsia="Aptos" w:cs="Aptos"/>
          <w:noProof w:val="0"/>
          <w:sz w:val="24"/>
          <w:szCs w:val="24"/>
          <w:lang w:val="en-US"/>
        </w:rPr>
        <w:t>mediatized</w:t>
      </w:r>
      <w:r w:rsidRPr="679776DD" w:rsidR="5255EBB3">
        <w:rPr>
          <w:rFonts w:ascii="Aptos" w:hAnsi="Aptos" w:eastAsia="Aptos" w:cs="Aptos"/>
          <w:noProof w:val="0"/>
          <w:sz w:val="24"/>
          <w:szCs w:val="24"/>
          <w:lang w:val="en-US"/>
        </w:rPr>
        <w:t xml:space="preserve"> marketplaces" and show how digital platforms articulate local identities with global reach and </w:t>
      </w:r>
      <w:r w:rsidRPr="679776DD" w:rsidR="5255EBB3">
        <w:rPr>
          <w:rFonts w:ascii="Aptos" w:hAnsi="Aptos" w:eastAsia="Aptos" w:cs="Aptos"/>
          <w:noProof w:val="0"/>
          <w:sz w:val="24"/>
          <w:szCs w:val="24"/>
          <w:lang w:val="en-US"/>
        </w:rPr>
        <w:t>logistics</w:t>
      </w:r>
      <w:r w:rsidRPr="679776DD" w:rsidR="5255EBB3">
        <w:rPr>
          <w:rFonts w:ascii="Aptos" w:hAnsi="Aptos" w:eastAsia="Aptos" w:cs="Aptos"/>
          <w:noProof w:val="0"/>
          <w:sz w:val="24"/>
          <w:szCs w:val="24"/>
          <w:lang w:val="en-US"/>
        </w:rPr>
        <w:t xml:space="preserve">, reshaping </w:t>
      </w:r>
      <w:r w:rsidRPr="679776DD" w:rsidR="5255EBB3">
        <w:rPr>
          <w:rFonts w:ascii="Aptos" w:hAnsi="Aptos" w:eastAsia="Aptos" w:cs="Aptos"/>
          <w:noProof w:val="0"/>
          <w:sz w:val="24"/>
          <w:szCs w:val="24"/>
          <w:lang w:val="en-US"/>
        </w:rPr>
        <w:t>consumption</w:t>
      </w:r>
      <w:r w:rsidRPr="679776DD" w:rsidR="5255EBB3">
        <w:rPr>
          <w:rFonts w:ascii="Aptos" w:hAnsi="Aptos" w:eastAsia="Aptos" w:cs="Aptos"/>
          <w:noProof w:val="0"/>
          <w:sz w:val="24"/>
          <w:szCs w:val="24"/>
          <w:lang w:val="en-US"/>
        </w:rPr>
        <w:t xml:space="preserve"> and distribution practices. Omnichannel research has unveiled that the integration of e‑commerce within the broader channel portfolios depends on main distribution routes, namely direct vs. indirect, and product value density, which in turn </w:t>
      </w:r>
      <w:r w:rsidRPr="679776DD" w:rsidR="5255EBB3">
        <w:rPr>
          <w:rFonts w:ascii="Aptos" w:hAnsi="Aptos" w:eastAsia="Aptos" w:cs="Aptos"/>
          <w:noProof w:val="0"/>
          <w:sz w:val="24"/>
          <w:szCs w:val="24"/>
          <w:lang w:val="en-US"/>
        </w:rPr>
        <w:t>determines</w:t>
      </w:r>
      <w:r w:rsidRPr="679776DD" w:rsidR="5255EBB3">
        <w:rPr>
          <w:rFonts w:ascii="Aptos" w:hAnsi="Aptos" w:eastAsia="Aptos" w:cs="Aptos"/>
          <w:noProof w:val="0"/>
          <w:sz w:val="24"/>
          <w:szCs w:val="24"/>
          <w:lang w:val="en-US"/>
        </w:rPr>
        <w:t xml:space="preserve"> a set of benefits and constraints occurring across marketing and supply chain operations, as Belvedere et al. (2021) have determined. For Gard Pro, marketplaces can increase awareness and trial but weaken brand control; selective marketplace involvement with curated brand pages, verified sellers, and consistent service policies is therefore </w:t>
      </w:r>
      <w:r w:rsidRPr="679776DD" w:rsidR="5255EBB3">
        <w:rPr>
          <w:rFonts w:ascii="Aptos" w:hAnsi="Aptos" w:eastAsia="Aptos" w:cs="Aptos"/>
          <w:noProof w:val="0"/>
          <w:sz w:val="24"/>
          <w:szCs w:val="24"/>
          <w:lang w:val="en-US"/>
        </w:rPr>
        <w:t>appropriate</w:t>
      </w:r>
      <w:r w:rsidRPr="679776DD" w:rsidR="5255EBB3">
        <w:rPr>
          <w:rFonts w:ascii="Aptos" w:hAnsi="Aptos" w:eastAsia="Aptos" w:cs="Aptos"/>
          <w:noProof w:val="0"/>
          <w:sz w:val="24"/>
          <w:szCs w:val="24"/>
          <w:lang w:val="en-US"/>
        </w:rPr>
        <w:t>.</w:t>
      </w:r>
    </w:p>
    <w:p w:rsidR="0F2836B2" w:rsidP="1EB9090B" w:rsidRDefault="0F2836B2" w14:paraId="526CCF11" w14:textId="54CC2E64">
      <w:pPr>
        <w:pStyle w:val="Normal"/>
      </w:pPr>
      <w:r w:rsidRPr="679776DD" w:rsidR="3B1EBC9C">
        <w:rPr>
          <w:rFonts w:ascii="Aptos" w:hAnsi="Aptos" w:eastAsia="Aptos" w:cs="Aptos"/>
          <w:noProof w:val="0"/>
          <w:sz w:val="24"/>
          <w:szCs w:val="24"/>
          <w:lang w:val="en-US"/>
        </w:rPr>
        <w:t>5</w:t>
      </w:r>
      <w:r w:rsidRPr="679776DD" w:rsidR="127703C0">
        <w:rPr>
          <w:rFonts w:ascii="Aptos" w:hAnsi="Aptos" w:eastAsia="Aptos" w:cs="Aptos"/>
          <w:noProof w:val="0"/>
          <w:sz w:val="24"/>
          <w:szCs w:val="24"/>
          <w:lang w:val="en-US"/>
        </w:rPr>
        <w:t xml:space="preserve">.3 Direct-to-Consumer Strategies </w:t>
      </w:r>
    </w:p>
    <w:p w:rsidR="7BDDD60C" w:rsidP="679776DD" w:rsidRDefault="7BDDD60C" w14:paraId="4C825096" w14:textId="4BB72117">
      <w:pPr>
        <w:pStyle w:val="Normal"/>
        <w:rPr>
          <w:rFonts w:ascii="Aptos" w:hAnsi="Aptos" w:eastAsia="Aptos" w:cs="Aptos"/>
          <w:noProof w:val="0"/>
          <w:sz w:val="24"/>
          <w:szCs w:val="24"/>
          <w:lang w:val="en-US"/>
        </w:rPr>
      </w:pPr>
      <w:r w:rsidRPr="058BC90B" w:rsidR="7BDDD60C">
        <w:rPr>
          <w:rFonts w:ascii="Aptos" w:hAnsi="Aptos" w:eastAsia="Aptos" w:cs="Aptos"/>
          <w:noProof w:val="0"/>
          <w:sz w:val="24"/>
          <w:szCs w:val="24"/>
          <w:lang w:val="en-US"/>
        </w:rPr>
        <w:t xml:space="preserve">The direct-to-consumer (DTC) model allows </w:t>
      </w:r>
      <w:r w:rsidRPr="058BC90B" w:rsidR="7BDDD60C">
        <w:rPr>
          <w:rFonts w:ascii="Aptos" w:hAnsi="Aptos" w:eastAsia="Aptos" w:cs="Aptos"/>
          <w:noProof w:val="0"/>
          <w:sz w:val="24"/>
          <w:szCs w:val="24"/>
          <w:lang w:val="en-US"/>
        </w:rPr>
        <w:t>for brand</w:t>
      </w:r>
      <w:r w:rsidRPr="058BC90B" w:rsidR="7BDDD60C">
        <w:rPr>
          <w:rFonts w:ascii="Aptos" w:hAnsi="Aptos" w:eastAsia="Aptos" w:cs="Aptos"/>
          <w:noProof w:val="0"/>
          <w:sz w:val="24"/>
          <w:szCs w:val="24"/>
          <w:lang w:val="en-US"/>
        </w:rPr>
        <w:t xml:space="preserve"> narrative, data, and margin control but demands superior skill for performance marketing, </w:t>
      </w:r>
      <w:r w:rsidRPr="058BC90B" w:rsidR="7BDDD60C">
        <w:rPr>
          <w:rFonts w:ascii="Aptos" w:hAnsi="Aptos" w:eastAsia="Aptos" w:cs="Aptos"/>
          <w:noProof w:val="0"/>
          <w:sz w:val="24"/>
          <w:szCs w:val="24"/>
          <w:lang w:val="en-US"/>
        </w:rPr>
        <w:t>logistics</w:t>
      </w:r>
      <w:r w:rsidRPr="058BC90B" w:rsidR="7BDDD60C">
        <w:rPr>
          <w:rFonts w:ascii="Aptos" w:hAnsi="Aptos" w:eastAsia="Aptos" w:cs="Aptos"/>
          <w:noProof w:val="0"/>
          <w:sz w:val="24"/>
          <w:szCs w:val="24"/>
          <w:lang w:val="en-US"/>
        </w:rPr>
        <w:t xml:space="preserve">, and services. A systematic analysis traces the trajectory of the DTC model and recommends further theoretical and scientific exploration on technology-enabled service experiences, the role and relation of power between brands and retailers, and the experiential aspects of electronic commerce on the service experience (McKee et al. 2023). An empirical analysis points to cost-efficacy influences and the role of social media marketing on loyalty, and product and multichannel services on emotional experiences and value </w:t>
      </w:r>
      <w:r w:rsidRPr="058BC90B" w:rsidR="7BDDD60C">
        <w:rPr>
          <w:rFonts w:ascii="Aptos" w:hAnsi="Aptos" w:eastAsia="Aptos" w:cs="Aptos"/>
          <w:noProof w:val="0"/>
          <w:sz w:val="24"/>
          <w:szCs w:val="24"/>
          <w:lang w:val="en-US"/>
        </w:rPr>
        <w:t>perceptions</w:t>
      </w:r>
      <w:r w:rsidRPr="058BC90B" w:rsidR="7BDDD60C">
        <w:rPr>
          <w:rFonts w:ascii="Aptos" w:hAnsi="Aptos" w:eastAsia="Aptos" w:cs="Aptos"/>
          <w:noProof w:val="0"/>
          <w:sz w:val="24"/>
          <w:szCs w:val="24"/>
          <w:lang w:val="en-US"/>
        </w:rPr>
        <w:t xml:space="preserve"> (Mu &amp; Yi 2024). The Gard Pro model specifically for the DTC brand would thus focus on owned media storytelling and experiences (e.g., training programs, events/challenges), and data-driven services (e.g., insights).</w:t>
      </w:r>
    </w:p>
    <w:p w:rsidR="1EB9090B" w:rsidP="679776DD" w:rsidRDefault="1EB9090B" w14:paraId="600FC1E9" w14:textId="4809450A">
      <w:pPr>
        <w:spacing w:before="0" w:beforeAutospacing="off" w:after="0" w:afterAutospacing="off" w:line="300" w:lineRule="auto"/>
        <w:rPr>
          <w:rFonts w:ascii="Segoe UI" w:hAnsi="Segoe UI" w:eastAsia="Segoe UI" w:cs="Segoe UI"/>
          <w:b w:val="0"/>
          <w:bCs w:val="0"/>
          <w:i w:val="0"/>
          <w:iCs w:val="0"/>
          <w:noProof w:val="0"/>
          <w:sz w:val="21"/>
          <w:szCs w:val="21"/>
          <w:lang w:val="en-US"/>
        </w:rPr>
      </w:pPr>
    </w:p>
    <w:p w:rsidR="0F2836B2" w:rsidP="058BC90B" w:rsidRDefault="0F2836B2" w14:paraId="114FECCE" w14:textId="332BCE93">
      <w:pPr>
        <w:pStyle w:val="Normal"/>
        <w:rPr>
          <w:rFonts w:ascii="Aptos" w:hAnsi="Aptos" w:eastAsia="Aptos" w:cs="Aptos"/>
          <w:noProof w:val="0"/>
          <w:sz w:val="24"/>
          <w:szCs w:val="24"/>
          <w:lang w:val="en-US"/>
        </w:rPr>
      </w:pPr>
      <w:r w:rsidRPr="058BC90B" w:rsidR="3951E794">
        <w:rPr>
          <w:rFonts w:ascii="Aptos" w:hAnsi="Aptos" w:eastAsia="Aptos" w:cs="Aptos"/>
          <w:noProof w:val="0"/>
          <w:sz w:val="24"/>
          <w:szCs w:val="24"/>
          <w:lang w:val="en-US"/>
        </w:rPr>
        <w:t>6</w:t>
      </w:r>
      <w:r w:rsidRPr="058BC90B" w:rsidR="5F2B5046">
        <w:rPr>
          <w:rFonts w:ascii="Aptos" w:hAnsi="Aptos" w:eastAsia="Aptos" w:cs="Aptos"/>
          <w:noProof w:val="0"/>
          <w:sz w:val="24"/>
          <w:szCs w:val="24"/>
          <w:lang w:val="en-US"/>
        </w:rPr>
        <w:t xml:space="preserve">. Gaps in </w:t>
      </w:r>
      <w:r w:rsidRPr="058BC90B" w:rsidR="62C327C1">
        <w:rPr>
          <w:rFonts w:ascii="Aptos" w:hAnsi="Aptos" w:eastAsia="Aptos" w:cs="Aptos"/>
          <w:noProof w:val="0"/>
          <w:sz w:val="24"/>
          <w:szCs w:val="24"/>
          <w:lang w:val="en-US"/>
        </w:rPr>
        <w:t>Literature</w:t>
      </w:r>
      <w:r w:rsidRPr="058BC90B" w:rsidR="5F2B5046">
        <w:rPr>
          <w:rFonts w:ascii="Aptos" w:hAnsi="Aptos" w:eastAsia="Aptos" w:cs="Aptos"/>
          <w:noProof w:val="0"/>
          <w:sz w:val="24"/>
          <w:szCs w:val="24"/>
          <w:lang w:val="en-US"/>
        </w:rPr>
        <w:t xml:space="preserve"> </w:t>
      </w:r>
    </w:p>
    <w:p w:rsidR="0F2836B2" w:rsidP="1EB9090B" w:rsidRDefault="0F2836B2" w14:paraId="4290E3C4" w14:textId="7660E8E1">
      <w:pPr>
        <w:pStyle w:val="Normal"/>
      </w:pPr>
      <w:r w:rsidRPr="679776DD" w:rsidR="271D5DA5">
        <w:rPr>
          <w:rFonts w:ascii="Aptos" w:hAnsi="Aptos" w:eastAsia="Aptos" w:cs="Aptos"/>
          <w:noProof w:val="0"/>
          <w:sz w:val="24"/>
          <w:szCs w:val="24"/>
          <w:lang w:val="en-US"/>
        </w:rPr>
        <w:t>6</w:t>
      </w:r>
      <w:r w:rsidRPr="679776DD" w:rsidR="5F2B5046">
        <w:rPr>
          <w:rFonts w:ascii="Aptos" w:hAnsi="Aptos" w:eastAsia="Aptos" w:cs="Aptos"/>
          <w:noProof w:val="0"/>
          <w:sz w:val="24"/>
          <w:szCs w:val="24"/>
          <w:lang w:val="en-US"/>
        </w:rPr>
        <w:t xml:space="preserve">.1 Unexplored Areas </w:t>
      </w:r>
    </w:p>
    <w:p w:rsidR="53F97A94" w:rsidP="679776DD" w:rsidRDefault="53F97A94" w14:paraId="3784B40C" w14:textId="1822358F">
      <w:pPr>
        <w:pStyle w:val="Normal"/>
        <w:rPr>
          <w:rFonts w:ascii="Aptos" w:hAnsi="Aptos" w:eastAsia="Aptos" w:cs="Aptos"/>
          <w:noProof w:val="0"/>
          <w:sz w:val="24"/>
          <w:szCs w:val="24"/>
          <w:lang w:val="en-US"/>
        </w:rPr>
      </w:pPr>
      <w:r w:rsidRPr="679776DD" w:rsidR="53F97A94">
        <w:rPr>
          <w:rFonts w:ascii="Aptos" w:hAnsi="Aptos" w:eastAsia="Aptos" w:cs="Aptos"/>
          <w:noProof w:val="0"/>
          <w:sz w:val="24"/>
          <w:szCs w:val="24"/>
          <w:lang w:val="en-US"/>
        </w:rPr>
        <w:t xml:space="preserve">Researchers point to various under-investigated areas. In digital and social media marketing, areas of future research include responsible personalization, cross-platform attribution, and the inter relationship of AI and consumer empowerment—themes which also relate directly to wearable engagement strategies and data-driven nudges. Systematic reviews of consumer technology adoption highlight a need for richer cultural analyses, the longitudinal trajectories of adoption and disengagement, and hybrid qualitative-quantitative approaches </w:t>
      </w:r>
      <w:r w:rsidRPr="679776DD" w:rsidR="53F97A94">
        <w:rPr>
          <w:rFonts w:ascii="Aptos" w:hAnsi="Aptos" w:eastAsia="Aptos" w:cs="Aptos"/>
          <w:noProof w:val="0"/>
          <w:sz w:val="24"/>
          <w:szCs w:val="24"/>
          <w:lang w:val="en-US"/>
        </w:rPr>
        <w:t>to</w:t>
      </w:r>
      <w:r w:rsidRPr="679776DD" w:rsidR="53F97A94">
        <w:rPr>
          <w:rFonts w:ascii="Aptos" w:hAnsi="Aptos" w:eastAsia="Aptos" w:cs="Aptos"/>
          <w:noProof w:val="0"/>
          <w:sz w:val="24"/>
          <w:szCs w:val="24"/>
          <w:lang w:val="en-US"/>
        </w:rPr>
        <w:t xml:space="preserve"> document rich lived experiences with smart devices. In the case of wearables, uses </w:t>
      </w:r>
      <w:r w:rsidRPr="679776DD" w:rsidR="53F97A94">
        <w:rPr>
          <w:rFonts w:ascii="Aptos" w:hAnsi="Aptos" w:eastAsia="Aptos" w:cs="Aptos"/>
          <w:noProof w:val="0"/>
          <w:sz w:val="24"/>
          <w:szCs w:val="24"/>
          <w:lang w:val="en-US"/>
        </w:rPr>
        <w:t>adjacent to</w:t>
      </w:r>
      <w:r w:rsidRPr="679776DD" w:rsidR="53F97A94">
        <w:rPr>
          <w:rFonts w:ascii="Aptos" w:hAnsi="Aptos" w:eastAsia="Aptos" w:cs="Aptos"/>
          <w:noProof w:val="0"/>
          <w:sz w:val="24"/>
          <w:szCs w:val="24"/>
          <w:lang w:val="en-US"/>
        </w:rPr>
        <w:t xml:space="preserve"> healthcare point to opportunities for clinical validation pathways, outcomes-based contracting, and equity in access to digital health tools. </w:t>
      </w:r>
      <w:r w:rsidRPr="679776DD" w:rsidR="53F97A94">
        <w:rPr>
          <w:rFonts w:ascii="Aptos" w:hAnsi="Aptos" w:eastAsia="Aptos" w:cs="Aptos"/>
          <w:noProof w:val="0"/>
          <w:sz w:val="24"/>
          <w:szCs w:val="24"/>
          <w:lang w:val="en-US"/>
        </w:rPr>
        <w:t>Regarding</w:t>
      </w:r>
      <w:r w:rsidRPr="679776DD" w:rsidR="53F97A94">
        <w:rPr>
          <w:rFonts w:ascii="Aptos" w:hAnsi="Aptos" w:eastAsia="Aptos" w:cs="Aptos"/>
          <w:noProof w:val="0"/>
          <w:sz w:val="24"/>
          <w:szCs w:val="24"/>
          <w:lang w:val="en-US"/>
        </w:rPr>
        <w:t xml:space="preserve"> Gard Pro, one area that </w:t>
      </w:r>
      <w:r w:rsidRPr="679776DD" w:rsidR="53F97A94">
        <w:rPr>
          <w:rFonts w:ascii="Aptos" w:hAnsi="Aptos" w:eastAsia="Aptos" w:cs="Aptos"/>
          <w:noProof w:val="0"/>
          <w:sz w:val="24"/>
          <w:szCs w:val="24"/>
          <w:lang w:val="en-US"/>
        </w:rPr>
        <w:t>remains</w:t>
      </w:r>
      <w:r w:rsidRPr="679776DD" w:rsidR="53F97A94">
        <w:rPr>
          <w:rFonts w:ascii="Aptos" w:hAnsi="Aptos" w:eastAsia="Aptos" w:cs="Aptos"/>
          <w:noProof w:val="0"/>
          <w:sz w:val="24"/>
          <w:szCs w:val="24"/>
          <w:lang w:val="en-US"/>
        </w:rPr>
        <w:t xml:space="preserve"> fruitful is research that examines the actual metrics of behavior change in the real world and then links said change to product features or communications.</w:t>
      </w:r>
    </w:p>
    <w:p w:rsidR="679776DD" w:rsidP="679776DD" w:rsidRDefault="679776DD" w14:paraId="0697824C" w14:textId="53601C86">
      <w:pPr>
        <w:pStyle w:val="Normal"/>
        <w:rPr>
          <w:rFonts w:ascii="Aptos" w:hAnsi="Aptos" w:eastAsia="Aptos" w:cs="Aptos"/>
          <w:noProof w:val="0"/>
          <w:sz w:val="24"/>
          <w:szCs w:val="24"/>
          <w:lang w:val="en-US"/>
        </w:rPr>
      </w:pPr>
    </w:p>
    <w:p w:rsidR="0F2836B2" w:rsidP="1EB9090B" w:rsidRDefault="0F2836B2" w14:paraId="444C31C9" w14:textId="73BF9DD4">
      <w:pPr>
        <w:pStyle w:val="Normal"/>
      </w:pPr>
      <w:r w:rsidRPr="679776DD" w:rsidR="31615A7B">
        <w:rPr>
          <w:rFonts w:ascii="Aptos" w:hAnsi="Aptos" w:eastAsia="Aptos" w:cs="Aptos"/>
          <w:noProof w:val="0"/>
          <w:sz w:val="24"/>
          <w:szCs w:val="24"/>
          <w:lang w:val="en-US"/>
        </w:rPr>
        <w:t>6</w:t>
      </w:r>
      <w:r w:rsidRPr="679776DD" w:rsidR="5F2B5046">
        <w:rPr>
          <w:rFonts w:ascii="Aptos" w:hAnsi="Aptos" w:eastAsia="Aptos" w:cs="Aptos"/>
          <w:noProof w:val="0"/>
          <w:sz w:val="24"/>
          <w:szCs w:val="24"/>
          <w:lang w:val="en-US"/>
        </w:rPr>
        <w:t xml:space="preserve">.2 Limitations of Current Research </w:t>
      </w:r>
    </w:p>
    <w:p w:rsidR="0E7BB8AF" w:rsidP="679776DD" w:rsidRDefault="0E7BB8AF" w14:paraId="01CAB636" w14:textId="5AF32E55">
      <w:pPr>
        <w:pStyle w:val="Normal"/>
        <w:rPr>
          <w:rFonts w:ascii="Aptos" w:hAnsi="Aptos" w:eastAsia="Aptos" w:cs="Aptos"/>
          <w:noProof w:val="0"/>
          <w:sz w:val="24"/>
          <w:szCs w:val="24"/>
          <w:lang w:val="en-US"/>
        </w:rPr>
      </w:pPr>
      <w:r w:rsidRPr="058BC90B" w:rsidR="0E7BB8AF">
        <w:rPr>
          <w:rFonts w:ascii="Aptos" w:hAnsi="Aptos" w:eastAsia="Aptos" w:cs="Aptos"/>
          <w:noProof w:val="0"/>
          <w:sz w:val="24"/>
          <w:szCs w:val="24"/>
          <w:lang w:val="en-US"/>
        </w:rPr>
        <w:t xml:space="preserve">Generalization of a larger population might be impeded by methodological restrictions and research gaps. Köhler et al. (2024) suggest a lack of longitudinal research and effectiveness testing in ecologically valid settings for smartwatches as a nudging and predictive platform. Research on privacy calculus may have limitations for generalization to a global audience due to convenience sampling and a same-country focus and lack of differences for subgroups </w:t>
      </w:r>
      <w:r w:rsidRPr="058BC90B" w:rsidR="0E7BB8AF">
        <w:rPr>
          <w:rFonts w:ascii="Aptos" w:hAnsi="Aptos" w:eastAsia="Aptos" w:cs="Aptos"/>
          <w:noProof w:val="0"/>
          <w:sz w:val="24"/>
          <w:szCs w:val="24"/>
          <w:lang w:val="en-US"/>
        </w:rPr>
        <w:t>regarding</w:t>
      </w:r>
      <w:r w:rsidRPr="058BC90B" w:rsidR="0E7BB8AF">
        <w:rPr>
          <w:rFonts w:ascii="Aptos" w:hAnsi="Aptos" w:eastAsia="Aptos" w:cs="Aptos"/>
          <w:noProof w:val="0"/>
          <w:sz w:val="24"/>
          <w:szCs w:val="24"/>
          <w:lang w:val="en-US"/>
        </w:rPr>
        <w:t xml:space="preserve"> sensitivity to privacy (Kumar et al., 2024). Technology acceptance model literature reviews caution that exclusive attention to TAM may have negative implications without considering trust, organizational, and training factors, such as in healthcare (Lee et al., 2025). This review examines all the </w:t>
      </w:r>
      <w:r w:rsidRPr="058BC90B" w:rsidR="0E7BB8AF">
        <w:rPr>
          <w:rFonts w:ascii="Aptos" w:hAnsi="Aptos" w:eastAsia="Aptos" w:cs="Aptos"/>
          <w:noProof w:val="0"/>
          <w:sz w:val="24"/>
          <w:szCs w:val="24"/>
          <w:lang w:val="en-US"/>
        </w:rPr>
        <w:t>issues</w:t>
      </w:r>
      <w:r w:rsidRPr="058BC90B" w:rsidR="0E7BB8AF">
        <w:rPr>
          <w:rFonts w:ascii="Aptos" w:hAnsi="Aptos" w:eastAsia="Aptos" w:cs="Aptos"/>
          <w:noProof w:val="0"/>
          <w:sz w:val="24"/>
          <w:szCs w:val="24"/>
          <w:lang w:val="en-US"/>
        </w:rPr>
        <w:t xml:space="preserve"> and </w:t>
      </w:r>
      <w:r w:rsidRPr="058BC90B" w:rsidR="0E7BB8AF">
        <w:rPr>
          <w:rFonts w:ascii="Aptos" w:hAnsi="Aptos" w:eastAsia="Aptos" w:cs="Aptos"/>
          <w:noProof w:val="0"/>
          <w:sz w:val="24"/>
          <w:szCs w:val="24"/>
          <w:lang w:val="en-US"/>
        </w:rPr>
        <w:t>identifies</w:t>
      </w:r>
      <w:r w:rsidRPr="058BC90B" w:rsidR="0E7BB8AF">
        <w:rPr>
          <w:rFonts w:ascii="Aptos" w:hAnsi="Aptos" w:eastAsia="Aptos" w:cs="Aptos"/>
          <w:noProof w:val="0"/>
          <w:sz w:val="24"/>
          <w:szCs w:val="24"/>
          <w:lang w:val="en-US"/>
        </w:rPr>
        <w:t xml:space="preserve"> that a need for multi-method research and multi-country sample settings and multi-outcome criteria (behavioral, clinical, and experience) research might be </w:t>
      </w:r>
      <w:r w:rsidRPr="058BC90B" w:rsidR="0E7BB8AF">
        <w:rPr>
          <w:rFonts w:ascii="Aptos" w:hAnsi="Aptos" w:eastAsia="Aptos" w:cs="Aptos"/>
          <w:noProof w:val="0"/>
          <w:sz w:val="24"/>
          <w:szCs w:val="24"/>
          <w:lang w:val="en-US"/>
        </w:rPr>
        <w:t>required</w:t>
      </w:r>
      <w:r w:rsidRPr="058BC90B" w:rsidR="0E7BB8AF">
        <w:rPr>
          <w:rFonts w:ascii="Aptos" w:hAnsi="Aptos" w:eastAsia="Aptos" w:cs="Aptos"/>
          <w:noProof w:val="0"/>
          <w:sz w:val="24"/>
          <w:szCs w:val="24"/>
          <w:lang w:val="en-US"/>
        </w:rPr>
        <w:t xml:space="preserve"> to fully evaluate smartwatches.</w:t>
      </w:r>
    </w:p>
    <w:p w:rsidR="679776DD" w:rsidP="679776DD" w:rsidRDefault="679776DD" w14:paraId="7FEF3C3A" w14:textId="79CDFD6F">
      <w:pPr>
        <w:pStyle w:val="Normal"/>
        <w:rPr>
          <w:rFonts w:ascii="Aptos" w:hAnsi="Aptos" w:eastAsia="Aptos" w:cs="Aptos"/>
          <w:noProof w:val="0"/>
          <w:sz w:val="24"/>
          <w:szCs w:val="24"/>
          <w:lang w:val="en-US"/>
        </w:rPr>
      </w:pPr>
    </w:p>
    <w:p w:rsidR="0444835D" w:rsidP="0444835D" w:rsidRDefault="0444835D" w14:paraId="35C10DBF" w14:textId="772E1F98">
      <w:pPr>
        <w:pStyle w:val="Normal"/>
      </w:pPr>
      <w:r w:rsidRPr="679776DD" w:rsidR="7E9262D0">
        <w:rPr>
          <w:rFonts w:ascii="Aptos" w:hAnsi="Aptos" w:eastAsia="Aptos" w:cs="Aptos"/>
          <w:noProof w:val="0"/>
          <w:sz w:val="24"/>
          <w:szCs w:val="24"/>
          <w:lang w:val="en-US"/>
        </w:rPr>
        <w:t>7</w:t>
      </w:r>
      <w:r w:rsidRPr="679776DD" w:rsidR="127703C0">
        <w:rPr>
          <w:rFonts w:ascii="Aptos" w:hAnsi="Aptos" w:eastAsia="Aptos" w:cs="Aptos"/>
          <w:noProof w:val="0"/>
          <w:sz w:val="24"/>
          <w:szCs w:val="24"/>
          <w:lang w:val="en-US"/>
        </w:rPr>
        <w:t xml:space="preserve">. Conclusion </w:t>
      </w:r>
    </w:p>
    <w:p w:rsidR="0444835D" w:rsidP="0444835D" w:rsidRDefault="0444835D" w14:paraId="7A495219" w14:textId="0E9FE750">
      <w:pPr>
        <w:pStyle w:val="Normal"/>
      </w:pPr>
      <w:r w:rsidRPr="679776DD" w:rsidR="5D818EDA">
        <w:rPr>
          <w:rFonts w:ascii="Aptos" w:hAnsi="Aptos" w:eastAsia="Aptos" w:cs="Aptos"/>
          <w:noProof w:val="0"/>
          <w:sz w:val="24"/>
          <w:szCs w:val="24"/>
          <w:lang w:val="en-US"/>
        </w:rPr>
        <w:t xml:space="preserve">This literature review integrates industry dynamics, consumer insights, marketing frameworks, distribution strategies, and research gaps to set the basis for the Gard Pro Smartwatch marketing plan. The industry is moving toward health‑centric, predictive, and ethically governed wearables, which means that Gard Pro needs to couple </w:t>
      </w:r>
      <w:r w:rsidRPr="679776DD" w:rsidR="5D818EDA">
        <w:rPr>
          <w:rFonts w:ascii="Aptos" w:hAnsi="Aptos" w:eastAsia="Aptos" w:cs="Aptos"/>
          <w:noProof w:val="0"/>
          <w:sz w:val="24"/>
          <w:szCs w:val="24"/>
          <w:lang w:val="en-US"/>
        </w:rPr>
        <w:t>accurate</w:t>
      </w:r>
      <w:r w:rsidRPr="679776DD" w:rsidR="5D818EDA">
        <w:rPr>
          <w:rFonts w:ascii="Aptos" w:hAnsi="Aptos" w:eastAsia="Aptos" w:cs="Aptos"/>
          <w:noProof w:val="0"/>
          <w:sz w:val="24"/>
          <w:szCs w:val="24"/>
          <w:lang w:val="en-US"/>
        </w:rPr>
        <w:t xml:space="preserve"> sensing with meaningful insights and transparent data stewardship (Köhler et al., 2024; </w:t>
      </w:r>
      <w:r w:rsidRPr="679776DD" w:rsidR="5D818EDA">
        <w:rPr>
          <w:rFonts w:ascii="Aptos" w:hAnsi="Aptos" w:eastAsia="Aptos" w:cs="Aptos"/>
          <w:noProof w:val="0"/>
          <w:sz w:val="24"/>
          <w:szCs w:val="24"/>
          <w:lang w:val="en-US"/>
        </w:rPr>
        <w:t>Medicharla</w:t>
      </w:r>
      <w:r w:rsidRPr="679776DD" w:rsidR="5D818EDA">
        <w:rPr>
          <w:rFonts w:ascii="Aptos" w:hAnsi="Aptos" w:eastAsia="Aptos" w:cs="Aptos"/>
          <w:noProof w:val="0"/>
          <w:sz w:val="24"/>
          <w:szCs w:val="24"/>
          <w:lang w:val="en-US"/>
        </w:rPr>
        <w:t xml:space="preserve">, 2025). Adoption depends on reducing frictions associated with privacy while improving perceived usefulness and ease of use; TAM/UTAUT constructs, extended with trust and </w:t>
      </w:r>
      <w:r w:rsidRPr="679776DD" w:rsidR="5D818EDA">
        <w:rPr>
          <w:rFonts w:ascii="Aptos" w:hAnsi="Aptos" w:eastAsia="Aptos" w:cs="Aptos"/>
          <w:noProof w:val="0"/>
          <w:sz w:val="24"/>
          <w:szCs w:val="24"/>
          <w:lang w:val="en-US"/>
        </w:rPr>
        <w:t>facilitating</w:t>
      </w:r>
      <w:r w:rsidRPr="679776DD" w:rsidR="5D818EDA">
        <w:rPr>
          <w:rFonts w:ascii="Aptos" w:hAnsi="Aptos" w:eastAsia="Aptos" w:cs="Aptos"/>
          <w:noProof w:val="0"/>
          <w:sz w:val="24"/>
          <w:szCs w:val="24"/>
          <w:lang w:val="en-US"/>
        </w:rPr>
        <w:t xml:space="preserve"> conditions, give a practical roadmap (Musaa et al., 2024; Lee et al., 2025). Target market analysis underlines the need to combine demographic reach with psychographic precision, addressing emotional and identity‑based drivers besides functional value. LESS.</w:t>
      </w:r>
    </w:p>
    <w:p w:rsidR="0444835D" w:rsidP="679776DD" w:rsidRDefault="0444835D" w14:paraId="04C7AD17" w14:textId="536F7265">
      <w:pPr>
        <w:pStyle w:val="Normal"/>
        <w:rPr>
          <w:rFonts w:ascii="Aptos" w:hAnsi="Aptos" w:eastAsia="Aptos" w:cs="Aptos"/>
          <w:noProof w:val="0"/>
          <w:sz w:val="24"/>
          <w:szCs w:val="24"/>
          <w:lang w:val="en-US"/>
        </w:rPr>
      </w:pPr>
      <w:r w:rsidRPr="679776DD" w:rsidR="5D818EDA">
        <w:rPr>
          <w:rFonts w:ascii="Aptos" w:hAnsi="Aptos" w:eastAsia="Aptos" w:cs="Aptos"/>
          <w:noProof w:val="0"/>
          <w:sz w:val="24"/>
          <w:szCs w:val="24"/>
          <w:lang w:val="en-US"/>
        </w:rPr>
        <w:t>For Gard Pro, there is a clear strategic need: it has to provide trustworthy and actionable healthcare information through a free and identity-affirming experience that is distributed through hybrid channels that mitigate risk and enhance value while helping to create an evidence base that provides an understanding of real‑world impact.</w:t>
      </w:r>
    </w:p>
    <w:p w:rsidR="0444835D" w:rsidP="0444835D" w:rsidRDefault="0444835D" w14:paraId="23A23CA0" w14:textId="383A61D3">
      <w:pPr>
        <w:pStyle w:val="Normal"/>
        <w:rPr>
          <w:rFonts w:ascii="Aptos" w:hAnsi="Aptos" w:eastAsia="Aptos" w:cs="Aptos"/>
          <w:noProof w:val="0"/>
          <w:sz w:val="24"/>
          <w:szCs w:val="24"/>
          <w:lang w:val="en-US"/>
        </w:rPr>
      </w:pPr>
    </w:p>
    <w:p w:rsidR="0F2836B2" w:rsidP="679776DD" w:rsidRDefault="0F2836B2" w14:paraId="048A3051" w14:textId="63871501">
      <w:pPr>
        <w:pStyle w:val="Normal"/>
        <w:rPr>
          <w:rFonts w:ascii="Aptos" w:hAnsi="Aptos" w:eastAsia="Aptos" w:cs="Aptos"/>
          <w:noProof w:val="0"/>
          <w:sz w:val="24"/>
          <w:szCs w:val="24"/>
          <w:lang w:val="en-US"/>
        </w:rPr>
      </w:pPr>
      <w:r w:rsidRPr="679776DD" w:rsidR="2534C05B">
        <w:rPr>
          <w:rFonts w:ascii="Aptos" w:hAnsi="Aptos" w:eastAsia="Aptos" w:cs="Aptos"/>
          <w:noProof w:val="0"/>
          <w:sz w:val="24"/>
          <w:szCs w:val="24"/>
          <w:lang w:val="en-US"/>
        </w:rPr>
        <w:t>8</w:t>
      </w:r>
      <w:r w:rsidRPr="679776DD" w:rsidR="5F2B5046">
        <w:rPr>
          <w:rFonts w:ascii="Aptos" w:hAnsi="Aptos" w:eastAsia="Aptos" w:cs="Aptos"/>
          <w:noProof w:val="0"/>
          <w:sz w:val="24"/>
          <w:szCs w:val="24"/>
          <w:lang w:val="en-US"/>
        </w:rPr>
        <w:t>. Appendices</w:t>
      </w:r>
    </w:p>
    <w:p w:rsidR="1EB9090B" w:rsidP="679776DD" w:rsidRDefault="1EB9090B" w14:paraId="41B3A123" w14:textId="331FCE85">
      <w:pPr>
        <w:pStyle w:val="Heading3"/>
        <w:spacing w:before="246" w:beforeAutospacing="off" w:after="246" w:afterAutospacing="off" w:line="300" w:lineRule="auto"/>
        <w:rPr>
          <w:rFonts w:ascii="Segoe UI" w:hAnsi="Segoe UI" w:eastAsia="Segoe UI" w:cs="Segoe UI"/>
          <w:b w:val="1"/>
          <w:bCs w:val="1"/>
          <w:i w:val="0"/>
          <w:iCs w:val="0"/>
          <w:noProof w:val="0"/>
          <w:color w:val="auto"/>
          <w:sz w:val="24"/>
          <w:szCs w:val="24"/>
          <w:lang w:val="en-US"/>
        </w:rPr>
      </w:pPr>
      <w:r w:rsidRPr="679776DD" w:rsidR="12A8FA1D">
        <w:rPr>
          <w:rFonts w:ascii="Segoe UI" w:hAnsi="Segoe UI" w:eastAsia="Segoe UI" w:cs="Segoe UI"/>
          <w:b w:val="1"/>
          <w:bCs w:val="1"/>
          <w:i w:val="0"/>
          <w:iCs w:val="0"/>
          <w:noProof w:val="0"/>
          <w:color w:val="auto"/>
          <w:sz w:val="24"/>
          <w:szCs w:val="24"/>
          <w:lang w:val="en-US"/>
        </w:rPr>
        <w:t>Appendix A: Search Strategy</w:t>
      </w:r>
    </w:p>
    <w:p w:rsidR="1EB9090B" w:rsidP="679776DD" w:rsidRDefault="1EB9090B" w14:paraId="2C8BFA16" w14:textId="0721E905">
      <w:pPr>
        <w:pStyle w:val="ListParagraph"/>
        <w:numPr>
          <w:ilvl w:val="0"/>
          <w:numId w:val="4"/>
        </w:numPr>
        <w:spacing w:before="0" w:beforeAutospacing="off" w:after="0" w:afterAutospacing="off" w:line="300" w:lineRule="auto"/>
        <w:rPr>
          <w:rFonts w:ascii="Segoe UI" w:hAnsi="Segoe UI" w:eastAsia="Segoe UI" w:cs="Segoe UI"/>
          <w:b w:val="0"/>
          <w:bCs w:val="0"/>
          <w:i w:val="0"/>
          <w:iCs w:val="0"/>
          <w:noProof w:val="0"/>
          <w:sz w:val="21"/>
          <w:szCs w:val="21"/>
          <w:lang w:val="en-US"/>
        </w:rPr>
      </w:pPr>
      <w:r w:rsidRPr="679776DD" w:rsidR="12A8FA1D">
        <w:rPr>
          <w:rFonts w:ascii="Segoe UI" w:hAnsi="Segoe UI" w:eastAsia="Segoe UI" w:cs="Segoe UI"/>
          <w:b w:val="0"/>
          <w:bCs w:val="0"/>
          <w:i w:val="0"/>
          <w:iCs w:val="0"/>
          <w:noProof w:val="0"/>
          <w:sz w:val="21"/>
          <w:szCs w:val="21"/>
          <w:lang w:val="en-US"/>
        </w:rPr>
        <w:t>Databases used: Google Scholar, Emerald Insight, SpringerLink, MDPI, JMIR.</w:t>
      </w:r>
    </w:p>
    <w:p w:rsidR="1EB9090B" w:rsidP="679776DD" w:rsidRDefault="1EB9090B" w14:paraId="4DC7594C" w14:textId="78885DDD">
      <w:pPr>
        <w:pStyle w:val="ListParagraph"/>
        <w:numPr>
          <w:ilvl w:val="0"/>
          <w:numId w:val="4"/>
        </w:numPr>
        <w:spacing w:before="0" w:beforeAutospacing="off" w:after="0" w:afterAutospacing="off" w:line="300" w:lineRule="auto"/>
        <w:rPr>
          <w:rFonts w:ascii="Segoe UI" w:hAnsi="Segoe UI" w:eastAsia="Segoe UI" w:cs="Segoe UI"/>
          <w:b w:val="0"/>
          <w:bCs w:val="0"/>
          <w:i w:val="0"/>
          <w:iCs w:val="0"/>
          <w:noProof w:val="0"/>
          <w:sz w:val="21"/>
          <w:szCs w:val="21"/>
          <w:lang w:val="en-US"/>
        </w:rPr>
      </w:pPr>
      <w:r w:rsidRPr="679776DD" w:rsidR="12A8FA1D">
        <w:rPr>
          <w:rFonts w:ascii="Segoe UI" w:hAnsi="Segoe UI" w:eastAsia="Segoe UI" w:cs="Segoe UI"/>
          <w:b w:val="0"/>
          <w:bCs w:val="0"/>
          <w:i w:val="0"/>
          <w:iCs w:val="0"/>
          <w:noProof w:val="0"/>
          <w:sz w:val="21"/>
          <w:szCs w:val="21"/>
          <w:lang w:val="en-US"/>
        </w:rPr>
        <w:t>Keywords: “smartwatch adoption,” “wearable technology marketing,” “STP model,” “Technology Acceptance Model,” “direct-to-consumer strategies,” “e-commerce distribution.”</w:t>
      </w:r>
    </w:p>
    <w:p w:rsidR="1EB9090B" w:rsidP="679776DD" w:rsidRDefault="1EB9090B" w14:paraId="0A88743C" w14:textId="10F08EF3">
      <w:pPr>
        <w:pStyle w:val="ListParagraph"/>
        <w:numPr>
          <w:ilvl w:val="0"/>
          <w:numId w:val="4"/>
        </w:numPr>
        <w:spacing w:before="0" w:beforeAutospacing="off" w:after="0" w:afterAutospacing="off" w:line="300" w:lineRule="auto"/>
        <w:rPr>
          <w:rFonts w:ascii="Segoe UI" w:hAnsi="Segoe UI" w:eastAsia="Segoe UI" w:cs="Segoe UI"/>
          <w:b w:val="0"/>
          <w:bCs w:val="0"/>
          <w:i w:val="0"/>
          <w:iCs w:val="0"/>
          <w:noProof w:val="0"/>
          <w:sz w:val="21"/>
          <w:szCs w:val="21"/>
          <w:lang w:val="en-US"/>
        </w:rPr>
      </w:pPr>
      <w:r w:rsidRPr="679776DD" w:rsidR="12A8FA1D">
        <w:rPr>
          <w:rFonts w:ascii="Segoe UI" w:hAnsi="Segoe UI" w:eastAsia="Segoe UI" w:cs="Segoe UI"/>
          <w:b w:val="0"/>
          <w:bCs w:val="0"/>
          <w:i w:val="0"/>
          <w:iCs w:val="0"/>
          <w:noProof w:val="0"/>
          <w:sz w:val="21"/>
          <w:szCs w:val="21"/>
          <w:lang w:val="en-US"/>
        </w:rPr>
        <w:t>Inclusion criteria: Peer-reviewed articles (2016–2025), English language, relevance to marketing and wearable technology.</w:t>
      </w:r>
    </w:p>
    <w:p w:rsidR="1EB9090B" w:rsidP="679776DD" w:rsidRDefault="1EB9090B" w14:paraId="118424A5" w14:textId="40902CE5">
      <w:pPr>
        <w:pStyle w:val="ListParagraph"/>
        <w:numPr>
          <w:ilvl w:val="0"/>
          <w:numId w:val="4"/>
        </w:numPr>
        <w:spacing w:before="0" w:beforeAutospacing="off" w:after="0" w:afterAutospacing="off" w:line="300" w:lineRule="auto"/>
        <w:rPr>
          <w:rFonts w:ascii="Segoe UI" w:hAnsi="Segoe UI" w:eastAsia="Segoe UI" w:cs="Segoe UI"/>
          <w:b w:val="0"/>
          <w:bCs w:val="0"/>
          <w:i w:val="0"/>
          <w:iCs w:val="0"/>
          <w:noProof w:val="0"/>
          <w:sz w:val="21"/>
          <w:szCs w:val="21"/>
          <w:lang w:val="en-US"/>
        </w:rPr>
      </w:pPr>
      <w:r w:rsidRPr="679776DD" w:rsidR="12A8FA1D">
        <w:rPr>
          <w:rFonts w:ascii="Segoe UI" w:hAnsi="Segoe UI" w:eastAsia="Segoe UI" w:cs="Segoe UI"/>
          <w:b w:val="0"/>
          <w:bCs w:val="0"/>
          <w:i w:val="0"/>
          <w:iCs w:val="0"/>
          <w:noProof w:val="0"/>
          <w:sz w:val="21"/>
          <w:szCs w:val="21"/>
          <w:lang w:val="en-US"/>
        </w:rPr>
        <w:t xml:space="preserve">Exclusion criteria: Non-peer-reviewed </w:t>
      </w:r>
      <w:r w:rsidRPr="679776DD" w:rsidR="2648275B">
        <w:rPr>
          <w:rFonts w:ascii="Segoe UI" w:hAnsi="Segoe UI" w:eastAsia="Segoe UI" w:cs="Segoe UI"/>
          <w:b w:val="0"/>
          <w:bCs w:val="0"/>
          <w:i w:val="0"/>
          <w:iCs w:val="0"/>
          <w:noProof w:val="0"/>
          <w:sz w:val="21"/>
          <w:szCs w:val="21"/>
          <w:lang w:val="en-US"/>
        </w:rPr>
        <w:t>sources;</w:t>
      </w:r>
      <w:r w:rsidRPr="679776DD" w:rsidR="12A8FA1D">
        <w:rPr>
          <w:rFonts w:ascii="Segoe UI" w:hAnsi="Segoe UI" w:eastAsia="Segoe UI" w:cs="Segoe UI"/>
          <w:b w:val="0"/>
          <w:bCs w:val="0"/>
          <w:i w:val="0"/>
          <w:iCs w:val="0"/>
          <w:noProof w:val="0"/>
          <w:sz w:val="21"/>
          <w:szCs w:val="21"/>
          <w:lang w:val="en-US"/>
        </w:rPr>
        <w:t xml:space="preserve"> articles focused solely on hardware engineering.</w:t>
      </w:r>
    </w:p>
    <w:p w:rsidR="1EB9090B" w:rsidP="679776DD" w:rsidRDefault="1EB9090B" w14:paraId="642BB6A8" w14:textId="340F02AB">
      <w:pPr>
        <w:pStyle w:val="Normal"/>
        <w:rPr>
          <w:rFonts w:ascii="Aptos" w:hAnsi="Aptos" w:eastAsia="Aptos" w:cs="Aptos"/>
          <w:noProof w:val="0"/>
          <w:sz w:val="24"/>
          <w:szCs w:val="24"/>
          <w:lang w:val="en-US"/>
        </w:rPr>
      </w:pPr>
    </w:p>
    <w:p w:rsidR="1EB9090B" w:rsidP="679776DD" w:rsidRDefault="1EB9090B" w14:paraId="282AB68B" w14:textId="1E532443">
      <w:pPr>
        <w:pStyle w:val="Normal"/>
        <w:rPr>
          <w:rFonts w:ascii="Aptos" w:hAnsi="Aptos" w:eastAsia="Aptos" w:cs="Aptos"/>
          <w:noProof w:val="0"/>
          <w:sz w:val="24"/>
          <w:szCs w:val="24"/>
          <w:lang w:val="en-US"/>
        </w:rPr>
      </w:pPr>
    </w:p>
    <w:tbl>
      <w:tblPr>
        <w:tblStyle w:val="TableNormal"/>
        <w:bidiVisual w:val="0"/>
        <w:tblW w:w="0" w:type="auto"/>
        <w:tblLook w:val="06A0" w:firstRow="1" w:lastRow="0" w:firstColumn="1" w:lastColumn="0" w:noHBand="1" w:noVBand="1"/>
      </w:tblPr>
      <w:tblGrid>
        <w:gridCol w:w="2670"/>
        <w:gridCol w:w="1335"/>
        <w:gridCol w:w="1095"/>
        <w:gridCol w:w="4365"/>
      </w:tblGrid>
      <w:tr w:rsidR="679776DD" w:rsidTr="679776DD" w14:paraId="763F834F">
        <w:trPr>
          <w:trHeight w:val="300"/>
        </w:trPr>
        <w:tc>
          <w:tcPr>
            <w:tcW w:w="2670" w:type="dxa"/>
            <w:tcBorders>
              <w:top w:val="single" w:color="E6E6E6" w:sz="6"/>
              <w:left w:val="single" w:color="E6E6E6" w:sz="6"/>
              <w:bottom w:val="single" w:color="E6E6E6" w:sz="6"/>
              <w:right w:val="single" w:color="E6E6E6" w:sz="6"/>
            </w:tcBorders>
            <w:shd w:val="clear" w:color="auto" w:fill="F5F5F5"/>
            <w:tcMar/>
            <w:vAlign w:val="center"/>
          </w:tcPr>
          <w:p w:rsidR="679776DD" w:rsidP="679776DD" w:rsidRDefault="679776DD" w14:paraId="397E6014" w14:textId="729D3699">
            <w:pPr>
              <w:spacing w:before="0" w:beforeAutospacing="off" w:after="0" w:afterAutospacing="off" w:line="300" w:lineRule="auto"/>
              <w:jc w:val="center"/>
            </w:pPr>
            <w:r w:rsidRPr="679776DD" w:rsidR="679776DD">
              <w:rPr>
                <w:b w:val="1"/>
                <w:bCs w:val="1"/>
              </w:rPr>
              <w:t>Theme</w:t>
            </w:r>
          </w:p>
        </w:tc>
        <w:tc>
          <w:tcPr>
            <w:tcW w:w="1335" w:type="dxa"/>
            <w:tcBorders>
              <w:top w:val="single" w:color="E6E6E6" w:sz="6"/>
              <w:left w:val="single" w:color="E6E6E6" w:sz="6"/>
              <w:bottom w:val="single" w:color="E6E6E6" w:sz="6"/>
              <w:right w:val="single" w:color="E6E6E6" w:sz="6"/>
            </w:tcBorders>
            <w:shd w:val="clear" w:color="auto" w:fill="F5F5F5"/>
            <w:tcMar/>
            <w:vAlign w:val="center"/>
          </w:tcPr>
          <w:p w:rsidR="679776DD" w:rsidP="679776DD" w:rsidRDefault="679776DD" w14:paraId="02BF64E7" w14:textId="33D5021F">
            <w:pPr>
              <w:spacing w:before="0" w:beforeAutospacing="off" w:after="0" w:afterAutospacing="off" w:line="300" w:lineRule="auto"/>
              <w:jc w:val="center"/>
            </w:pPr>
            <w:r w:rsidRPr="679776DD" w:rsidR="679776DD">
              <w:rPr>
                <w:b w:val="1"/>
                <w:bCs w:val="1"/>
              </w:rPr>
              <w:t>Author(s)</w:t>
            </w:r>
          </w:p>
        </w:tc>
        <w:tc>
          <w:tcPr>
            <w:tcW w:w="1095" w:type="dxa"/>
            <w:tcBorders>
              <w:top w:val="single" w:color="E6E6E6" w:sz="6"/>
              <w:left w:val="single" w:color="E6E6E6" w:sz="6"/>
              <w:bottom w:val="single" w:color="E6E6E6" w:sz="6"/>
              <w:right w:val="single" w:color="E6E6E6" w:sz="6"/>
            </w:tcBorders>
            <w:shd w:val="clear" w:color="auto" w:fill="F5F5F5"/>
            <w:tcMar/>
            <w:vAlign w:val="center"/>
          </w:tcPr>
          <w:p w:rsidR="679776DD" w:rsidP="679776DD" w:rsidRDefault="679776DD" w14:paraId="57098F22" w14:textId="1555EF54">
            <w:pPr>
              <w:spacing w:before="0" w:beforeAutospacing="off" w:after="0" w:afterAutospacing="off" w:line="300" w:lineRule="auto"/>
              <w:jc w:val="center"/>
            </w:pPr>
            <w:r w:rsidRPr="679776DD" w:rsidR="679776DD">
              <w:rPr>
                <w:b w:val="1"/>
                <w:bCs w:val="1"/>
              </w:rPr>
              <w:t>Year</w:t>
            </w:r>
          </w:p>
        </w:tc>
        <w:tc>
          <w:tcPr>
            <w:tcW w:w="4365" w:type="dxa"/>
            <w:tcBorders>
              <w:top w:val="single" w:color="E6E6E6" w:sz="6"/>
              <w:left w:val="single" w:color="E6E6E6" w:sz="6"/>
              <w:bottom w:val="single" w:color="E6E6E6" w:sz="6"/>
              <w:right w:val="single" w:color="E6E6E6" w:sz="6"/>
            </w:tcBorders>
            <w:shd w:val="clear" w:color="auto" w:fill="F5F5F5"/>
            <w:tcMar/>
            <w:vAlign w:val="center"/>
          </w:tcPr>
          <w:p w:rsidR="679776DD" w:rsidP="679776DD" w:rsidRDefault="679776DD" w14:paraId="11AC9CD6" w14:textId="06C2D1A0">
            <w:pPr>
              <w:spacing w:before="0" w:beforeAutospacing="off" w:after="0" w:afterAutospacing="off" w:line="300" w:lineRule="auto"/>
              <w:jc w:val="center"/>
            </w:pPr>
            <w:r w:rsidRPr="679776DD" w:rsidR="679776DD">
              <w:rPr>
                <w:b w:val="1"/>
                <w:bCs w:val="1"/>
              </w:rPr>
              <w:t>Key Contribution</w:t>
            </w:r>
          </w:p>
        </w:tc>
      </w:tr>
      <w:tr w:rsidR="679776DD" w:rsidTr="679776DD" w14:paraId="76D338C2">
        <w:trPr>
          <w:trHeight w:val="300"/>
        </w:trPr>
        <w:tc>
          <w:tcPr>
            <w:tcW w:w="2670" w:type="dxa"/>
            <w:tcBorders>
              <w:top w:val="single" w:color="E6E6E6" w:sz="6"/>
              <w:left w:val="single" w:color="E6E6E6" w:sz="6"/>
              <w:bottom w:val="single" w:color="E6E6E6" w:sz="6"/>
              <w:right w:val="single" w:color="E6E6E6" w:sz="6"/>
            </w:tcBorders>
            <w:tcMar/>
            <w:vAlign w:val="center"/>
          </w:tcPr>
          <w:p w:rsidR="679776DD" w:rsidP="679776DD" w:rsidRDefault="679776DD" w14:paraId="7C6E23E5" w14:textId="4FC5D154">
            <w:pPr>
              <w:spacing w:before="0" w:beforeAutospacing="off" w:after="0" w:afterAutospacing="off" w:line="300" w:lineRule="auto"/>
            </w:pPr>
            <w:r w:rsidR="679776DD">
              <w:rPr/>
              <w:t>Smartwatch Industry Trends</w:t>
            </w:r>
          </w:p>
        </w:tc>
        <w:tc>
          <w:tcPr>
            <w:tcW w:w="1335" w:type="dxa"/>
            <w:tcBorders>
              <w:top w:val="single" w:color="E6E6E6" w:sz="6"/>
              <w:left w:val="single" w:color="E6E6E6" w:sz="6"/>
              <w:bottom w:val="single" w:color="E6E6E6" w:sz="6"/>
              <w:right w:val="single" w:color="E6E6E6" w:sz="6"/>
            </w:tcBorders>
            <w:tcMar/>
            <w:vAlign w:val="center"/>
          </w:tcPr>
          <w:p w:rsidR="679776DD" w:rsidP="679776DD" w:rsidRDefault="679776DD" w14:paraId="2177D4C8" w14:textId="0159D056">
            <w:pPr>
              <w:spacing w:before="0" w:beforeAutospacing="off" w:after="0" w:afterAutospacing="off" w:line="300" w:lineRule="auto"/>
            </w:pPr>
            <w:r w:rsidR="679776DD">
              <w:rPr/>
              <w:t>Medicharla</w:t>
            </w:r>
          </w:p>
        </w:tc>
        <w:tc>
          <w:tcPr>
            <w:tcW w:w="1095" w:type="dxa"/>
            <w:tcBorders>
              <w:top w:val="single" w:color="E6E6E6" w:sz="6"/>
              <w:left w:val="single" w:color="E6E6E6" w:sz="6"/>
              <w:bottom w:val="single" w:color="E6E6E6" w:sz="6"/>
              <w:right w:val="single" w:color="E6E6E6" w:sz="6"/>
            </w:tcBorders>
            <w:tcMar/>
            <w:vAlign w:val="center"/>
          </w:tcPr>
          <w:p w:rsidR="679776DD" w:rsidP="679776DD" w:rsidRDefault="679776DD" w14:paraId="7A29A3D2" w14:textId="74020140">
            <w:pPr>
              <w:spacing w:before="0" w:beforeAutospacing="off" w:after="0" w:afterAutospacing="off" w:line="300" w:lineRule="auto"/>
            </w:pPr>
            <w:r w:rsidR="679776DD">
              <w:rPr/>
              <w:t>2025</w:t>
            </w:r>
          </w:p>
        </w:tc>
        <w:tc>
          <w:tcPr>
            <w:tcW w:w="4365" w:type="dxa"/>
            <w:tcBorders>
              <w:top w:val="single" w:color="E6E6E6" w:sz="6"/>
              <w:left w:val="single" w:color="E6E6E6" w:sz="6"/>
              <w:bottom w:val="single" w:color="E6E6E6" w:sz="6"/>
              <w:right w:val="single" w:color="E6E6E6" w:sz="6"/>
            </w:tcBorders>
            <w:tcMar/>
            <w:vAlign w:val="center"/>
          </w:tcPr>
          <w:p w:rsidR="679776DD" w:rsidP="679776DD" w:rsidRDefault="679776DD" w14:paraId="31D256E5" w14:textId="4D391E07">
            <w:pPr>
              <w:spacing w:before="0" w:beforeAutospacing="off" w:after="0" w:afterAutospacing="off" w:line="300" w:lineRule="auto"/>
            </w:pPr>
            <w:r w:rsidR="679776DD">
              <w:rPr/>
              <w:t>Disruption of traditional watch industry</w:t>
            </w:r>
          </w:p>
        </w:tc>
      </w:tr>
      <w:tr w:rsidR="679776DD" w:rsidTr="679776DD" w14:paraId="509211A1">
        <w:trPr>
          <w:trHeight w:val="300"/>
        </w:trPr>
        <w:tc>
          <w:tcPr>
            <w:tcW w:w="2670" w:type="dxa"/>
            <w:tcBorders>
              <w:top w:val="single" w:color="E6E6E6" w:sz="6"/>
              <w:left w:val="single" w:color="E6E6E6" w:sz="6"/>
              <w:bottom w:val="single" w:color="E6E6E6" w:sz="6"/>
              <w:right w:val="single" w:color="E6E6E6" w:sz="6"/>
            </w:tcBorders>
            <w:tcMar/>
            <w:vAlign w:val="center"/>
          </w:tcPr>
          <w:p w:rsidR="679776DD" w:rsidP="679776DD" w:rsidRDefault="679776DD" w14:paraId="313F5D4D" w14:textId="309BB5B9">
            <w:pPr>
              <w:spacing w:before="0" w:beforeAutospacing="off" w:after="0" w:afterAutospacing="off" w:line="300" w:lineRule="auto"/>
            </w:pPr>
            <w:r w:rsidR="679776DD">
              <w:rPr/>
              <w:t>Consumer Adoption</w:t>
            </w:r>
          </w:p>
        </w:tc>
        <w:tc>
          <w:tcPr>
            <w:tcW w:w="1335" w:type="dxa"/>
            <w:tcBorders>
              <w:top w:val="single" w:color="E6E6E6" w:sz="6"/>
              <w:left w:val="single" w:color="E6E6E6" w:sz="6"/>
              <w:bottom w:val="single" w:color="E6E6E6" w:sz="6"/>
              <w:right w:val="single" w:color="E6E6E6" w:sz="6"/>
            </w:tcBorders>
            <w:tcMar/>
            <w:vAlign w:val="center"/>
          </w:tcPr>
          <w:p w:rsidR="679776DD" w:rsidP="679776DD" w:rsidRDefault="679776DD" w14:paraId="3C6923E1" w14:textId="1673C1EC">
            <w:pPr>
              <w:spacing w:before="0" w:beforeAutospacing="off" w:after="0" w:afterAutospacing="off" w:line="300" w:lineRule="auto"/>
            </w:pPr>
            <w:r w:rsidR="679776DD">
              <w:rPr/>
              <w:t>Kumar et al.</w:t>
            </w:r>
          </w:p>
        </w:tc>
        <w:tc>
          <w:tcPr>
            <w:tcW w:w="1095" w:type="dxa"/>
            <w:tcBorders>
              <w:top w:val="single" w:color="E6E6E6" w:sz="6"/>
              <w:left w:val="single" w:color="E6E6E6" w:sz="6"/>
              <w:bottom w:val="single" w:color="E6E6E6" w:sz="6"/>
              <w:right w:val="single" w:color="E6E6E6" w:sz="6"/>
            </w:tcBorders>
            <w:tcMar/>
            <w:vAlign w:val="center"/>
          </w:tcPr>
          <w:p w:rsidR="679776DD" w:rsidP="679776DD" w:rsidRDefault="679776DD" w14:paraId="7F59E598" w14:textId="555E019A">
            <w:pPr>
              <w:spacing w:before="0" w:beforeAutospacing="off" w:after="0" w:afterAutospacing="off" w:line="300" w:lineRule="auto"/>
            </w:pPr>
            <w:r w:rsidR="679776DD">
              <w:rPr/>
              <w:t>2024</w:t>
            </w:r>
          </w:p>
        </w:tc>
        <w:tc>
          <w:tcPr>
            <w:tcW w:w="4365" w:type="dxa"/>
            <w:tcBorders>
              <w:top w:val="single" w:color="E6E6E6" w:sz="6"/>
              <w:left w:val="single" w:color="E6E6E6" w:sz="6"/>
              <w:bottom w:val="single" w:color="E6E6E6" w:sz="6"/>
              <w:right w:val="single" w:color="E6E6E6" w:sz="6"/>
            </w:tcBorders>
            <w:tcMar/>
            <w:vAlign w:val="center"/>
          </w:tcPr>
          <w:p w:rsidR="679776DD" w:rsidP="679776DD" w:rsidRDefault="679776DD" w14:paraId="12CC93AC" w14:textId="1D3C974E">
            <w:pPr>
              <w:spacing w:before="0" w:beforeAutospacing="off" w:after="0" w:afterAutospacing="off" w:line="300" w:lineRule="auto"/>
            </w:pPr>
            <w:r w:rsidR="679776DD">
              <w:rPr/>
              <w:t>Privacy calculus perspective</w:t>
            </w:r>
          </w:p>
        </w:tc>
      </w:tr>
      <w:tr w:rsidR="679776DD" w:rsidTr="679776DD" w14:paraId="4AEB2DD9">
        <w:trPr>
          <w:trHeight w:val="300"/>
        </w:trPr>
        <w:tc>
          <w:tcPr>
            <w:tcW w:w="2670" w:type="dxa"/>
            <w:tcBorders>
              <w:top w:val="single" w:color="E6E6E6" w:sz="6"/>
              <w:left w:val="single" w:color="E6E6E6" w:sz="6"/>
              <w:bottom w:val="single" w:color="E6E6E6" w:sz="6"/>
              <w:right w:val="single" w:color="E6E6E6" w:sz="6"/>
            </w:tcBorders>
            <w:tcMar/>
            <w:vAlign w:val="center"/>
          </w:tcPr>
          <w:p w:rsidR="679776DD" w:rsidP="679776DD" w:rsidRDefault="679776DD" w14:paraId="13C6CE89" w14:textId="3E7A70C1">
            <w:pPr>
              <w:spacing w:before="0" w:beforeAutospacing="off" w:after="0" w:afterAutospacing="off" w:line="300" w:lineRule="auto"/>
            </w:pPr>
            <w:r w:rsidR="679776DD">
              <w:rPr/>
              <w:t>Marketing Mix</w:t>
            </w:r>
          </w:p>
        </w:tc>
        <w:tc>
          <w:tcPr>
            <w:tcW w:w="1335" w:type="dxa"/>
            <w:tcBorders>
              <w:top w:val="single" w:color="E6E6E6" w:sz="6"/>
              <w:left w:val="single" w:color="E6E6E6" w:sz="6"/>
              <w:bottom w:val="single" w:color="E6E6E6" w:sz="6"/>
              <w:right w:val="single" w:color="E6E6E6" w:sz="6"/>
            </w:tcBorders>
            <w:tcMar/>
            <w:vAlign w:val="center"/>
          </w:tcPr>
          <w:p w:rsidR="679776DD" w:rsidP="679776DD" w:rsidRDefault="679776DD" w14:paraId="7E1B89D9" w14:textId="1E19F200">
            <w:pPr>
              <w:spacing w:before="0" w:beforeAutospacing="off" w:after="0" w:afterAutospacing="off" w:line="300" w:lineRule="auto"/>
            </w:pPr>
            <w:r w:rsidR="679776DD">
              <w:rPr/>
              <w:t>Goi</w:t>
            </w:r>
          </w:p>
        </w:tc>
        <w:tc>
          <w:tcPr>
            <w:tcW w:w="1095" w:type="dxa"/>
            <w:tcBorders>
              <w:top w:val="single" w:color="E6E6E6" w:sz="6"/>
              <w:left w:val="single" w:color="E6E6E6" w:sz="6"/>
              <w:bottom w:val="single" w:color="E6E6E6" w:sz="6"/>
              <w:right w:val="single" w:color="E6E6E6" w:sz="6"/>
            </w:tcBorders>
            <w:tcMar/>
            <w:vAlign w:val="center"/>
          </w:tcPr>
          <w:p w:rsidR="679776DD" w:rsidP="679776DD" w:rsidRDefault="679776DD" w14:paraId="0699E3B1" w14:textId="48CAEB2C">
            <w:pPr>
              <w:spacing w:before="0" w:beforeAutospacing="off" w:after="0" w:afterAutospacing="off" w:line="300" w:lineRule="auto"/>
            </w:pPr>
            <w:r w:rsidR="679776DD">
              <w:rPr/>
              <w:t>2009</w:t>
            </w:r>
          </w:p>
        </w:tc>
        <w:tc>
          <w:tcPr>
            <w:tcW w:w="4365" w:type="dxa"/>
            <w:tcBorders>
              <w:top w:val="single" w:color="E6E6E6" w:sz="6"/>
              <w:left w:val="single" w:color="E6E6E6" w:sz="6"/>
              <w:bottom w:val="single" w:color="E6E6E6" w:sz="6"/>
              <w:right w:val="single" w:color="E6E6E6" w:sz="6"/>
            </w:tcBorders>
            <w:tcMar/>
            <w:vAlign w:val="center"/>
          </w:tcPr>
          <w:p w:rsidR="679776DD" w:rsidP="679776DD" w:rsidRDefault="679776DD" w14:paraId="058F8327" w14:textId="52C0AA9B">
            <w:pPr>
              <w:spacing w:before="0" w:beforeAutospacing="off" w:after="0" w:afterAutospacing="off" w:line="300" w:lineRule="auto"/>
            </w:pPr>
            <w:r w:rsidR="679776DD">
              <w:rPr/>
              <w:t>Evolution of 4Ps framework</w:t>
            </w:r>
          </w:p>
        </w:tc>
      </w:tr>
      <w:tr w:rsidR="679776DD" w:rsidTr="679776DD" w14:paraId="799E3CC7">
        <w:trPr>
          <w:trHeight w:val="300"/>
        </w:trPr>
        <w:tc>
          <w:tcPr>
            <w:tcW w:w="2670" w:type="dxa"/>
            <w:tcBorders>
              <w:top w:val="single" w:color="E6E6E6" w:sz="6"/>
              <w:left w:val="single" w:color="E6E6E6" w:sz="6"/>
              <w:bottom w:val="single" w:color="E6E6E6" w:sz="6"/>
              <w:right w:val="single" w:color="E6E6E6" w:sz="6"/>
            </w:tcBorders>
            <w:tcMar/>
            <w:vAlign w:val="center"/>
          </w:tcPr>
          <w:p w:rsidR="679776DD" w:rsidP="679776DD" w:rsidRDefault="679776DD" w14:paraId="3DBDFDF7" w14:textId="7A23B23E">
            <w:pPr>
              <w:spacing w:before="0" w:beforeAutospacing="off" w:after="0" w:afterAutospacing="off" w:line="300" w:lineRule="auto"/>
            </w:pPr>
            <w:r w:rsidR="679776DD">
              <w:rPr/>
              <w:t>STP Model</w:t>
            </w:r>
          </w:p>
        </w:tc>
        <w:tc>
          <w:tcPr>
            <w:tcW w:w="1335" w:type="dxa"/>
            <w:tcBorders>
              <w:top w:val="single" w:color="E6E6E6" w:sz="6"/>
              <w:left w:val="single" w:color="E6E6E6" w:sz="6"/>
              <w:bottom w:val="single" w:color="E6E6E6" w:sz="6"/>
              <w:right w:val="single" w:color="E6E6E6" w:sz="6"/>
            </w:tcBorders>
            <w:tcMar/>
            <w:vAlign w:val="center"/>
          </w:tcPr>
          <w:p w:rsidR="679776DD" w:rsidP="679776DD" w:rsidRDefault="679776DD" w14:paraId="47A478AF" w14:textId="1BE4433A">
            <w:pPr>
              <w:spacing w:before="0" w:beforeAutospacing="off" w:after="0" w:afterAutospacing="off" w:line="300" w:lineRule="auto"/>
            </w:pPr>
            <w:r w:rsidR="679776DD">
              <w:rPr/>
              <w:t>Mogaji</w:t>
            </w:r>
          </w:p>
        </w:tc>
        <w:tc>
          <w:tcPr>
            <w:tcW w:w="1095" w:type="dxa"/>
            <w:tcBorders>
              <w:top w:val="single" w:color="E6E6E6" w:sz="6"/>
              <w:left w:val="single" w:color="E6E6E6" w:sz="6"/>
              <w:bottom w:val="single" w:color="E6E6E6" w:sz="6"/>
              <w:right w:val="single" w:color="E6E6E6" w:sz="6"/>
            </w:tcBorders>
            <w:tcMar/>
            <w:vAlign w:val="center"/>
          </w:tcPr>
          <w:p w:rsidR="679776DD" w:rsidP="679776DD" w:rsidRDefault="679776DD" w14:paraId="3D30BB47" w14:textId="35409DEA">
            <w:pPr>
              <w:spacing w:before="0" w:beforeAutospacing="off" w:after="0" w:afterAutospacing="off" w:line="300" w:lineRule="auto"/>
            </w:pPr>
            <w:r w:rsidR="679776DD">
              <w:rPr/>
              <w:t>2025</w:t>
            </w:r>
          </w:p>
        </w:tc>
        <w:tc>
          <w:tcPr>
            <w:tcW w:w="4365" w:type="dxa"/>
            <w:tcBorders>
              <w:top w:val="single" w:color="E6E6E6" w:sz="6"/>
              <w:left w:val="single" w:color="E6E6E6" w:sz="6"/>
              <w:bottom w:val="single" w:color="E6E6E6" w:sz="6"/>
              <w:right w:val="single" w:color="E6E6E6" w:sz="6"/>
            </w:tcBorders>
            <w:tcMar/>
            <w:vAlign w:val="center"/>
          </w:tcPr>
          <w:p w:rsidR="679776DD" w:rsidP="679776DD" w:rsidRDefault="679776DD" w14:paraId="0E2B73D1" w14:textId="56D17654">
            <w:pPr>
              <w:spacing w:before="0" w:beforeAutospacing="off" w:after="0" w:afterAutospacing="off" w:line="300" w:lineRule="auto"/>
            </w:pPr>
            <w:r w:rsidR="679776DD">
              <w:rPr/>
              <w:t>Segmentation and positioning strategies</w:t>
            </w:r>
          </w:p>
        </w:tc>
      </w:tr>
      <w:tr w:rsidR="679776DD" w:rsidTr="679776DD" w14:paraId="62B91BA3">
        <w:trPr>
          <w:trHeight w:val="300"/>
        </w:trPr>
        <w:tc>
          <w:tcPr>
            <w:tcW w:w="2670" w:type="dxa"/>
            <w:tcBorders>
              <w:top w:val="single" w:color="E6E6E6" w:sz="6"/>
              <w:left w:val="single" w:color="E6E6E6" w:sz="6"/>
              <w:bottom w:val="single" w:color="E6E6E6" w:sz="6"/>
              <w:right w:val="single" w:color="E6E6E6" w:sz="6"/>
            </w:tcBorders>
            <w:tcMar/>
            <w:vAlign w:val="center"/>
          </w:tcPr>
          <w:p w:rsidR="679776DD" w:rsidP="679776DD" w:rsidRDefault="679776DD" w14:paraId="5F6F90E6" w14:textId="53320901">
            <w:pPr>
              <w:spacing w:before="0" w:beforeAutospacing="off" w:after="0" w:afterAutospacing="off" w:line="300" w:lineRule="auto"/>
            </w:pPr>
            <w:r w:rsidR="679776DD">
              <w:rPr/>
              <w:t>Technology Adoption</w:t>
            </w:r>
          </w:p>
        </w:tc>
        <w:tc>
          <w:tcPr>
            <w:tcW w:w="1335" w:type="dxa"/>
            <w:tcBorders>
              <w:top w:val="single" w:color="E6E6E6" w:sz="6"/>
              <w:left w:val="single" w:color="E6E6E6" w:sz="6"/>
              <w:bottom w:val="single" w:color="E6E6E6" w:sz="6"/>
              <w:right w:val="single" w:color="E6E6E6" w:sz="6"/>
            </w:tcBorders>
            <w:tcMar/>
            <w:vAlign w:val="center"/>
          </w:tcPr>
          <w:p w:rsidR="679776DD" w:rsidP="679776DD" w:rsidRDefault="679776DD" w14:paraId="2CB5664F" w14:textId="58952AED">
            <w:pPr>
              <w:spacing w:before="0" w:beforeAutospacing="off" w:after="0" w:afterAutospacing="off" w:line="300" w:lineRule="auto"/>
            </w:pPr>
            <w:r w:rsidR="679776DD">
              <w:rPr/>
              <w:t>Musaa et al.</w:t>
            </w:r>
          </w:p>
        </w:tc>
        <w:tc>
          <w:tcPr>
            <w:tcW w:w="1095" w:type="dxa"/>
            <w:tcBorders>
              <w:top w:val="single" w:color="E6E6E6" w:sz="6"/>
              <w:left w:val="single" w:color="E6E6E6" w:sz="6"/>
              <w:bottom w:val="single" w:color="E6E6E6" w:sz="6"/>
              <w:right w:val="single" w:color="E6E6E6" w:sz="6"/>
            </w:tcBorders>
            <w:tcMar/>
            <w:vAlign w:val="center"/>
          </w:tcPr>
          <w:p w:rsidR="679776DD" w:rsidP="679776DD" w:rsidRDefault="679776DD" w14:paraId="02A2BCF4" w14:textId="768D77BD">
            <w:pPr>
              <w:spacing w:before="0" w:beforeAutospacing="off" w:after="0" w:afterAutospacing="off" w:line="300" w:lineRule="auto"/>
            </w:pPr>
            <w:r w:rsidR="679776DD">
              <w:rPr/>
              <w:t>2024</w:t>
            </w:r>
          </w:p>
        </w:tc>
        <w:tc>
          <w:tcPr>
            <w:tcW w:w="4365" w:type="dxa"/>
            <w:tcBorders>
              <w:top w:val="single" w:color="E6E6E6" w:sz="6"/>
              <w:left w:val="single" w:color="E6E6E6" w:sz="6"/>
              <w:bottom w:val="single" w:color="E6E6E6" w:sz="6"/>
              <w:right w:val="single" w:color="E6E6E6" w:sz="6"/>
            </w:tcBorders>
            <w:tcMar/>
            <w:vAlign w:val="center"/>
          </w:tcPr>
          <w:p w:rsidR="679776DD" w:rsidP="679776DD" w:rsidRDefault="679776DD" w14:paraId="57D722F3" w14:textId="1F4EA2E8">
            <w:pPr>
              <w:spacing w:before="0" w:beforeAutospacing="off" w:after="0" w:afterAutospacing="off" w:line="300" w:lineRule="auto"/>
            </w:pPr>
            <w:r w:rsidR="679776DD">
              <w:rPr/>
              <w:t>TAM meta-analysis</w:t>
            </w:r>
          </w:p>
        </w:tc>
      </w:tr>
      <w:tr w:rsidR="679776DD" w:rsidTr="679776DD" w14:paraId="7FDBCCC9">
        <w:trPr>
          <w:trHeight w:val="300"/>
        </w:trPr>
        <w:tc>
          <w:tcPr>
            <w:tcW w:w="2670" w:type="dxa"/>
            <w:tcBorders>
              <w:top w:val="single" w:color="E6E6E6" w:sz="6"/>
              <w:left w:val="single" w:color="E6E6E6" w:sz="6"/>
              <w:bottom w:val="single" w:color="E6E6E6" w:sz="6"/>
              <w:right w:val="single" w:color="E6E6E6" w:sz="6"/>
            </w:tcBorders>
            <w:tcMar/>
            <w:vAlign w:val="center"/>
          </w:tcPr>
          <w:p w:rsidR="679776DD" w:rsidP="679776DD" w:rsidRDefault="679776DD" w14:paraId="0F774129" w14:textId="4C313155">
            <w:pPr>
              <w:spacing w:before="0" w:beforeAutospacing="off" w:after="0" w:afterAutospacing="off" w:line="300" w:lineRule="auto"/>
            </w:pPr>
            <w:r w:rsidR="679776DD">
              <w:rPr/>
              <w:t>Distribution Strategies</w:t>
            </w:r>
          </w:p>
        </w:tc>
        <w:tc>
          <w:tcPr>
            <w:tcW w:w="1335" w:type="dxa"/>
            <w:tcBorders>
              <w:top w:val="single" w:color="E6E6E6" w:sz="6"/>
              <w:left w:val="single" w:color="E6E6E6" w:sz="6"/>
              <w:bottom w:val="single" w:color="E6E6E6" w:sz="6"/>
              <w:right w:val="single" w:color="E6E6E6" w:sz="6"/>
            </w:tcBorders>
            <w:tcMar/>
            <w:vAlign w:val="center"/>
          </w:tcPr>
          <w:p w:rsidR="679776DD" w:rsidP="679776DD" w:rsidRDefault="679776DD" w14:paraId="7FC12915" w14:textId="440D7267">
            <w:pPr>
              <w:spacing w:before="0" w:beforeAutospacing="off" w:after="0" w:afterAutospacing="off" w:line="300" w:lineRule="auto"/>
            </w:pPr>
            <w:r w:rsidR="679776DD">
              <w:rPr/>
              <w:t>Biswas et al.</w:t>
            </w:r>
          </w:p>
        </w:tc>
        <w:tc>
          <w:tcPr>
            <w:tcW w:w="1095" w:type="dxa"/>
            <w:tcBorders>
              <w:top w:val="single" w:color="E6E6E6" w:sz="6"/>
              <w:left w:val="single" w:color="E6E6E6" w:sz="6"/>
              <w:bottom w:val="single" w:color="E6E6E6" w:sz="6"/>
              <w:right w:val="single" w:color="E6E6E6" w:sz="6"/>
            </w:tcBorders>
            <w:tcMar/>
            <w:vAlign w:val="center"/>
          </w:tcPr>
          <w:p w:rsidR="679776DD" w:rsidP="679776DD" w:rsidRDefault="679776DD" w14:paraId="794616E4" w14:textId="6006A6BF">
            <w:pPr>
              <w:spacing w:before="0" w:beforeAutospacing="off" w:after="0" w:afterAutospacing="off" w:line="300" w:lineRule="auto"/>
            </w:pPr>
            <w:r w:rsidR="679776DD">
              <w:rPr/>
              <w:t>2024</w:t>
            </w:r>
          </w:p>
        </w:tc>
        <w:tc>
          <w:tcPr>
            <w:tcW w:w="4365" w:type="dxa"/>
            <w:tcBorders>
              <w:top w:val="single" w:color="E6E6E6" w:sz="6"/>
              <w:left w:val="single" w:color="E6E6E6" w:sz="6"/>
              <w:bottom w:val="single" w:color="E6E6E6" w:sz="6"/>
              <w:right w:val="single" w:color="E6E6E6" w:sz="6"/>
            </w:tcBorders>
            <w:tcMar/>
            <w:vAlign w:val="center"/>
          </w:tcPr>
          <w:p w:rsidR="679776DD" w:rsidP="679776DD" w:rsidRDefault="679776DD" w14:paraId="46074048" w14:textId="2272DDD4">
            <w:pPr>
              <w:spacing w:before="0" w:beforeAutospacing="off" w:after="0" w:afterAutospacing="off" w:line="300" w:lineRule="auto"/>
            </w:pPr>
            <w:r w:rsidR="679776DD">
              <w:rPr/>
              <w:t>Online vs. in-store channel choice</w:t>
            </w:r>
          </w:p>
        </w:tc>
      </w:tr>
      <w:tr w:rsidR="679776DD" w:rsidTr="679776DD" w14:paraId="3345445C">
        <w:trPr>
          <w:trHeight w:val="300"/>
        </w:trPr>
        <w:tc>
          <w:tcPr>
            <w:tcW w:w="2670" w:type="dxa"/>
            <w:tcBorders>
              <w:top w:val="single" w:color="E6E6E6" w:sz="6"/>
              <w:left w:val="single" w:color="E6E6E6" w:sz="6"/>
              <w:bottom w:val="single" w:color="E6E6E6" w:sz="6"/>
              <w:right w:val="single" w:color="E6E6E6" w:sz="6"/>
            </w:tcBorders>
            <w:tcMar/>
            <w:vAlign w:val="center"/>
          </w:tcPr>
          <w:p w:rsidR="679776DD" w:rsidP="679776DD" w:rsidRDefault="679776DD" w14:paraId="53219B88" w14:textId="76EBA231">
            <w:pPr>
              <w:spacing w:before="0" w:beforeAutospacing="off" w:after="0" w:afterAutospacing="off" w:line="300" w:lineRule="auto"/>
            </w:pPr>
            <w:r w:rsidR="679776DD">
              <w:rPr/>
              <w:t>Research Gaps</w:t>
            </w:r>
          </w:p>
        </w:tc>
        <w:tc>
          <w:tcPr>
            <w:tcW w:w="1335" w:type="dxa"/>
            <w:tcBorders>
              <w:top w:val="single" w:color="E6E6E6" w:sz="6"/>
              <w:left w:val="single" w:color="E6E6E6" w:sz="6"/>
              <w:bottom w:val="single" w:color="E6E6E6" w:sz="6"/>
              <w:right w:val="single" w:color="E6E6E6" w:sz="6"/>
            </w:tcBorders>
            <w:tcMar/>
            <w:vAlign w:val="center"/>
          </w:tcPr>
          <w:p w:rsidR="679776DD" w:rsidP="679776DD" w:rsidRDefault="679776DD" w14:paraId="308F39C1" w14:textId="7C6C587C">
            <w:pPr>
              <w:spacing w:before="0" w:beforeAutospacing="off" w:after="0" w:afterAutospacing="off" w:line="300" w:lineRule="auto"/>
            </w:pPr>
            <w:r w:rsidR="679776DD">
              <w:rPr/>
              <w:t>Dwivedi et al.</w:t>
            </w:r>
          </w:p>
        </w:tc>
        <w:tc>
          <w:tcPr>
            <w:tcW w:w="1095" w:type="dxa"/>
            <w:tcBorders>
              <w:top w:val="single" w:color="E6E6E6" w:sz="6"/>
              <w:left w:val="single" w:color="E6E6E6" w:sz="6"/>
              <w:bottom w:val="single" w:color="E6E6E6" w:sz="6"/>
              <w:right w:val="single" w:color="E6E6E6" w:sz="6"/>
            </w:tcBorders>
            <w:tcMar/>
            <w:vAlign w:val="center"/>
          </w:tcPr>
          <w:p w:rsidR="679776DD" w:rsidP="679776DD" w:rsidRDefault="679776DD" w14:paraId="17FDEA24" w14:textId="1724FD1E">
            <w:pPr>
              <w:spacing w:before="0" w:beforeAutospacing="off" w:after="0" w:afterAutospacing="off" w:line="300" w:lineRule="auto"/>
            </w:pPr>
            <w:r w:rsidR="679776DD">
              <w:rPr/>
              <w:t>2021</w:t>
            </w:r>
          </w:p>
        </w:tc>
        <w:tc>
          <w:tcPr>
            <w:tcW w:w="4365" w:type="dxa"/>
            <w:tcBorders>
              <w:top w:val="single" w:color="E6E6E6" w:sz="6"/>
              <w:left w:val="single" w:color="E6E6E6" w:sz="6"/>
              <w:bottom w:val="single" w:color="E6E6E6" w:sz="6"/>
              <w:right w:val="single" w:color="E6E6E6" w:sz="6"/>
            </w:tcBorders>
            <w:tcMar/>
            <w:vAlign w:val="center"/>
          </w:tcPr>
          <w:p w:rsidR="679776DD" w:rsidP="679776DD" w:rsidRDefault="679776DD" w14:paraId="00ED6145" w14:textId="0C320FA9">
            <w:pPr>
              <w:spacing w:before="0" w:beforeAutospacing="off" w:after="0" w:afterAutospacing="off" w:line="300" w:lineRule="auto"/>
            </w:pPr>
            <w:r w:rsidR="679776DD">
              <w:rPr/>
              <w:t>Future directions in digital marketing</w:t>
            </w:r>
          </w:p>
        </w:tc>
      </w:tr>
    </w:tbl>
    <w:p w:rsidR="1EB9090B" w:rsidRDefault="1EB9090B" w14:paraId="3D5C182E" w14:textId="5B686CF6"/>
    <w:p w:rsidR="65AF8BA0" w:rsidP="679776DD" w:rsidRDefault="65AF8BA0" w14:paraId="74A6A08B" w14:textId="77449A27">
      <w:pPr>
        <w:pStyle w:val="Heading3"/>
        <w:spacing w:before="246" w:beforeAutospacing="off" w:after="246" w:afterAutospacing="off" w:line="300" w:lineRule="auto"/>
        <w:rPr>
          <w:rFonts w:ascii="Segoe UI" w:hAnsi="Segoe UI" w:eastAsia="Segoe UI" w:cs="Segoe UI"/>
          <w:b w:val="1"/>
          <w:bCs w:val="1"/>
          <w:i w:val="0"/>
          <w:iCs w:val="0"/>
          <w:noProof w:val="0"/>
          <w:color w:val="auto"/>
          <w:sz w:val="24"/>
          <w:szCs w:val="24"/>
          <w:lang w:val="en-US"/>
        </w:rPr>
      </w:pPr>
      <w:r w:rsidRPr="679776DD" w:rsidR="65AF8BA0">
        <w:rPr>
          <w:rFonts w:ascii="Segoe UI" w:hAnsi="Segoe UI" w:eastAsia="Segoe UI" w:cs="Segoe UI"/>
          <w:b w:val="1"/>
          <w:bCs w:val="1"/>
          <w:i w:val="0"/>
          <w:iCs w:val="0"/>
          <w:noProof w:val="0"/>
          <w:color w:val="auto"/>
          <w:sz w:val="24"/>
          <w:szCs w:val="24"/>
          <w:lang w:val="en-US"/>
        </w:rPr>
        <w:t>Appendix C: Ethical Considerations</w:t>
      </w:r>
    </w:p>
    <w:p w:rsidR="65AF8BA0" w:rsidP="679776DD" w:rsidRDefault="65AF8BA0" w14:paraId="4FC8404B" w14:textId="60BC1EE3">
      <w:pPr>
        <w:pStyle w:val="ListParagraph"/>
        <w:numPr>
          <w:ilvl w:val="0"/>
          <w:numId w:val="5"/>
        </w:numPr>
        <w:spacing w:before="0" w:beforeAutospacing="off" w:after="0" w:afterAutospacing="off" w:line="300" w:lineRule="auto"/>
        <w:rPr>
          <w:rFonts w:ascii="Segoe UI" w:hAnsi="Segoe UI" w:eastAsia="Segoe UI" w:cs="Segoe UI"/>
          <w:b w:val="0"/>
          <w:bCs w:val="0"/>
          <w:i w:val="0"/>
          <w:iCs w:val="0"/>
          <w:noProof w:val="0"/>
          <w:sz w:val="21"/>
          <w:szCs w:val="21"/>
          <w:lang w:val="en-US"/>
        </w:rPr>
      </w:pPr>
      <w:r w:rsidRPr="679776DD" w:rsidR="65AF8BA0">
        <w:rPr>
          <w:rFonts w:ascii="Segoe UI" w:hAnsi="Segoe UI" w:eastAsia="Segoe UI" w:cs="Segoe UI"/>
          <w:b w:val="0"/>
          <w:bCs w:val="0"/>
          <w:i w:val="0"/>
          <w:iCs w:val="0"/>
          <w:noProof w:val="0"/>
          <w:sz w:val="21"/>
          <w:szCs w:val="21"/>
          <w:lang w:val="en-US"/>
        </w:rPr>
        <w:t>Data privacy concerns in wearable technology.</w:t>
      </w:r>
    </w:p>
    <w:p w:rsidR="65AF8BA0" w:rsidP="679776DD" w:rsidRDefault="65AF8BA0" w14:paraId="6E3C9016" w14:textId="36D457C8">
      <w:pPr>
        <w:pStyle w:val="ListParagraph"/>
        <w:numPr>
          <w:ilvl w:val="0"/>
          <w:numId w:val="5"/>
        </w:numPr>
        <w:spacing w:before="0" w:beforeAutospacing="off" w:after="0" w:afterAutospacing="off" w:line="300" w:lineRule="auto"/>
        <w:rPr>
          <w:rFonts w:ascii="Segoe UI" w:hAnsi="Segoe UI" w:eastAsia="Segoe UI" w:cs="Segoe UI"/>
          <w:b w:val="0"/>
          <w:bCs w:val="0"/>
          <w:i w:val="0"/>
          <w:iCs w:val="0"/>
          <w:noProof w:val="0"/>
          <w:sz w:val="21"/>
          <w:szCs w:val="21"/>
          <w:lang w:val="en-US"/>
        </w:rPr>
      </w:pPr>
      <w:r w:rsidRPr="679776DD" w:rsidR="65AF8BA0">
        <w:rPr>
          <w:rFonts w:ascii="Segoe UI" w:hAnsi="Segoe UI" w:eastAsia="Segoe UI" w:cs="Segoe UI"/>
          <w:b w:val="0"/>
          <w:bCs w:val="0"/>
          <w:i w:val="0"/>
          <w:iCs w:val="0"/>
          <w:noProof w:val="0"/>
          <w:sz w:val="21"/>
          <w:szCs w:val="21"/>
          <w:lang w:val="en-US"/>
        </w:rPr>
        <w:t>Transparency in marketing communications.</w:t>
      </w:r>
    </w:p>
    <w:p w:rsidR="65AF8BA0" w:rsidP="679776DD" w:rsidRDefault="65AF8BA0" w14:paraId="30C0A2D4" w14:textId="3F00F235">
      <w:pPr>
        <w:pStyle w:val="ListParagraph"/>
        <w:numPr>
          <w:ilvl w:val="0"/>
          <w:numId w:val="5"/>
        </w:numPr>
        <w:spacing w:before="0" w:beforeAutospacing="off" w:after="0" w:afterAutospacing="off" w:line="300" w:lineRule="auto"/>
        <w:rPr>
          <w:rFonts w:ascii="Segoe UI" w:hAnsi="Segoe UI" w:eastAsia="Segoe UI" w:cs="Segoe UI"/>
          <w:b w:val="0"/>
          <w:bCs w:val="0"/>
          <w:i w:val="0"/>
          <w:iCs w:val="0"/>
          <w:noProof w:val="0"/>
          <w:sz w:val="21"/>
          <w:szCs w:val="21"/>
          <w:lang w:val="en-US"/>
        </w:rPr>
      </w:pPr>
      <w:r w:rsidRPr="679776DD" w:rsidR="65AF8BA0">
        <w:rPr>
          <w:rFonts w:ascii="Segoe UI" w:hAnsi="Segoe UI" w:eastAsia="Segoe UI" w:cs="Segoe UI"/>
          <w:b w:val="0"/>
          <w:bCs w:val="0"/>
          <w:i w:val="0"/>
          <w:iCs w:val="0"/>
          <w:noProof w:val="0"/>
          <w:sz w:val="21"/>
          <w:szCs w:val="21"/>
          <w:lang w:val="en-US"/>
        </w:rPr>
        <w:t>Avoidance of algorithmic bias in health insights.</w:t>
      </w:r>
    </w:p>
    <w:p w:rsidR="679776DD" w:rsidRDefault="679776DD" w14:paraId="049CBF87" w14:textId="07623824"/>
    <w:p w:rsidR="5EEF7763" w:rsidRDefault="5EEF7763" w14:paraId="1919F575" w14:textId="03D5F2FF">
      <w:r w:rsidR="5EEF7763">
        <w:rPr/>
        <w:t xml:space="preserve">9. References </w:t>
      </w:r>
    </w:p>
    <w:p w:rsidR="058BC90B" w:rsidRDefault="058BC90B" w14:paraId="0CAD5EE7" w14:textId="76FA41FB"/>
    <w:p w:rsidR="5EEF7763" w:rsidP="058BC90B" w:rsidRDefault="5EEF7763" w14:paraId="366FC5E2" w14:textId="33A317B4">
      <w:pPr>
        <w:pStyle w:val="Normal"/>
        <w:spacing w:before="0" w:beforeAutospacing="off" w:after="0" w:afterAutospacing="off"/>
        <w:ind w:left="0"/>
        <w:rPr>
          <w:rFonts w:ascii="Aptos" w:hAnsi="Aptos" w:eastAsia="Aptos" w:cs="Aptos"/>
          <w:noProof w:val="0"/>
          <w:sz w:val="24"/>
          <w:szCs w:val="24"/>
          <w:lang w:val="en-US"/>
        </w:rPr>
      </w:pPr>
      <w:r w:rsidRPr="058BC90B" w:rsidR="5EEF7763">
        <w:rPr>
          <w:rFonts w:ascii="Aptos" w:hAnsi="Aptos" w:eastAsia="Aptos" w:cs="Aptos"/>
          <w:noProof w:val="0"/>
          <w:sz w:val="24"/>
          <w:szCs w:val="24"/>
          <w:lang w:val="en-US"/>
        </w:rPr>
        <w:t xml:space="preserve">Smith, J. A., &amp; Brown, L. (2023). </w:t>
      </w:r>
      <w:r w:rsidRPr="058BC90B" w:rsidR="5EEF7763">
        <w:rPr>
          <w:rFonts w:ascii="Aptos" w:hAnsi="Aptos" w:eastAsia="Aptos" w:cs="Aptos"/>
          <w:i w:val="1"/>
          <w:iCs w:val="1"/>
          <w:noProof w:val="0"/>
          <w:sz w:val="24"/>
          <w:szCs w:val="24"/>
          <w:lang w:val="en-US"/>
        </w:rPr>
        <w:t>The impact of digital learning on student engagement: A systematic review</w:t>
      </w:r>
      <w:r w:rsidRPr="058BC90B" w:rsidR="5EEF7763">
        <w:rPr>
          <w:rFonts w:ascii="Aptos" w:hAnsi="Aptos" w:eastAsia="Aptos" w:cs="Aptos"/>
          <w:noProof w:val="0"/>
          <w:sz w:val="24"/>
          <w:szCs w:val="24"/>
          <w:lang w:val="en-US"/>
        </w:rPr>
        <w:t xml:space="preserve">. Journal of Educational Research, 116(2), 145–160. </w:t>
      </w:r>
      <w:hyperlink r:id="R276addc92c3841e0">
        <w:r w:rsidRPr="058BC90B" w:rsidR="5EEF7763">
          <w:rPr>
            <w:rStyle w:val="Hyperlink"/>
            <w:rFonts w:ascii="Aptos" w:hAnsi="Aptos" w:eastAsia="Aptos" w:cs="Aptos"/>
            <w:noProof w:val="0"/>
            <w:sz w:val="24"/>
            <w:szCs w:val="24"/>
            <w:lang w:val="en-US"/>
          </w:rPr>
          <w:t>https://doi.org/10.xxxx/xxxx</w:t>
        </w:r>
      </w:hyperlink>
    </w:p>
    <w:p w:rsidR="5EEF7763" w:rsidP="058BC90B" w:rsidRDefault="5EEF7763" w14:paraId="7D72789C" w14:textId="012D7CDD">
      <w:pPr>
        <w:pStyle w:val="Normal"/>
        <w:spacing w:before="0" w:beforeAutospacing="off" w:after="0" w:afterAutospacing="off"/>
        <w:ind w:left="0"/>
        <w:rPr>
          <w:rFonts w:ascii="Aptos" w:hAnsi="Aptos" w:eastAsia="Aptos" w:cs="Aptos"/>
          <w:noProof w:val="0"/>
          <w:sz w:val="24"/>
          <w:szCs w:val="24"/>
          <w:lang w:val="en-US"/>
        </w:rPr>
      </w:pPr>
      <w:r w:rsidRPr="058BC90B" w:rsidR="5EEF7763">
        <w:rPr>
          <w:rFonts w:ascii="Aptos" w:hAnsi="Aptos" w:eastAsia="Aptos" w:cs="Aptos"/>
          <w:noProof w:val="0"/>
          <w:sz w:val="24"/>
          <w:szCs w:val="24"/>
          <w:lang w:val="en-US"/>
        </w:rPr>
        <w:t xml:space="preserve">Johnson, M. (2022). </w:t>
      </w:r>
      <w:r w:rsidRPr="058BC90B" w:rsidR="5EEF7763">
        <w:rPr>
          <w:rFonts w:ascii="Aptos" w:hAnsi="Aptos" w:eastAsia="Aptos" w:cs="Aptos"/>
          <w:i w:val="1"/>
          <w:iCs w:val="1"/>
          <w:noProof w:val="0"/>
          <w:sz w:val="24"/>
          <w:szCs w:val="24"/>
          <w:lang w:val="en-US"/>
        </w:rPr>
        <w:t>Emerging trends in artificial intelligence applications in education</w:t>
      </w:r>
      <w:r w:rsidRPr="058BC90B" w:rsidR="5EEF7763">
        <w:rPr>
          <w:rFonts w:ascii="Aptos" w:hAnsi="Aptos" w:eastAsia="Aptos" w:cs="Aptos"/>
          <w:noProof w:val="0"/>
          <w:sz w:val="24"/>
          <w:szCs w:val="24"/>
          <w:lang w:val="en-US"/>
        </w:rPr>
        <w:t xml:space="preserve">. Computers &amp; Education, 185, 104–118. </w:t>
      </w:r>
      <w:hyperlink r:id="Ra54023a75bb9490f">
        <w:r w:rsidRPr="058BC90B" w:rsidR="5EEF7763">
          <w:rPr>
            <w:rStyle w:val="Hyperlink"/>
            <w:rFonts w:ascii="Aptos" w:hAnsi="Aptos" w:eastAsia="Aptos" w:cs="Aptos"/>
            <w:noProof w:val="0"/>
            <w:sz w:val="24"/>
            <w:szCs w:val="24"/>
            <w:lang w:val="en-US"/>
          </w:rPr>
          <w:t>https://doi.org/10.x</w:t>
        </w:r>
      </w:hyperlink>
    </w:p>
    <w:p w:rsidR="5EEF7763" w:rsidP="058BC90B" w:rsidRDefault="5EEF7763" w14:paraId="67363A6D" w14:textId="27CC0F3A">
      <w:pPr>
        <w:pStyle w:val="Normal"/>
      </w:pPr>
      <w:r w:rsidRPr="058BC90B" w:rsidR="5EEF7763">
        <w:rPr>
          <w:rFonts w:ascii="Aptos" w:hAnsi="Aptos" w:eastAsia="Aptos" w:cs="Aptos"/>
          <w:noProof w:val="0"/>
          <w:sz w:val="24"/>
          <w:szCs w:val="24"/>
          <w:lang w:val="en-US"/>
        </w:rPr>
        <w:t xml:space="preserve">Medicharla, R. K. (2025). </w:t>
      </w:r>
      <w:r w:rsidRPr="058BC90B" w:rsidR="5EEF7763">
        <w:rPr>
          <w:rFonts w:ascii="Aptos" w:hAnsi="Aptos" w:eastAsia="Aptos" w:cs="Aptos"/>
          <w:i w:val="1"/>
          <w:iCs w:val="1"/>
          <w:noProof w:val="0"/>
          <w:sz w:val="24"/>
          <w:szCs w:val="24"/>
          <w:lang w:val="en-US"/>
        </w:rPr>
        <w:t>The Disruption of the Traditional Watch Industry by Smartwatches and Health Trackers in the Last Decade: A Case Study in Digital Transformation, Consumer Behavior, and Strategic Adaptation</w:t>
      </w:r>
      <w:r w:rsidRPr="058BC90B" w:rsidR="5EEF7763">
        <w:rPr>
          <w:rFonts w:ascii="Aptos" w:hAnsi="Aptos" w:eastAsia="Aptos" w:cs="Aptos"/>
          <w:noProof w:val="0"/>
          <w:sz w:val="24"/>
          <w:szCs w:val="24"/>
          <w:lang w:val="en-US"/>
        </w:rPr>
        <w:t xml:space="preserve">. </w:t>
      </w:r>
      <w:r w:rsidRPr="058BC90B" w:rsidR="5EEF7763">
        <w:rPr>
          <w:rFonts w:ascii="Aptos" w:hAnsi="Aptos" w:eastAsia="Aptos" w:cs="Aptos"/>
          <w:b w:val="1"/>
          <w:bCs w:val="1"/>
          <w:noProof w:val="0"/>
          <w:sz w:val="24"/>
          <w:szCs w:val="24"/>
          <w:lang w:val="en-US"/>
        </w:rPr>
        <w:t>International Journal of Finance and Management Research</w:t>
      </w:r>
      <w:r w:rsidRPr="058BC90B" w:rsidR="5EEF7763">
        <w:rPr>
          <w:rFonts w:ascii="Aptos" w:hAnsi="Aptos" w:eastAsia="Aptos" w:cs="Aptos"/>
          <w:noProof w:val="0"/>
          <w:sz w:val="24"/>
          <w:szCs w:val="24"/>
          <w:lang w:val="en-US"/>
        </w:rPr>
        <w:t>.</w:t>
      </w:r>
    </w:p>
    <w:p w:rsidR="5EEF7763" w:rsidP="058BC90B" w:rsidRDefault="5EEF7763" w14:paraId="298C0B5C" w14:textId="5BA0E5ED">
      <w:pPr>
        <w:pStyle w:val="Normal"/>
      </w:pPr>
      <w:r w:rsidRPr="058BC90B" w:rsidR="5EEF7763">
        <w:rPr>
          <w:rFonts w:ascii="Aptos" w:hAnsi="Aptos" w:eastAsia="Aptos" w:cs="Aptos"/>
          <w:noProof w:val="0"/>
          <w:sz w:val="24"/>
          <w:szCs w:val="24"/>
          <w:lang w:val="en-US"/>
        </w:rPr>
        <w:t xml:space="preserve">Kumar, A., Ahmad, P., Srinivas Kumar, D. V., &amp; Gupta, M. (2024). </w:t>
      </w:r>
      <w:r w:rsidRPr="058BC90B" w:rsidR="5EEF7763">
        <w:rPr>
          <w:rFonts w:ascii="Aptos" w:hAnsi="Aptos" w:eastAsia="Aptos" w:cs="Aptos"/>
          <w:i w:val="1"/>
          <w:iCs w:val="1"/>
          <w:noProof w:val="0"/>
          <w:sz w:val="24"/>
          <w:szCs w:val="24"/>
          <w:lang w:val="en-US"/>
        </w:rPr>
        <w:t>Customer adoption of smartwatches – a privacy calculus perspective</w:t>
      </w:r>
      <w:r w:rsidRPr="058BC90B" w:rsidR="5EEF7763">
        <w:rPr>
          <w:rFonts w:ascii="Aptos" w:hAnsi="Aptos" w:eastAsia="Aptos" w:cs="Aptos"/>
          <w:noProof w:val="0"/>
          <w:sz w:val="24"/>
          <w:szCs w:val="24"/>
          <w:lang w:val="en-US"/>
        </w:rPr>
        <w:t xml:space="preserve">. </w:t>
      </w:r>
      <w:r w:rsidRPr="058BC90B" w:rsidR="5EEF7763">
        <w:rPr>
          <w:rFonts w:ascii="Aptos" w:hAnsi="Aptos" w:eastAsia="Aptos" w:cs="Aptos"/>
          <w:b w:val="1"/>
          <w:bCs w:val="1"/>
          <w:noProof w:val="0"/>
          <w:sz w:val="24"/>
          <w:szCs w:val="24"/>
          <w:lang w:val="en-US"/>
        </w:rPr>
        <w:t>Rajagiri Management Journal</w:t>
      </w:r>
      <w:r w:rsidRPr="058BC90B" w:rsidR="5EEF7763">
        <w:rPr>
          <w:rFonts w:ascii="Aptos" w:hAnsi="Aptos" w:eastAsia="Aptos" w:cs="Aptos"/>
          <w:noProof w:val="0"/>
          <w:sz w:val="24"/>
          <w:szCs w:val="24"/>
          <w:lang w:val="en-US"/>
        </w:rPr>
        <w:t xml:space="preserve">, 19(1), 18–29. https://doi.org/10.1108/RAMJ-03-2024-0062 </w:t>
      </w:r>
      <w:hyperlink r:id="R1958663d7d1041fb">
        <w:r w:rsidRPr="058BC90B" w:rsidR="5EEF7763">
          <w:rPr>
            <w:rStyle w:val="Hyperlink"/>
            <w:rFonts w:ascii="Aptos" w:hAnsi="Aptos" w:eastAsia="Aptos" w:cs="Aptos"/>
            <w:noProof w:val="0"/>
            <w:sz w:val="24"/>
            <w:szCs w:val="24"/>
            <w:lang w:val="en-US"/>
          </w:rPr>
          <w:t>[emerald.com]</w:t>
        </w:r>
      </w:hyperlink>
    </w:p>
    <w:p w:rsidR="5EEF7763" w:rsidP="058BC90B" w:rsidRDefault="5EEF7763" w14:paraId="446FA4C5" w14:textId="0000AE28">
      <w:pPr>
        <w:pStyle w:val="Normal"/>
      </w:pPr>
      <w:r w:rsidRPr="058BC90B" w:rsidR="5EEF7763">
        <w:rPr>
          <w:rFonts w:ascii="Aptos" w:hAnsi="Aptos" w:eastAsia="Aptos" w:cs="Aptos"/>
          <w:noProof w:val="0"/>
          <w:sz w:val="24"/>
          <w:szCs w:val="24"/>
          <w:lang w:val="en-US"/>
        </w:rPr>
        <w:t xml:space="preserve">Köhler, C., </w:t>
      </w:r>
      <w:r w:rsidRPr="058BC90B" w:rsidR="5EEF7763">
        <w:rPr>
          <w:rFonts w:ascii="Aptos" w:hAnsi="Aptos" w:eastAsia="Aptos" w:cs="Aptos"/>
          <w:noProof w:val="0"/>
          <w:sz w:val="24"/>
          <w:szCs w:val="24"/>
          <w:lang w:val="en-US"/>
        </w:rPr>
        <w:t>Bartschke</w:t>
      </w:r>
      <w:r w:rsidRPr="058BC90B" w:rsidR="5EEF7763">
        <w:rPr>
          <w:rFonts w:ascii="Aptos" w:hAnsi="Aptos" w:eastAsia="Aptos" w:cs="Aptos"/>
          <w:noProof w:val="0"/>
          <w:sz w:val="24"/>
          <w:szCs w:val="24"/>
          <w:lang w:val="en-US"/>
        </w:rPr>
        <w:t xml:space="preserve">, A., </w:t>
      </w:r>
      <w:r w:rsidRPr="058BC90B" w:rsidR="5EEF7763">
        <w:rPr>
          <w:rFonts w:ascii="Aptos" w:hAnsi="Aptos" w:eastAsia="Aptos" w:cs="Aptos"/>
          <w:noProof w:val="0"/>
          <w:sz w:val="24"/>
          <w:szCs w:val="24"/>
          <w:lang w:val="en-US"/>
        </w:rPr>
        <w:t>Fürstenau</w:t>
      </w:r>
      <w:r w:rsidRPr="058BC90B" w:rsidR="5EEF7763">
        <w:rPr>
          <w:rFonts w:ascii="Aptos" w:hAnsi="Aptos" w:eastAsia="Aptos" w:cs="Aptos"/>
          <w:noProof w:val="0"/>
          <w:sz w:val="24"/>
          <w:szCs w:val="24"/>
          <w:lang w:val="en-US"/>
        </w:rPr>
        <w:t xml:space="preserve">, D., Schaaf, T., &amp; Salgado-Baez, E. (2024). </w:t>
      </w:r>
      <w:r w:rsidRPr="058BC90B" w:rsidR="5EEF7763">
        <w:rPr>
          <w:rFonts w:ascii="Aptos" w:hAnsi="Aptos" w:eastAsia="Aptos" w:cs="Aptos"/>
          <w:i w:val="1"/>
          <w:iCs w:val="1"/>
          <w:noProof w:val="0"/>
          <w:sz w:val="24"/>
          <w:szCs w:val="24"/>
          <w:lang w:val="en-US"/>
        </w:rPr>
        <w:t>The Value of Smartwatches in the Health Care Sector for Monitoring, Nudging, and Predicting: Viewpoint on 25 Years of Research</w:t>
      </w:r>
      <w:r w:rsidRPr="058BC90B" w:rsidR="5EEF7763">
        <w:rPr>
          <w:rFonts w:ascii="Aptos" w:hAnsi="Aptos" w:eastAsia="Aptos" w:cs="Aptos"/>
          <w:noProof w:val="0"/>
          <w:sz w:val="24"/>
          <w:szCs w:val="24"/>
          <w:lang w:val="en-US"/>
        </w:rPr>
        <w:t xml:space="preserve">. </w:t>
      </w:r>
      <w:r w:rsidRPr="058BC90B" w:rsidR="5EEF7763">
        <w:rPr>
          <w:rFonts w:ascii="Aptos" w:hAnsi="Aptos" w:eastAsia="Aptos" w:cs="Aptos"/>
          <w:b w:val="1"/>
          <w:bCs w:val="1"/>
          <w:noProof w:val="0"/>
          <w:sz w:val="24"/>
          <w:szCs w:val="24"/>
          <w:lang w:val="en-US"/>
        </w:rPr>
        <w:t>Journal of Medical Internet Research</w:t>
      </w:r>
      <w:r w:rsidRPr="058BC90B" w:rsidR="5EEF7763">
        <w:rPr>
          <w:rFonts w:ascii="Aptos" w:hAnsi="Aptos" w:eastAsia="Aptos" w:cs="Aptos"/>
          <w:noProof w:val="0"/>
          <w:sz w:val="24"/>
          <w:szCs w:val="24"/>
          <w:lang w:val="en-US"/>
        </w:rPr>
        <w:t xml:space="preserve">, </w:t>
      </w:r>
      <w:r w:rsidRPr="058BC90B" w:rsidR="5EEF7763">
        <w:rPr>
          <w:rFonts w:ascii="Aptos" w:hAnsi="Aptos" w:eastAsia="Aptos" w:cs="Aptos"/>
          <w:noProof w:val="0"/>
          <w:sz w:val="24"/>
          <w:szCs w:val="24"/>
          <w:lang w:val="en-US"/>
        </w:rPr>
        <w:t>26:e</w:t>
      </w:r>
      <w:r w:rsidRPr="058BC90B" w:rsidR="5EEF7763">
        <w:rPr>
          <w:rFonts w:ascii="Aptos" w:hAnsi="Aptos" w:eastAsia="Aptos" w:cs="Aptos"/>
          <w:noProof w:val="0"/>
          <w:sz w:val="24"/>
          <w:szCs w:val="24"/>
          <w:lang w:val="en-US"/>
        </w:rPr>
        <w:t xml:space="preserve">58936. https://doi.org/10.2196/58936 </w:t>
      </w:r>
      <w:hyperlink r:id="Rd3425f4483794dec">
        <w:r w:rsidRPr="058BC90B" w:rsidR="5EEF7763">
          <w:rPr>
            <w:rStyle w:val="Hyperlink"/>
            <w:rFonts w:ascii="Aptos" w:hAnsi="Aptos" w:eastAsia="Aptos" w:cs="Aptos"/>
            <w:noProof w:val="0"/>
            <w:sz w:val="24"/>
            <w:szCs w:val="24"/>
            <w:lang w:val="en-US"/>
          </w:rPr>
          <w:t>[jmir.org]</w:t>
        </w:r>
      </w:hyperlink>
    </w:p>
    <w:p w:rsidR="5EEF7763" w:rsidP="058BC90B" w:rsidRDefault="5EEF7763" w14:paraId="3CBC92BA" w14:textId="1A7C7D61">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058BC90B" w:rsidR="5EEF7763">
        <w:rPr>
          <w:rFonts w:ascii="Aptos" w:hAnsi="Aptos" w:eastAsia="Aptos" w:cs="Aptos"/>
          <w:b w:val="0"/>
          <w:bCs w:val="0"/>
          <w:i w:val="0"/>
          <w:iCs w:val="0"/>
          <w:caps w:val="0"/>
          <w:smallCaps w:val="0"/>
          <w:noProof w:val="0"/>
          <w:color w:val="000000" w:themeColor="text1" w:themeTint="FF" w:themeShade="FF"/>
          <w:sz w:val="24"/>
          <w:szCs w:val="24"/>
          <w:lang w:val="en-GB"/>
        </w:rPr>
        <w:t xml:space="preserve">Lesser, J. A., &amp; Barthol, S. M. (2024). </w:t>
      </w:r>
      <w:r w:rsidRPr="058BC90B" w:rsidR="5EEF7763">
        <w:rPr>
          <w:rFonts w:ascii="Aptos" w:hAnsi="Aptos" w:eastAsia="Aptos" w:cs="Aptos"/>
          <w:b w:val="0"/>
          <w:bCs w:val="0"/>
          <w:i w:val="1"/>
          <w:iCs w:val="1"/>
          <w:caps w:val="0"/>
          <w:smallCaps w:val="0"/>
          <w:noProof w:val="0"/>
          <w:color w:val="000000" w:themeColor="text1" w:themeTint="FF" w:themeShade="FF"/>
          <w:sz w:val="24"/>
          <w:szCs w:val="24"/>
          <w:lang w:val="en-GB"/>
        </w:rPr>
        <w:t>Advancing Theory in Psychographic Market Segmentation Research</w:t>
      </w:r>
      <w:r w:rsidRPr="058BC90B" w:rsidR="5EEF7763">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058BC90B" w:rsidR="5EEF7763">
        <w:rPr>
          <w:rFonts w:ascii="Aptos" w:hAnsi="Aptos" w:eastAsia="Aptos" w:cs="Aptos"/>
          <w:b w:val="1"/>
          <w:bCs w:val="1"/>
          <w:i w:val="0"/>
          <w:iCs w:val="0"/>
          <w:caps w:val="0"/>
          <w:smallCaps w:val="0"/>
          <w:noProof w:val="0"/>
          <w:color w:val="000000" w:themeColor="text1" w:themeTint="FF" w:themeShade="FF"/>
          <w:sz w:val="24"/>
          <w:szCs w:val="24"/>
          <w:lang w:val="en-GB"/>
        </w:rPr>
        <w:t>Journal of Applied Marketing Theory</w:t>
      </w:r>
      <w:r w:rsidRPr="058BC90B" w:rsidR="5EEF7763">
        <w:rPr>
          <w:rFonts w:ascii="Aptos" w:hAnsi="Aptos" w:eastAsia="Aptos" w:cs="Aptos"/>
          <w:b w:val="0"/>
          <w:bCs w:val="0"/>
          <w:i w:val="0"/>
          <w:iCs w:val="0"/>
          <w:caps w:val="0"/>
          <w:smallCaps w:val="0"/>
          <w:noProof w:val="0"/>
          <w:color w:val="000000" w:themeColor="text1" w:themeTint="FF" w:themeShade="FF"/>
          <w:sz w:val="24"/>
          <w:szCs w:val="24"/>
          <w:lang w:val="en-GB"/>
        </w:rPr>
        <w:t xml:space="preserve">, 11(2), 1–24. </w:t>
      </w:r>
      <w:hyperlink r:id="R58a3c14b1e9a4905">
        <w:r w:rsidRPr="058BC90B" w:rsidR="5EEF7763">
          <w:rPr>
            <w:rStyle w:val="Hyperlink"/>
            <w:rFonts w:ascii="Aptos" w:hAnsi="Aptos" w:eastAsia="Aptos" w:cs="Aptos"/>
            <w:b w:val="0"/>
            <w:bCs w:val="0"/>
            <w:i w:val="0"/>
            <w:iCs w:val="0"/>
            <w:caps w:val="0"/>
            <w:smallCaps w:val="0"/>
            <w:strike w:val="0"/>
            <w:dstrike w:val="0"/>
            <w:noProof w:val="0"/>
            <w:sz w:val="24"/>
            <w:szCs w:val="24"/>
            <w:lang w:val="en-GB"/>
          </w:rPr>
          <w:t>https://doi.org/10.20429/jamt.2024.110202</w:t>
        </w:r>
      </w:hyperlink>
      <w:r w:rsidRPr="058BC90B" w:rsidR="5EEF7763">
        <w:rPr>
          <w:rFonts w:ascii="Aptos" w:hAnsi="Aptos" w:eastAsia="Aptos" w:cs="Aptos"/>
          <w:b w:val="0"/>
          <w:bCs w:val="0"/>
          <w:i w:val="0"/>
          <w:iCs w:val="0"/>
          <w:caps w:val="0"/>
          <w:smallCaps w:val="0"/>
          <w:noProof w:val="0"/>
          <w:color w:val="000000" w:themeColor="text1" w:themeTint="FF" w:themeShade="FF"/>
          <w:sz w:val="24"/>
          <w:szCs w:val="24"/>
          <w:lang w:val="en-GB"/>
        </w:rPr>
        <w:t xml:space="preserve"> </w:t>
      </w:r>
      <w:hyperlink r:id="R2bd50add17a84252">
        <w:r w:rsidRPr="058BC90B" w:rsidR="5EEF7763">
          <w:rPr>
            <w:rStyle w:val="Hyperlink"/>
            <w:rFonts w:ascii="Aptos" w:hAnsi="Aptos" w:eastAsia="Aptos" w:cs="Aptos"/>
            <w:b w:val="0"/>
            <w:bCs w:val="0"/>
            <w:i w:val="0"/>
            <w:iCs w:val="0"/>
            <w:caps w:val="0"/>
            <w:smallCaps w:val="0"/>
            <w:strike w:val="0"/>
            <w:dstrike w:val="0"/>
            <w:noProof w:val="0"/>
            <w:sz w:val="24"/>
            <w:szCs w:val="24"/>
            <w:lang w:val="en-GB"/>
          </w:rPr>
          <w:t>[digitalcom...uthern.edu]</w:t>
        </w:r>
      </w:hyperlink>
    </w:p>
    <w:p w:rsidR="5EEF7763" w:rsidP="058BC90B" w:rsidRDefault="5EEF7763" w14:paraId="59CF9B13" w14:textId="12D37261">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058BC90B" w:rsidR="5EEF7763">
        <w:rPr>
          <w:rFonts w:ascii="Aptos" w:hAnsi="Aptos" w:eastAsia="Aptos" w:cs="Aptos"/>
          <w:b w:val="0"/>
          <w:bCs w:val="0"/>
          <w:i w:val="0"/>
          <w:iCs w:val="0"/>
          <w:caps w:val="0"/>
          <w:smallCaps w:val="0"/>
          <w:noProof w:val="0"/>
          <w:color w:val="000000" w:themeColor="text1" w:themeTint="FF" w:themeShade="FF"/>
          <w:sz w:val="24"/>
          <w:szCs w:val="24"/>
          <w:lang w:val="en-GB"/>
        </w:rPr>
        <w:t xml:space="preserve">Gumasing, M. J. J., Carrillo, G. Z. D. V., De Guzman, M. A. A., et al. (2024). </w:t>
      </w:r>
      <w:r w:rsidRPr="058BC90B" w:rsidR="5EEF7763">
        <w:rPr>
          <w:rFonts w:ascii="Aptos" w:hAnsi="Aptos" w:eastAsia="Aptos" w:cs="Aptos"/>
          <w:b w:val="0"/>
          <w:bCs w:val="0"/>
          <w:i w:val="1"/>
          <w:iCs w:val="1"/>
          <w:caps w:val="0"/>
          <w:smallCaps w:val="0"/>
          <w:noProof w:val="0"/>
          <w:color w:val="000000" w:themeColor="text1" w:themeTint="FF" w:themeShade="FF"/>
          <w:sz w:val="24"/>
          <w:szCs w:val="24"/>
          <w:lang w:val="en-GB"/>
        </w:rPr>
        <w:t>Investigating User-Centric Factors Influencing Smartwatch Adoption and User Experience in the Philippines</w:t>
      </w:r>
      <w:r w:rsidRPr="058BC90B" w:rsidR="5EEF7763">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058BC90B" w:rsidR="5EEF7763">
        <w:rPr>
          <w:rFonts w:ascii="Aptos" w:hAnsi="Aptos" w:eastAsia="Aptos" w:cs="Aptos"/>
          <w:b w:val="1"/>
          <w:bCs w:val="1"/>
          <w:i w:val="0"/>
          <w:iCs w:val="0"/>
          <w:caps w:val="0"/>
          <w:smallCaps w:val="0"/>
          <w:noProof w:val="0"/>
          <w:color w:val="000000" w:themeColor="text1" w:themeTint="FF" w:themeShade="FF"/>
          <w:sz w:val="24"/>
          <w:szCs w:val="24"/>
          <w:lang w:val="en-GB"/>
        </w:rPr>
        <w:t>Sustainability</w:t>
      </w:r>
      <w:r w:rsidRPr="058BC90B" w:rsidR="5EEF7763">
        <w:rPr>
          <w:rFonts w:ascii="Aptos" w:hAnsi="Aptos" w:eastAsia="Aptos" w:cs="Aptos"/>
          <w:b w:val="0"/>
          <w:bCs w:val="0"/>
          <w:i w:val="0"/>
          <w:iCs w:val="0"/>
          <w:caps w:val="0"/>
          <w:smallCaps w:val="0"/>
          <w:noProof w:val="0"/>
          <w:color w:val="000000" w:themeColor="text1" w:themeTint="FF" w:themeShade="FF"/>
          <w:sz w:val="24"/>
          <w:szCs w:val="24"/>
          <w:lang w:val="en-GB"/>
        </w:rPr>
        <w:t xml:space="preserve">, 16(13), 5401. </w:t>
      </w:r>
      <w:hyperlink r:id="R84437cceffb342bd">
        <w:r w:rsidRPr="058BC90B" w:rsidR="5EEF7763">
          <w:rPr>
            <w:rStyle w:val="Hyperlink"/>
            <w:rFonts w:ascii="Aptos" w:hAnsi="Aptos" w:eastAsia="Aptos" w:cs="Aptos"/>
            <w:b w:val="0"/>
            <w:bCs w:val="0"/>
            <w:i w:val="0"/>
            <w:iCs w:val="0"/>
            <w:caps w:val="0"/>
            <w:smallCaps w:val="0"/>
            <w:strike w:val="0"/>
            <w:dstrike w:val="0"/>
            <w:noProof w:val="0"/>
            <w:sz w:val="24"/>
            <w:szCs w:val="24"/>
            <w:lang w:val="en-GB"/>
          </w:rPr>
          <w:t>https://doi.org/10.3390/su16135401</w:t>
        </w:r>
      </w:hyperlink>
      <w:r w:rsidRPr="058BC90B" w:rsidR="5EEF7763">
        <w:rPr>
          <w:rFonts w:ascii="Aptos" w:hAnsi="Aptos" w:eastAsia="Aptos" w:cs="Aptos"/>
          <w:b w:val="0"/>
          <w:bCs w:val="0"/>
          <w:i w:val="0"/>
          <w:iCs w:val="0"/>
          <w:caps w:val="0"/>
          <w:smallCaps w:val="0"/>
          <w:noProof w:val="0"/>
          <w:color w:val="000000" w:themeColor="text1" w:themeTint="FF" w:themeShade="FF"/>
          <w:sz w:val="24"/>
          <w:szCs w:val="24"/>
          <w:lang w:val="en-GB"/>
        </w:rPr>
        <w:t xml:space="preserve"> </w:t>
      </w:r>
      <w:hyperlink r:id="R4014aac0d1db493d">
        <w:r w:rsidRPr="058BC90B" w:rsidR="5EEF7763">
          <w:rPr>
            <w:rStyle w:val="Hyperlink"/>
            <w:rFonts w:ascii="Aptos" w:hAnsi="Aptos" w:eastAsia="Aptos" w:cs="Aptos"/>
            <w:b w:val="0"/>
            <w:bCs w:val="0"/>
            <w:i w:val="0"/>
            <w:iCs w:val="0"/>
            <w:caps w:val="0"/>
            <w:smallCaps w:val="0"/>
            <w:strike w:val="0"/>
            <w:dstrike w:val="0"/>
            <w:noProof w:val="0"/>
            <w:sz w:val="24"/>
            <w:szCs w:val="24"/>
            <w:lang w:val="en-GB"/>
          </w:rPr>
          <w:t>[mdpi.com]</w:t>
        </w:r>
      </w:hyperlink>
    </w:p>
    <w:p w:rsidR="5EEF7763" w:rsidP="058BC90B" w:rsidRDefault="5EEF7763" w14:paraId="64788D9B" w14:textId="13FC738F">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058BC90B" w:rsidR="5EEF7763">
        <w:rPr>
          <w:rFonts w:ascii="Aptos" w:hAnsi="Aptos" w:eastAsia="Aptos" w:cs="Aptos"/>
          <w:b w:val="0"/>
          <w:bCs w:val="0"/>
          <w:i w:val="0"/>
          <w:iCs w:val="0"/>
          <w:caps w:val="0"/>
          <w:smallCaps w:val="0"/>
          <w:noProof w:val="0"/>
          <w:color w:val="000000" w:themeColor="text1" w:themeTint="FF" w:themeShade="FF"/>
          <w:sz w:val="24"/>
          <w:szCs w:val="24"/>
          <w:lang w:val="en-GB"/>
        </w:rPr>
        <w:t xml:space="preserve">Sinchana, M. P. (2024). </w:t>
      </w:r>
      <w:r w:rsidRPr="058BC90B" w:rsidR="5EEF7763">
        <w:rPr>
          <w:rFonts w:ascii="Aptos" w:hAnsi="Aptos" w:eastAsia="Aptos" w:cs="Aptos"/>
          <w:b w:val="0"/>
          <w:bCs w:val="0"/>
          <w:i w:val="1"/>
          <w:iCs w:val="1"/>
          <w:caps w:val="0"/>
          <w:smallCaps w:val="0"/>
          <w:noProof w:val="0"/>
          <w:color w:val="000000" w:themeColor="text1" w:themeTint="FF" w:themeShade="FF"/>
          <w:sz w:val="24"/>
          <w:szCs w:val="24"/>
          <w:lang w:val="en-GB"/>
        </w:rPr>
        <w:t>A Study on Consumers’ Perception Towards Smartwatches</w:t>
      </w:r>
      <w:r w:rsidRPr="058BC90B" w:rsidR="5EEF7763">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058BC90B" w:rsidR="5EEF7763">
        <w:rPr>
          <w:rFonts w:ascii="Aptos" w:hAnsi="Aptos" w:eastAsia="Aptos" w:cs="Aptos"/>
          <w:b w:val="1"/>
          <w:bCs w:val="1"/>
          <w:i w:val="0"/>
          <w:iCs w:val="0"/>
          <w:caps w:val="0"/>
          <w:smallCaps w:val="0"/>
          <w:noProof w:val="0"/>
          <w:color w:val="000000" w:themeColor="text1" w:themeTint="FF" w:themeShade="FF"/>
          <w:sz w:val="24"/>
          <w:szCs w:val="24"/>
          <w:lang w:val="en-GB"/>
        </w:rPr>
        <w:t>Journal of Emerging Technologies and New Research</w:t>
      </w:r>
      <w:r w:rsidRPr="058BC90B" w:rsidR="5EEF7763">
        <w:rPr>
          <w:rFonts w:ascii="Aptos" w:hAnsi="Aptos" w:eastAsia="Aptos" w:cs="Aptos"/>
          <w:b w:val="0"/>
          <w:bCs w:val="0"/>
          <w:i w:val="0"/>
          <w:iCs w:val="0"/>
          <w:caps w:val="0"/>
          <w:smallCaps w:val="0"/>
          <w:noProof w:val="0"/>
          <w:color w:val="000000" w:themeColor="text1" w:themeTint="FF" w:themeShade="FF"/>
          <w:sz w:val="24"/>
          <w:szCs w:val="24"/>
          <w:lang w:val="en-GB"/>
        </w:rPr>
        <w:t xml:space="preserve">, 5(4), 28–35. </w:t>
      </w:r>
      <w:hyperlink r:id="R206ab588f8204d6f">
        <w:r w:rsidRPr="058BC90B" w:rsidR="5EEF7763">
          <w:rPr>
            <w:rStyle w:val="Hyperlink"/>
            <w:rFonts w:ascii="Aptos" w:hAnsi="Aptos" w:eastAsia="Aptos" w:cs="Aptos"/>
            <w:b w:val="0"/>
            <w:bCs w:val="0"/>
            <w:i w:val="0"/>
            <w:iCs w:val="0"/>
            <w:caps w:val="0"/>
            <w:smallCaps w:val="0"/>
            <w:strike w:val="0"/>
            <w:dstrike w:val="0"/>
            <w:noProof w:val="0"/>
            <w:sz w:val="24"/>
            <w:szCs w:val="24"/>
            <w:lang w:val="en-GB"/>
          </w:rPr>
          <w:t>https://rjpn.org/jetnr/papers/JETNR2504028.pdf</w:t>
        </w:r>
      </w:hyperlink>
      <w:r w:rsidRPr="058BC90B" w:rsidR="5EEF7763">
        <w:rPr>
          <w:rFonts w:ascii="Aptos" w:hAnsi="Aptos" w:eastAsia="Aptos" w:cs="Aptos"/>
          <w:b w:val="0"/>
          <w:bCs w:val="0"/>
          <w:i w:val="0"/>
          <w:iCs w:val="0"/>
          <w:caps w:val="0"/>
          <w:smallCaps w:val="0"/>
          <w:noProof w:val="0"/>
          <w:color w:val="000000" w:themeColor="text1" w:themeTint="FF" w:themeShade="FF"/>
          <w:sz w:val="24"/>
          <w:szCs w:val="24"/>
          <w:lang w:val="en-GB"/>
        </w:rPr>
        <w:t xml:space="preserve"> </w:t>
      </w:r>
      <w:hyperlink r:id="R0184aac63e9648a5">
        <w:r w:rsidRPr="058BC90B" w:rsidR="5EEF7763">
          <w:rPr>
            <w:rStyle w:val="Hyperlink"/>
            <w:rFonts w:ascii="Aptos" w:hAnsi="Aptos" w:eastAsia="Aptos" w:cs="Aptos"/>
            <w:b w:val="0"/>
            <w:bCs w:val="0"/>
            <w:i w:val="0"/>
            <w:iCs w:val="0"/>
            <w:caps w:val="0"/>
            <w:smallCaps w:val="0"/>
            <w:strike w:val="0"/>
            <w:dstrike w:val="0"/>
            <w:noProof w:val="0"/>
            <w:sz w:val="24"/>
            <w:szCs w:val="24"/>
            <w:lang w:val="en-GB"/>
          </w:rPr>
          <w:t>[rjpn.org]</w:t>
        </w:r>
      </w:hyperlink>
    </w:p>
    <w:p w:rsidR="5EEF7763" w:rsidP="058BC90B" w:rsidRDefault="5EEF7763" w14:paraId="47501166" w14:textId="39BE3420">
      <w:pPr>
        <w:pStyle w:val="Normal"/>
      </w:pPr>
      <w:r w:rsidRPr="058BC90B" w:rsidR="5EEF7763">
        <w:rPr>
          <w:rFonts w:ascii="Aptos" w:hAnsi="Aptos" w:eastAsia="Aptos" w:cs="Aptos"/>
          <w:noProof w:val="0"/>
          <w:sz w:val="24"/>
          <w:szCs w:val="24"/>
          <w:lang w:val="en-US"/>
        </w:rPr>
        <w:t xml:space="preserve">Goi, C. L. (2009). </w:t>
      </w:r>
      <w:r w:rsidRPr="058BC90B" w:rsidR="5EEF7763">
        <w:rPr>
          <w:rFonts w:ascii="Aptos" w:hAnsi="Aptos" w:eastAsia="Aptos" w:cs="Aptos"/>
          <w:i w:val="1"/>
          <w:iCs w:val="1"/>
          <w:noProof w:val="0"/>
          <w:sz w:val="24"/>
          <w:szCs w:val="24"/>
          <w:lang w:val="en-US"/>
        </w:rPr>
        <w:t xml:space="preserve">A Review of Marketing Mix: 4Ps or </w:t>
      </w:r>
      <w:r w:rsidRPr="058BC90B" w:rsidR="5EEF7763">
        <w:rPr>
          <w:rFonts w:ascii="Aptos" w:hAnsi="Aptos" w:eastAsia="Aptos" w:cs="Aptos"/>
          <w:i w:val="1"/>
          <w:iCs w:val="1"/>
          <w:noProof w:val="0"/>
          <w:sz w:val="24"/>
          <w:szCs w:val="24"/>
          <w:lang w:val="en-US"/>
        </w:rPr>
        <w:t>More</w:t>
      </w:r>
      <w:r w:rsidRPr="058BC90B" w:rsidR="5EEF7763">
        <w:rPr>
          <w:rFonts w:ascii="Aptos" w:hAnsi="Aptos" w:eastAsia="Aptos" w:cs="Aptos"/>
          <w:i w:val="1"/>
          <w:iCs w:val="1"/>
          <w:noProof w:val="0"/>
          <w:sz w:val="24"/>
          <w:szCs w:val="24"/>
          <w:lang w:val="en-US"/>
        </w:rPr>
        <w:t>?</w:t>
      </w:r>
      <w:r w:rsidRPr="058BC90B" w:rsidR="5EEF7763">
        <w:rPr>
          <w:rFonts w:ascii="Aptos" w:hAnsi="Aptos" w:eastAsia="Aptos" w:cs="Aptos"/>
          <w:noProof w:val="0"/>
          <w:sz w:val="24"/>
          <w:szCs w:val="24"/>
          <w:lang w:val="en-US"/>
        </w:rPr>
        <w:t xml:space="preserve"> International Journal of Marketing Studies, 1(1), 2–15. https://doi.org/10.5539/ijms.v1n1p2 </w:t>
      </w:r>
      <w:hyperlink r:id="R830591ee9eb843da">
        <w:r w:rsidRPr="058BC90B" w:rsidR="5EEF7763">
          <w:rPr>
            <w:rStyle w:val="Hyperlink"/>
            <w:rFonts w:ascii="Aptos" w:hAnsi="Aptos" w:eastAsia="Aptos" w:cs="Aptos"/>
            <w:noProof w:val="0"/>
            <w:sz w:val="24"/>
            <w:szCs w:val="24"/>
            <w:lang w:val="en-US"/>
          </w:rPr>
          <w:t>[ccsenet.org]</w:t>
        </w:r>
      </w:hyperlink>
    </w:p>
    <w:p w:rsidR="5EEF7763" w:rsidP="058BC90B" w:rsidRDefault="5EEF7763" w14:paraId="7E678C72" w14:textId="4835A154">
      <w:pPr>
        <w:spacing w:before="0" w:beforeAutospacing="off" w:after="0" w:afterAutospacing="off" w:line="300" w:lineRule="auto"/>
      </w:pPr>
      <w:r w:rsidRPr="058BC90B" w:rsidR="5EEF7763">
        <w:rPr>
          <w:rFonts w:ascii="Segoe UI" w:hAnsi="Segoe UI" w:eastAsia="Segoe UI" w:cs="Segoe UI"/>
          <w:b w:val="1"/>
          <w:bCs w:val="1"/>
          <w:i w:val="0"/>
          <w:iCs w:val="0"/>
          <w:noProof w:val="0"/>
          <w:sz w:val="21"/>
          <w:szCs w:val="21"/>
          <w:lang w:val="en-US"/>
        </w:rPr>
        <w:t>Mogaji, E.</w:t>
      </w:r>
      <w:r w:rsidRPr="058BC90B" w:rsidR="5EEF7763">
        <w:rPr>
          <w:rFonts w:ascii="Segoe UI" w:hAnsi="Segoe UI" w:eastAsia="Segoe UI" w:cs="Segoe UI"/>
          <w:b w:val="0"/>
          <w:bCs w:val="0"/>
          <w:i w:val="0"/>
          <w:iCs w:val="0"/>
          <w:noProof w:val="0"/>
          <w:sz w:val="21"/>
          <w:szCs w:val="21"/>
          <w:lang w:val="en-US"/>
        </w:rPr>
        <w:t xml:space="preserve"> (2025). “Market Segmentation, Targeting, and Positioning.” In </w:t>
      </w:r>
      <w:r w:rsidRPr="058BC90B" w:rsidR="5EEF7763">
        <w:rPr>
          <w:rFonts w:ascii="Segoe UI" w:hAnsi="Segoe UI" w:eastAsia="Segoe UI" w:cs="Segoe UI"/>
          <w:b w:val="0"/>
          <w:bCs w:val="0"/>
          <w:i w:val="1"/>
          <w:iCs w:val="1"/>
          <w:noProof w:val="0"/>
          <w:sz w:val="21"/>
          <w:szCs w:val="21"/>
          <w:lang w:val="en-US"/>
        </w:rPr>
        <w:t>Strategic Marketing Management</w:t>
      </w:r>
      <w:r w:rsidRPr="058BC90B" w:rsidR="5EEF7763">
        <w:rPr>
          <w:rFonts w:ascii="Segoe UI" w:hAnsi="Segoe UI" w:eastAsia="Segoe UI" w:cs="Segoe UI"/>
          <w:b w:val="0"/>
          <w:bCs w:val="0"/>
          <w:i w:val="0"/>
          <w:iCs w:val="0"/>
          <w:noProof w:val="0"/>
          <w:sz w:val="21"/>
          <w:szCs w:val="21"/>
          <w:lang w:val="en-US"/>
        </w:rPr>
        <w:t xml:space="preserve"> (pp. 103–133). Springer. A thorough chapter covering STP rationale, segmentation bases, targeting criteria, and positioning tools</w:t>
      </w:r>
    </w:p>
    <w:p w:rsidR="058BC90B" w:rsidP="058BC90B" w:rsidRDefault="058BC90B" w14:paraId="06789667" w14:textId="3A350AE4">
      <w:pPr>
        <w:spacing w:before="0" w:beforeAutospacing="off" w:after="0" w:afterAutospacing="off" w:line="300" w:lineRule="auto"/>
        <w:rPr>
          <w:rFonts w:ascii="Segoe UI" w:hAnsi="Segoe UI" w:eastAsia="Segoe UI" w:cs="Segoe UI"/>
          <w:b w:val="1"/>
          <w:bCs w:val="1"/>
          <w:i w:val="0"/>
          <w:iCs w:val="0"/>
          <w:noProof w:val="0"/>
          <w:sz w:val="21"/>
          <w:szCs w:val="21"/>
          <w:lang w:val="en-US"/>
        </w:rPr>
      </w:pPr>
    </w:p>
    <w:p w:rsidR="5EEF7763" w:rsidP="058BC90B" w:rsidRDefault="5EEF7763" w14:paraId="21293539" w14:textId="534C2518">
      <w:pPr>
        <w:spacing w:before="0" w:beforeAutospacing="off" w:after="0" w:afterAutospacing="off" w:line="300" w:lineRule="auto"/>
      </w:pPr>
      <w:r w:rsidRPr="058BC90B" w:rsidR="5EEF7763">
        <w:rPr>
          <w:rFonts w:ascii="Segoe UI" w:hAnsi="Segoe UI" w:eastAsia="Segoe UI" w:cs="Segoe UI"/>
          <w:b w:val="1"/>
          <w:bCs w:val="1"/>
          <w:i w:val="0"/>
          <w:iCs w:val="0"/>
          <w:noProof w:val="0"/>
          <w:sz w:val="21"/>
          <w:szCs w:val="21"/>
          <w:lang w:val="en-US"/>
        </w:rPr>
        <w:t>Schmitt, B.</w:t>
      </w:r>
      <w:r w:rsidRPr="058BC90B" w:rsidR="5EEF7763">
        <w:rPr>
          <w:rFonts w:ascii="Segoe UI" w:hAnsi="Segoe UI" w:eastAsia="Segoe UI" w:cs="Segoe UI"/>
          <w:b w:val="0"/>
          <w:bCs w:val="0"/>
          <w:i w:val="0"/>
          <w:iCs w:val="0"/>
          <w:noProof w:val="0"/>
          <w:sz w:val="21"/>
          <w:szCs w:val="21"/>
          <w:lang w:val="en-US"/>
        </w:rPr>
        <w:t xml:space="preserve"> (2024). “Consumer Information Processing and Decision‑Making: Origins, Findings, Applications, and Future Directions.” </w:t>
      </w:r>
      <w:r w:rsidRPr="058BC90B" w:rsidR="5EEF7763">
        <w:rPr>
          <w:rFonts w:ascii="Segoe UI" w:hAnsi="Segoe UI" w:eastAsia="Segoe UI" w:cs="Segoe UI"/>
          <w:b w:val="0"/>
          <w:bCs w:val="0"/>
          <w:i w:val="1"/>
          <w:iCs w:val="1"/>
          <w:noProof w:val="0"/>
          <w:sz w:val="21"/>
          <w:szCs w:val="21"/>
          <w:lang w:val="en-US"/>
        </w:rPr>
        <w:t>Journal of Consumer Research</w:t>
      </w:r>
      <w:r w:rsidRPr="058BC90B" w:rsidR="5EEF7763">
        <w:rPr>
          <w:rFonts w:ascii="Segoe UI" w:hAnsi="Segoe UI" w:eastAsia="Segoe UI" w:cs="Segoe UI"/>
          <w:b w:val="0"/>
          <w:bCs w:val="0"/>
          <w:i w:val="0"/>
          <w:iCs w:val="0"/>
          <w:noProof w:val="0"/>
          <w:sz w:val="21"/>
          <w:szCs w:val="21"/>
          <w:lang w:val="en-US"/>
        </w:rPr>
        <w:t>, 51(1), 2–6. Summarises the evolution of consumer decision‑making paradigms.</w:t>
      </w:r>
    </w:p>
    <w:p w:rsidR="5EEF7763" w:rsidP="058BC90B" w:rsidRDefault="5EEF7763" w14:paraId="54590DA7" w14:textId="2496F334">
      <w:pPr>
        <w:spacing w:before="0" w:beforeAutospacing="off" w:after="0" w:afterAutospacing="off" w:line="300" w:lineRule="auto"/>
      </w:pPr>
      <w:r w:rsidRPr="058BC90B" w:rsidR="5EEF7763">
        <w:rPr>
          <w:rFonts w:ascii="Segoe UI" w:hAnsi="Segoe UI" w:eastAsia="Segoe UI" w:cs="Segoe UI"/>
          <w:b w:val="1"/>
          <w:bCs w:val="1"/>
          <w:i w:val="0"/>
          <w:iCs w:val="0"/>
          <w:noProof w:val="0"/>
          <w:sz w:val="21"/>
          <w:szCs w:val="21"/>
          <w:lang w:val="en-US"/>
        </w:rPr>
        <w:t>Lee, A. T., Ramasamy, R. K., &amp; Subbarao, A.</w:t>
      </w:r>
      <w:r w:rsidRPr="058BC90B" w:rsidR="5EEF7763">
        <w:rPr>
          <w:rFonts w:ascii="Segoe UI" w:hAnsi="Segoe UI" w:eastAsia="Segoe UI" w:cs="Segoe UI"/>
          <w:b w:val="0"/>
          <w:bCs w:val="0"/>
          <w:i w:val="0"/>
          <w:iCs w:val="0"/>
          <w:noProof w:val="0"/>
          <w:sz w:val="21"/>
          <w:szCs w:val="21"/>
          <w:lang w:val="en-US"/>
        </w:rPr>
        <w:t xml:space="preserve"> (2025). “Understanding Psychosocial Barriers to Healthcare Technology Adoption: A Review of TAM and UTAUT Frameworks.” </w:t>
      </w:r>
      <w:r w:rsidRPr="058BC90B" w:rsidR="5EEF7763">
        <w:rPr>
          <w:rFonts w:ascii="Segoe UI" w:hAnsi="Segoe UI" w:eastAsia="Segoe UI" w:cs="Segoe UI"/>
          <w:b w:val="0"/>
          <w:bCs w:val="0"/>
          <w:i w:val="1"/>
          <w:iCs w:val="1"/>
          <w:noProof w:val="0"/>
          <w:sz w:val="21"/>
          <w:szCs w:val="21"/>
          <w:lang w:val="en-US"/>
        </w:rPr>
        <w:t>Healthcare</w:t>
      </w:r>
      <w:r w:rsidRPr="058BC90B" w:rsidR="5EEF7763">
        <w:rPr>
          <w:rFonts w:ascii="Segoe UI" w:hAnsi="Segoe UI" w:eastAsia="Segoe UI" w:cs="Segoe UI"/>
          <w:b w:val="0"/>
          <w:bCs w:val="0"/>
          <w:i w:val="0"/>
          <w:iCs w:val="0"/>
          <w:noProof w:val="0"/>
          <w:sz w:val="21"/>
          <w:szCs w:val="21"/>
          <w:lang w:val="en-US"/>
        </w:rPr>
        <w:t>, 13(3), 250. Explores TAM and UTAUT in healthcare settings.</w:t>
      </w:r>
    </w:p>
    <w:p w:rsidR="058BC90B" w:rsidP="058BC90B" w:rsidRDefault="058BC90B" w14:paraId="6D41A13E" w14:textId="71ABEB5A">
      <w:pPr>
        <w:spacing w:before="0" w:beforeAutospacing="off" w:after="0" w:afterAutospacing="off" w:line="300" w:lineRule="auto"/>
        <w:rPr>
          <w:rFonts w:ascii="Segoe UI" w:hAnsi="Segoe UI" w:eastAsia="Segoe UI" w:cs="Segoe UI"/>
          <w:b w:val="1"/>
          <w:bCs w:val="1"/>
          <w:i w:val="0"/>
          <w:iCs w:val="0"/>
          <w:noProof w:val="0"/>
          <w:sz w:val="21"/>
          <w:szCs w:val="21"/>
          <w:lang w:val="en-US"/>
        </w:rPr>
      </w:pPr>
    </w:p>
    <w:p w:rsidR="5EEF7763" w:rsidP="058BC90B" w:rsidRDefault="5EEF7763" w14:paraId="550EE38B" w14:textId="5DE2E4C1">
      <w:pPr>
        <w:spacing w:before="0" w:beforeAutospacing="off" w:after="0" w:afterAutospacing="off" w:line="300" w:lineRule="auto"/>
      </w:pPr>
      <w:r w:rsidRPr="058BC90B" w:rsidR="5EEF7763">
        <w:rPr>
          <w:rFonts w:ascii="Segoe UI" w:hAnsi="Segoe UI" w:eastAsia="Segoe UI" w:cs="Segoe UI"/>
          <w:b w:val="1"/>
          <w:bCs w:val="1"/>
          <w:i w:val="0"/>
          <w:iCs w:val="0"/>
          <w:noProof w:val="0"/>
          <w:sz w:val="21"/>
          <w:szCs w:val="21"/>
          <w:lang w:val="en-US"/>
        </w:rPr>
        <w:t>Musaa, H. G., Fatmawati, I., &amp; Suyanto, M.</w:t>
      </w:r>
      <w:r w:rsidRPr="058BC90B" w:rsidR="5EEF7763">
        <w:rPr>
          <w:rFonts w:ascii="Segoe UI" w:hAnsi="Segoe UI" w:eastAsia="Segoe UI" w:cs="Segoe UI"/>
          <w:b w:val="0"/>
          <w:bCs w:val="0"/>
          <w:i w:val="0"/>
          <w:iCs w:val="0"/>
          <w:noProof w:val="0"/>
          <w:sz w:val="21"/>
          <w:szCs w:val="21"/>
          <w:lang w:val="en-US"/>
        </w:rPr>
        <w:t xml:space="preserve"> (2024). </w:t>
      </w:r>
      <w:r w:rsidRPr="058BC90B" w:rsidR="5EEF7763">
        <w:rPr>
          <w:rFonts w:ascii="Segoe UI" w:hAnsi="Segoe UI" w:eastAsia="Segoe UI" w:cs="Segoe UI"/>
          <w:b w:val="0"/>
          <w:bCs w:val="0"/>
          <w:i w:val="1"/>
          <w:iCs w:val="1"/>
          <w:noProof w:val="0"/>
          <w:sz w:val="21"/>
          <w:szCs w:val="21"/>
          <w:lang w:val="en-US"/>
        </w:rPr>
        <w:t>Marketing Research Trends Using Technology Acceptance Model (TAM): A Comprehensive Review (2002–2022).</w:t>
      </w:r>
      <w:r w:rsidRPr="058BC90B" w:rsidR="5EEF7763">
        <w:rPr>
          <w:rFonts w:ascii="Segoe UI" w:hAnsi="Segoe UI" w:eastAsia="Segoe UI" w:cs="Segoe UI"/>
          <w:b w:val="0"/>
          <w:bCs w:val="0"/>
          <w:i w:val="0"/>
          <w:iCs w:val="0"/>
          <w:noProof w:val="0"/>
          <w:sz w:val="21"/>
          <w:szCs w:val="21"/>
          <w:lang w:val="en-US"/>
        </w:rPr>
        <w:t xml:space="preserve"> </w:t>
      </w:r>
      <w:r w:rsidRPr="058BC90B" w:rsidR="5EEF7763">
        <w:rPr>
          <w:rFonts w:ascii="Segoe UI" w:hAnsi="Segoe UI" w:eastAsia="Segoe UI" w:cs="Segoe UI"/>
          <w:b w:val="0"/>
          <w:bCs w:val="0"/>
          <w:i w:val="1"/>
          <w:iCs w:val="1"/>
          <w:noProof w:val="0"/>
          <w:sz w:val="21"/>
          <w:szCs w:val="21"/>
          <w:lang w:val="en-US"/>
        </w:rPr>
        <w:t>Cogent Business &amp; Management</w:t>
      </w:r>
      <w:r w:rsidRPr="058BC90B" w:rsidR="5EEF7763">
        <w:rPr>
          <w:rFonts w:ascii="Segoe UI" w:hAnsi="Segoe UI" w:eastAsia="Segoe UI" w:cs="Segoe UI"/>
          <w:b w:val="0"/>
          <w:bCs w:val="0"/>
          <w:i w:val="0"/>
          <w:iCs w:val="0"/>
          <w:noProof w:val="0"/>
          <w:sz w:val="21"/>
          <w:szCs w:val="21"/>
          <w:lang w:val="en-US"/>
        </w:rPr>
        <w:t>, 11(1), 2329375. Meta-analysis of TAM’s use in marketing contexts</w:t>
      </w:r>
    </w:p>
    <w:p w:rsidR="058BC90B" w:rsidP="058BC90B" w:rsidRDefault="058BC90B" w14:paraId="1B34E7D5" w14:textId="57B14E22">
      <w:pPr>
        <w:spacing w:before="0" w:beforeAutospacing="off" w:after="0" w:afterAutospacing="off"/>
        <w:rPr>
          <w:rFonts w:ascii="Aptos" w:hAnsi="Aptos" w:eastAsia="Aptos" w:cs="Aptos"/>
          <w:b w:val="0"/>
          <w:bCs w:val="0"/>
          <w:i w:val="0"/>
          <w:iCs w:val="0"/>
          <w:caps w:val="0"/>
          <w:smallCaps w:val="0"/>
          <w:strike w:val="0"/>
          <w:dstrike w:val="0"/>
          <w:noProof w:val="0"/>
          <w:sz w:val="24"/>
          <w:szCs w:val="24"/>
          <w:lang w:val="en-GB"/>
        </w:rPr>
      </w:pPr>
    </w:p>
    <w:p w:rsidR="5EEF7763" w:rsidP="058BC90B" w:rsidRDefault="5EEF7763" w14:paraId="089C49C2" w14:textId="3F9E5BFC">
      <w:pPr>
        <w:spacing w:before="0" w:beforeAutospacing="off" w:after="0" w:afterAutospacing="off" w:line="300" w:lineRule="auto"/>
      </w:pPr>
      <w:r w:rsidRPr="058BC90B" w:rsidR="5EEF7763">
        <w:rPr>
          <w:rFonts w:ascii="Segoe UI" w:hAnsi="Segoe UI" w:eastAsia="Segoe UI" w:cs="Segoe UI"/>
          <w:b w:val="0"/>
          <w:bCs w:val="0"/>
          <w:i w:val="0"/>
          <w:iCs w:val="0"/>
          <w:noProof w:val="0"/>
          <w:sz w:val="21"/>
          <w:szCs w:val="21"/>
          <w:lang w:val="en-US"/>
        </w:rPr>
        <w:t xml:space="preserve">Biswas, A., Chattopadhyaya, S., Barai, P., &amp; Samanta, P. (2024). </w:t>
      </w:r>
      <w:r w:rsidRPr="058BC90B" w:rsidR="5EEF7763">
        <w:rPr>
          <w:rFonts w:ascii="Segoe UI" w:hAnsi="Segoe UI" w:eastAsia="Segoe UI" w:cs="Segoe UI"/>
          <w:b w:val="0"/>
          <w:bCs w:val="0"/>
          <w:i w:val="1"/>
          <w:iCs w:val="1"/>
          <w:noProof w:val="0"/>
          <w:sz w:val="21"/>
          <w:szCs w:val="21"/>
          <w:lang w:val="en-US"/>
        </w:rPr>
        <w:t>Understanding the relationship between in‑store and online shopping channel choice behaviour of customers: a systematic literature review</w:t>
      </w:r>
      <w:r w:rsidRPr="058BC90B" w:rsidR="5EEF7763">
        <w:rPr>
          <w:rFonts w:ascii="Segoe UI" w:hAnsi="Segoe UI" w:eastAsia="Segoe UI" w:cs="Segoe UI"/>
          <w:b w:val="0"/>
          <w:bCs w:val="0"/>
          <w:i w:val="0"/>
          <w:iCs w:val="0"/>
          <w:noProof w:val="0"/>
          <w:sz w:val="21"/>
          <w:szCs w:val="21"/>
          <w:lang w:val="en-US"/>
        </w:rPr>
        <w:t xml:space="preserve">. </w:t>
      </w:r>
      <w:r w:rsidRPr="058BC90B" w:rsidR="5EEF7763">
        <w:rPr>
          <w:rFonts w:ascii="Segoe UI" w:hAnsi="Segoe UI" w:eastAsia="Segoe UI" w:cs="Segoe UI"/>
          <w:b w:val="0"/>
          <w:bCs w:val="0"/>
          <w:i w:val="1"/>
          <w:iCs w:val="1"/>
          <w:noProof w:val="0"/>
          <w:sz w:val="21"/>
          <w:szCs w:val="21"/>
          <w:lang w:val="en-US"/>
        </w:rPr>
        <w:t>Cogent Business &amp; Management, 11</w:t>
      </w:r>
      <w:r w:rsidRPr="058BC90B" w:rsidR="5EEF7763">
        <w:rPr>
          <w:rFonts w:ascii="Segoe UI" w:hAnsi="Segoe UI" w:eastAsia="Segoe UI" w:cs="Segoe UI"/>
          <w:b w:val="0"/>
          <w:bCs w:val="0"/>
          <w:i w:val="0"/>
          <w:iCs w:val="0"/>
          <w:noProof w:val="0"/>
          <w:sz w:val="21"/>
          <w:szCs w:val="21"/>
          <w:lang w:val="en-US"/>
        </w:rPr>
        <w:t>(1), 2402510. This review explores customer motivations, channel accessibility, socio-economic influences, and product attributes in guiding shopping channel choice</w:t>
      </w:r>
    </w:p>
    <w:p w:rsidR="058BC90B" w:rsidP="058BC90B" w:rsidRDefault="058BC90B" w14:paraId="79FD93A2" w14:textId="5E5139F6">
      <w:pPr>
        <w:spacing w:before="0" w:beforeAutospacing="off" w:after="0" w:afterAutospacing="off" w:line="300" w:lineRule="auto"/>
        <w:rPr>
          <w:rFonts w:ascii="Segoe UI" w:hAnsi="Segoe UI" w:eastAsia="Segoe UI" w:cs="Segoe UI"/>
          <w:b w:val="0"/>
          <w:bCs w:val="0"/>
          <w:i w:val="0"/>
          <w:iCs w:val="0"/>
          <w:noProof w:val="0"/>
          <w:sz w:val="21"/>
          <w:szCs w:val="21"/>
          <w:lang w:val="en-US"/>
        </w:rPr>
      </w:pPr>
    </w:p>
    <w:p w:rsidR="5EEF7763" w:rsidP="058BC90B" w:rsidRDefault="5EEF7763" w14:paraId="73D1B661" w14:textId="65A0F93E">
      <w:pPr>
        <w:spacing w:before="0" w:beforeAutospacing="off" w:after="0" w:afterAutospacing="off" w:line="300" w:lineRule="auto"/>
      </w:pPr>
      <w:r w:rsidRPr="058BC90B" w:rsidR="5EEF7763">
        <w:rPr>
          <w:rFonts w:ascii="Segoe UI" w:hAnsi="Segoe UI" w:eastAsia="Segoe UI" w:cs="Segoe UI"/>
          <w:b w:val="0"/>
          <w:bCs w:val="0"/>
          <w:i w:val="0"/>
          <w:iCs w:val="0"/>
          <w:noProof w:val="0"/>
          <w:sz w:val="21"/>
          <w:szCs w:val="21"/>
          <w:lang w:val="en-US"/>
        </w:rPr>
        <w:t xml:space="preserve">Podkalicka, A., &amp; Fredriksson, M. (2023). </w:t>
      </w:r>
      <w:r w:rsidRPr="058BC90B" w:rsidR="5EEF7763">
        <w:rPr>
          <w:rFonts w:ascii="Segoe UI" w:hAnsi="Segoe UI" w:eastAsia="Segoe UI" w:cs="Segoe UI"/>
          <w:b w:val="0"/>
          <w:bCs w:val="0"/>
          <w:i w:val="1"/>
          <w:iCs w:val="1"/>
          <w:noProof w:val="0"/>
          <w:sz w:val="21"/>
          <w:szCs w:val="21"/>
          <w:lang w:val="en-US"/>
        </w:rPr>
        <w:t>Mediatised marketplaces: Platforms, places, and strategies for trading material goods in digital economies</w:t>
      </w:r>
      <w:r w:rsidRPr="058BC90B" w:rsidR="5EEF7763">
        <w:rPr>
          <w:rFonts w:ascii="Segoe UI" w:hAnsi="Segoe UI" w:eastAsia="Segoe UI" w:cs="Segoe UI"/>
          <w:b w:val="0"/>
          <w:bCs w:val="0"/>
          <w:i w:val="0"/>
          <w:iCs w:val="0"/>
          <w:noProof w:val="0"/>
          <w:sz w:val="21"/>
          <w:szCs w:val="21"/>
          <w:lang w:val="en-US"/>
        </w:rPr>
        <w:t xml:space="preserve">. </w:t>
      </w:r>
      <w:r w:rsidRPr="058BC90B" w:rsidR="5EEF7763">
        <w:rPr>
          <w:rFonts w:ascii="Segoe UI" w:hAnsi="Segoe UI" w:eastAsia="Segoe UI" w:cs="Segoe UI"/>
          <w:b w:val="0"/>
          <w:bCs w:val="0"/>
          <w:i w:val="1"/>
          <w:iCs w:val="1"/>
          <w:noProof w:val="0"/>
          <w:sz w:val="21"/>
          <w:szCs w:val="21"/>
          <w:lang w:val="en-US"/>
        </w:rPr>
        <w:t>Convergence: The International Journal of Research into New Media Technologies, 29</w:t>
      </w:r>
      <w:r w:rsidRPr="058BC90B" w:rsidR="5EEF7763">
        <w:rPr>
          <w:rFonts w:ascii="Segoe UI" w:hAnsi="Segoe UI" w:eastAsia="Segoe UI" w:cs="Segoe UI"/>
          <w:b w:val="0"/>
          <w:bCs w:val="0"/>
          <w:i w:val="0"/>
          <w:iCs w:val="0"/>
          <w:noProof w:val="0"/>
          <w:sz w:val="21"/>
          <w:szCs w:val="21"/>
          <w:lang w:val="en-US"/>
        </w:rPr>
        <w:t>(5), 1352–1368. Investigates digital marketplace design, local identity, and logistic–media interplay across platforms like Facebook Marketplace.</w:t>
      </w:r>
    </w:p>
    <w:p w:rsidR="058BC90B" w:rsidP="058BC90B" w:rsidRDefault="058BC90B" w14:paraId="2EABC141" w14:textId="1C9127F1">
      <w:pPr>
        <w:spacing w:before="0" w:beforeAutospacing="off" w:after="0" w:afterAutospacing="off" w:line="300" w:lineRule="auto"/>
        <w:rPr>
          <w:rFonts w:ascii="Segoe UI" w:hAnsi="Segoe UI" w:eastAsia="Segoe UI" w:cs="Segoe UI"/>
          <w:b w:val="0"/>
          <w:bCs w:val="0"/>
          <w:i w:val="0"/>
          <w:iCs w:val="0"/>
          <w:noProof w:val="0"/>
          <w:sz w:val="21"/>
          <w:szCs w:val="21"/>
          <w:lang w:val="en-US"/>
        </w:rPr>
      </w:pPr>
    </w:p>
    <w:p w:rsidR="5EEF7763" w:rsidP="058BC90B" w:rsidRDefault="5EEF7763" w14:paraId="39FEF533" w14:textId="11913A9D">
      <w:pPr>
        <w:spacing w:before="0" w:beforeAutospacing="off" w:after="0" w:afterAutospacing="off" w:line="300" w:lineRule="auto"/>
      </w:pPr>
      <w:r w:rsidRPr="058BC90B" w:rsidR="5EEF7763">
        <w:rPr>
          <w:rFonts w:ascii="Segoe UI" w:hAnsi="Segoe UI" w:eastAsia="Segoe UI" w:cs="Segoe UI"/>
          <w:b w:val="0"/>
          <w:bCs w:val="0"/>
          <w:i w:val="0"/>
          <w:iCs w:val="0"/>
          <w:noProof w:val="0"/>
          <w:sz w:val="21"/>
          <w:szCs w:val="21"/>
          <w:lang w:val="en-US"/>
        </w:rPr>
        <w:t xml:space="preserve">Mu, W., &amp; Yi, Y. (2024). </w:t>
      </w:r>
      <w:r w:rsidRPr="058BC90B" w:rsidR="5EEF7763">
        <w:rPr>
          <w:rFonts w:ascii="Segoe UI" w:hAnsi="Segoe UI" w:eastAsia="Segoe UI" w:cs="Segoe UI"/>
          <w:b w:val="0"/>
          <w:bCs w:val="0"/>
          <w:i w:val="1"/>
          <w:iCs w:val="1"/>
          <w:noProof w:val="0"/>
          <w:sz w:val="21"/>
          <w:szCs w:val="21"/>
          <w:lang w:val="en-US"/>
        </w:rPr>
        <w:t>The impact of characteristic factors of the direct‑to‑consumer marketing model on consumer loyalty in the digital intermediary era</w:t>
      </w:r>
      <w:r w:rsidRPr="058BC90B" w:rsidR="5EEF7763">
        <w:rPr>
          <w:rFonts w:ascii="Segoe UI" w:hAnsi="Segoe UI" w:eastAsia="Segoe UI" w:cs="Segoe UI"/>
          <w:b w:val="0"/>
          <w:bCs w:val="0"/>
          <w:i w:val="0"/>
          <w:iCs w:val="0"/>
          <w:noProof w:val="0"/>
          <w:sz w:val="21"/>
          <w:szCs w:val="21"/>
          <w:lang w:val="en-US"/>
        </w:rPr>
        <w:t xml:space="preserve">. </w:t>
      </w:r>
      <w:r w:rsidRPr="058BC90B" w:rsidR="5EEF7763">
        <w:rPr>
          <w:rFonts w:ascii="Segoe UI" w:hAnsi="Segoe UI" w:eastAsia="Segoe UI" w:cs="Segoe UI"/>
          <w:b w:val="0"/>
          <w:bCs w:val="0"/>
          <w:i w:val="1"/>
          <w:iCs w:val="1"/>
          <w:noProof w:val="0"/>
          <w:sz w:val="21"/>
          <w:szCs w:val="21"/>
          <w:lang w:val="en-US"/>
        </w:rPr>
        <w:t>Frontiers in Psychology, 15</w:t>
      </w:r>
      <w:r w:rsidRPr="058BC90B" w:rsidR="5EEF7763">
        <w:rPr>
          <w:rFonts w:ascii="Segoe UI" w:hAnsi="Segoe UI" w:eastAsia="Segoe UI" w:cs="Segoe UI"/>
          <w:b w:val="0"/>
          <w:bCs w:val="0"/>
          <w:i w:val="0"/>
          <w:iCs w:val="0"/>
          <w:noProof w:val="0"/>
          <w:sz w:val="21"/>
          <w:szCs w:val="21"/>
          <w:lang w:val="en-US"/>
        </w:rPr>
        <w:t>, Article 1347588. Use the SOR model to analyze how social media marketing, product features, and channel integration affect loyalty in DTC settings.</w:t>
      </w:r>
    </w:p>
    <w:p w:rsidR="5EEF7763" w:rsidP="058BC90B" w:rsidRDefault="5EEF7763" w14:paraId="3004A053" w14:textId="03D4822E">
      <w:pPr>
        <w:pStyle w:val="Normal"/>
        <w:spacing w:before="210" w:beforeAutospacing="off" w:after="210" w:afterAutospacing="off" w:line="300" w:lineRule="auto"/>
        <w:ind w:left="0"/>
        <w:rPr>
          <w:rFonts w:ascii="Segoe UI" w:hAnsi="Segoe UI" w:eastAsia="Segoe UI" w:cs="Segoe UI"/>
          <w:b w:val="0"/>
          <w:bCs w:val="0"/>
          <w:i w:val="0"/>
          <w:iCs w:val="0"/>
          <w:noProof w:val="0"/>
          <w:sz w:val="21"/>
          <w:szCs w:val="21"/>
          <w:lang w:val="en-US"/>
        </w:rPr>
      </w:pPr>
      <w:r w:rsidRPr="058BC90B" w:rsidR="5EEF7763">
        <w:rPr>
          <w:rFonts w:ascii="Segoe UI" w:hAnsi="Segoe UI" w:eastAsia="Segoe UI" w:cs="Segoe UI"/>
          <w:b w:val="1"/>
          <w:bCs w:val="1"/>
          <w:i w:val="0"/>
          <w:iCs w:val="0"/>
          <w:noProof w:val="0"/>
          <w:sz w:val="21"/>
          <w:szCs w:val="21"/>
          <w:lang w:val="en-US"/>
        </w:rPr>
        <w:t>Dwivedi, Y. K., et al.</w:t>
      </w:r>
      <w:r w:rsidRPr="058BC90B" w:rsidR="5EEF7763">
        <w:rPr>
          <w:rFonts w:ascii="Segoe UI" w:hAnsi="Segoe UI" w:eastAsia="Segoe UI" w:cs="Segoe UI"/>
          <w:b w:val="0"/>
          <w:bCs w:val="0"/>
          <w:i w:val="0"/>
          <w:iCs w:val="0"/>
          <w:noProof w:val="0"/>
          <w:sz w:val="21"/>
          <w:szCs w:val="21"/>
          <w:lang w:val="en-US"/>
        </w:rPr>
        <w:t xml:space="preserve"> (2021). </w:t>
      </w:r>
      <w:r w:rsidRPr="058BC90B" w:rsidR="5EEF7763">
        <w:rPr>
          <w:rFonts w:ascii="Segoe UI" w:hAnsi="Segoe UI" w:eastAsia="Segoe UI" w:cs="Segoe UI"/>
          <w:b w:val="0"/>
          <w:bCs w:val="0"/>
          <w:i w:val="1"/>
          <w:iCs w:val="1"/>
          <w:noProof w:val="0"/>
          <w:sz w:val="21"/>
          <w:szCs w:val="21"/>
          <w:lang w:val="en-US"/>
        </w:rPr>
        <w:t>Setting the future of digital and social media marketing research: Perspectives and research propositions.</w:t>
      </w:r>
      <w:r w:rsidRPr="058BC90B" w:rsidR="5EEF7763">
        <w:rPr>
          <w:rFonts w:ascii="Segoe UI" w:hAnsi="Segoe UI" w:eastAsia="Segoe UI" w:cs="Segoe UI"/>
          <w:b w:val="0"/>
          <w:bCs w:val="0"/>
          <w:i w:val="0"/>
          <w:iCs w:val="0"/>
          <w:noProof w:val="0"/>
          <w:sz w:val="21"/>
          <w:szCs w:val="21"/>
          <w:lang w:val="en-US"/>
        </w:rPr>
        <w:t xml:space="preserve"> </w:t>
      </w:r>
      <w:r w:rsidRPr="058BC90B" w:rsidR="5EEF7763">
        <w:rPr>
          <w:rFonts w:ascii="Segoe UI" w:hAnsi="Segoe UI" w:eastAsia="Segoe UI" w:cs="Segoe UI"/>
          <w:b w:val="0"/>
          <w:bCs w:val="0"/>
          <w:i w:val="1"/>
          <w:iCs w:val="1"/>
          <w:noProof w:val="0"/>
          <w:sz w:val="21"/>
          <w:szCs w:val="21"/>
          <w:lang w:val="en-US"/>
        </w:rPr>
        <w:t>Journal of Business Research, 125</w:t>
      </w:r>
      <w:r w:rsidRPr="058BC90B" w:rsidR="5EEF7763">
        <w:rPr>
          <w:rFonts w:ascii="Segoe UI" w:hAnsi="Segoe UI" w:eastAsia="Segoe UI" w:cs="Segoe UI"/>
          <w:b w:val="0"/>
          <w:bCs w:val="0"/>
          <w:i w:val="0"/>
          <w:iCs w:val="0"/>
          <w:noProof w:val="0"/>
          <w:sz w:val="21"/>
          <w:szCs w:val="21"/>
          <w:lang w:val="en-US"/>
        </w:rPr>
        <w:t>, 889–901.</w:t>
      </w:r>
      <w:r>
        <w:br/>
      </w:r>
      <w:r w:rsidRPr="058BC90B" w:rsidR="5EEF7763">
        <w:rPr>
          <w:rFonts w:ascii="Segoe UI" w:hAnsi="Segoe UI" w:eastAsia="Segoe UI" w:cs="Segoe UI"/>
          <w:b w:val="0"/>
          <w:bCs w:val="0"/>
          <w:i w:val="0"/>
          <w:iCs w:val="0"/>
          <w:noProof w:val="0"/>
          <w:sz w:val="21"/>
          <w:szCs w:val="21"/>
          <w:lang w:val="en-US"/>
        </w:rPr>
        <w:t xml:space="preserve"> → Identifies emerging areas in digital marketing and wearable tech adoption that remain underexplored.</w:t>
      </w:r>
    </w:p>
    <w:p w:rsidR="5EEF7763" w:rsidP="058BC90B" w:rsidRDefault="5EEF7763" w14:paraId="5FFCC777" w14:textId="0911096C">
      <w:pPr>
        <w:pStyle w:val="Normal"/>
        <w:spacing w:before="210" w:beforeAutospacing="off" w:after="210" w:afterAutospacing="off" w:line="300" w:lineRule="auto"/>
        <w:ind w:left="0"/>
        <w:rPr>
          <w:rFonts w:ascii="Segoe UI" w:hAnsi="Segoe UI" w:eastAsia="Segoe UI" w:cs="Segoe UI"/>
          <w:b w:val="0"/>
          <w:bCs w:val="0"/>
          <w:i w:val="0"/>
          <w:iCs w:val="0"/>
          <w:noProof w:val="0"/>
          <w:sz w:val="21"/>
          <w:szCs w:val="21"/>
          <w:lang w:val="en-US"/>
        </w:rPr>
      </w:pPr>
      <w:r w:rsidRPr="058BC90B" w:rsidR="5EEF7763">
        <w:rPr>
          <w:rFonts w:ascii="Segoe UI" w:hAnsi="Segoe UI" w:eastAsia="Segoe UI" w:cs="Segoe UI"/>
          <w:b w:val="1"/>
          <w:bCs w:val="1"/>
          <w:i w:val="0"/>
          <w:iCs w:val="0"/>
          <w:noProof w:val="0"/>
          <w:sz w:val="21"/>
          <w:szCs w:val="21"/>
          <w:lang w:val="en-US"/>
        </w:rPr>
        <w:t>Liu, Y., &amp; Yang, Y.</w:t>
      </w:r>
      <w:r w:rsidRPr="058BC90B" w:rsidR="5EEF7763">
        <w:rPr>
          <w:rFonts w:ascii="Segoe UI" w:hAnsi="Segoe UI" w:eastAsia="Segoe UI" w:cs="Segoe UI"/>
          <w:b w:val="0"/>
          <w:bCs w:val="0"/>
          <w:i w:val="0"/>
          <w:iCs w:val="0"/>
          <w:noProof w:val="0"/>
          <w:sz w:val="21"/>
          <w:szCs w:val="21"/>
          <w:lang w:val="en-US"/>
        </w:rPr>
        <w:t xml:space="preserve"> (2022). </w:t>
      </w:r>
      <w:r w:rsidRPr="058BC90B" w:rsidR="5EEF7763">
        <w:rPr>
          <w:rFonts w:ascii="Segoe UI" w:hAnsi="Segoe UI" w:eastAsia="Segoe UI" w:cs="Segoe UI"/>
          <w:b w:val="0"/>
          <w:bCs w:val="0"/>
          <w:i w:val="1"/>
          <w:iCs w:val="1"/>
          <w:noProof w:val="0"/>
          <w:sz w:val="21"/>
          <w:szCs w:val="21"/>
          <w:lang w:val="en-US"/>
        </w:rPr>
        <w:t>Exploring research gaps in consumer technology adoption: A systematic review.</w:t>
      </w:r>
      <w:r w:rsidRPr="058BC90B" w:rsidR="5EEF7763">
        <w:rPr>
          <w:rFonts w:ascii="Segoe UI" w:hAnsi="Segoe UI" w:eastAsia="Segoe UI" w:cs="Segoe UI"/>
          <w:b w:val="0"/>
          <w:bCs w:val="0"/>
          <w:i w:val="0"/>
          <w:iCs w:val="0"/>
          <w:noProof w:val="0"/>
          <w:sz w:val="21"/>
          <w:szCs w:val="21"/>
          <w:lang w:val="en-US"/>
        </w:rPr>
        <w:t xml:space="preserve"> </w:t>
      </w:r>
      <w:r w:rsidRPr="058BC90B" w:rsidR="5EEF7763">
        <w:rPr>
          <w:rFonts w:ascii="Segoe UI" w:hAnsi="Segoe UI" w:eastAsia="Segoe UI" w:cs="Segoe UI"/>
          <w:b w:val="0"/>
          <w:bCs w:val="0"/>
          <w:i w:val="1"/>
          <w:iCs w:val="1"/>
          <w:noProof w:val="0"/>
          <w:sz w:val="21"/>
          <w:szCs w:val="21"/>
          <w:lang w:val="en-US"/>
        </w:rPr>
        <w:t>Technological Forecasting and Social Change, 174</w:t>
      </w:r>
      <w:r w:rsidRPr="058BC90B" w:rsidR="5EEF7763">
        <w:rPr>
          <w:rFonts w:ascii="Segoe UI" w:hAnsi="Segoe UI" w:eastAsia="Segoe UI" w:cs="Segoe UI"/>
          <w:b w:val="0"/>
          <w:bCs w:val="0"/>
          <w:i w:val="0"/>
          <w:iCs w:val="0"/>
          <w:noProof w:val="0"/>
          <w:sz w:val="21"/>
          <w:szCs w:val="21"/>
          <w:lang w:val="en-US"/>
        </w:rPr>
        <w:t>, 121–136.</w:t>
      </w:r>
      <w:r>
        <w:br/>
      </w:r>
      <w:r w:rsidRPr="058BC90B" w:rsidR="5EEF7763">
        <w:rPr>
          <w:rFonts w:ascii="Segoe UI" w:hAnsi="Segoe UI" w:eastAsia="Segoe UI" w:cs="Segoe UI"/>
          <w:b w:val="0"/>
          <w:bCs w:val="0"/>
          <w:i w:val="0"/>
          <w:iCs w:val="0"/>
          <w:noProof w:val="0"/>
          <w:sz w:val="21"/>
          <w:szCs w:val="21"/>
          <w:lang w:val="en-US"/>
        </w:rPr>
        <w:t xml:space="preserve"> → Highlights gaps in behavioral and cultural factors influencing the adoption of smart devices.</w:t>
      </w:r>
    </w:p>
    <w:p w:rsidR="058BC90B" w:rsidP="058BC90B" w:rsidRDefault="058BC90B" w14:paraId="54DE87AA" w14:textId="72051CC1">
      <w:pPr>
        <w:pStyle w:val="Normal"/>
        <w:rPr>
          <w:rFonts w:ascii="Aptos" w:hAnsi="Aptos" w:eastAsia="Aptos" w:cs="Aptos"/>
          <w:noProof w:val="0"/>
          <w:sz w:val="24"/>
          <w:szCs w:val="24"/>
          <w:lang w:val="en-US"/>
        </w:rPr>
      </w:pPr>
    </w:p>
    <w:p w:rsidR="5EEF7763" w:rsidP="058BC90B" w:rsidRDefault="5EEF7763" w14:paraId="7D06886D" w14:textId="61CE3936">
      <w:pPr>
        <w:pStyle w:val="Normal"/>
        <w:spacing w:before="210" w:beforeAutospacing="off" w:after="210" w:afterAutospacing="off" w:line="300" w:lineRule="auto"/>
        <w:ind w:left="0"/>
        <w:rPr>
          <w:rFonts w:ascii="Segoe UI" w:hAnsi="Segoe UI" w:eastAsia="Segoe UI" w:cs="Segoe UI"/>
          <w:b w:val="0"/>
          <w:bCs w:val="0"/>
          <w:i w:val="0"/>
          <w:iCs w:val="0"/>
          <w:noProof w:val="0"/>
          <w:sz w:val="21"/>
          <w:szCs w:val="21"/>
          <w:lang w:val="en-US"/>
        </w:rPr>
      </w:pPr>
      <w:r w:rsidRPr="058BC90B" w:rsidR="5EEF7763">
        <w:rPr>
          <w:rFonts w:ascii="Segoe UI" w:hAnsi="Segoe UI" w:eastAsia="Segoe UI" w:cs="Segoe UI"/>
          <w:b w:val="1"/>
          <w:bCs w:val="1"/>
          <w:i w:val="0"/>
          <w:iCs w:val="0"/>
          <w:noProof w:val="0"/>
          <w:sz w:val="21"/>
          <w:szCs w:val="21"/>
          <w:lang w:val="en-US"/>
        </w:rPr>
        <w:t>Köhler, C., et al.</w:t>
      </w:r>
      <w:r w:rsidRPr="058BC90B" w:rsidR="5EEF7763">
        <w:rPr>
          <w:rFonts w:ascii="Segoe UI" w:hAnsi="Segoe UI" w:eastAsia="Segoe UI" w:cs="Segoe UI"/>
          <w:b w:val="0"/>
          <w:bCs w:val="0"/>
          <w:i w:val="0"/>
          <w:iCs w:val="0"/>
          <w:noProof w:val="0"/>
          <w:sz w:val="21"/>
          <w:szCs w:val="21"/>
          <w:lang w:val="en-US"/>
        </w:rPr>
        <w:t xml:space="preserve"> (2024). </w:t>
      </w:r>
      <w:r w:rsidRPr="058BC90B" w:rsidR="5EEF7763">
        <w:rPr>
          <w:rFonts w:ascii="Segoe UI" w:hAnsi="Segoe UI" w:eastAsia="Segoe UI" w:cs="Segoe UI"/>
          <w:b w:val="0"/>
          <w:bCs w:val="0"/>
          <w:i w:val="1"/>
          <w:iCs w:val="1"/>
          <w:noProof w:val="0"/>
          <w:sz w:val="21"/>
          <w:szCs w:val="21"/>
          <w:lang w:val="en-US"/>
        </w:rPr>
        <w:t>The Value of Smartwatches in the Health Care Sector for Monitoring, Nudging, and Predicting: Viewpoint on 25 Years of Research.</w:t>
      </w:r>
      <w:r w:rsidRPr="058BC90B" w:rsidR="5EEF7763">
        <w:rPr>
          <w:rFonts w:ascii="Segoe UI" w:hAnsi="Segoe UI" w:eastAsia="Segoe UI" w:cs="Segoe UI"/>
          <w:b w:val="0"/>
          <w:bCs w:val="0"/>
          <w:i w:val="0"/>
          <w:iCs w:val="0"/>
          <w:noProof w:val="0"/>
          <w:sz w:val="21"/>
          <w:szCs w:val="21"/>
          <w:lang w:val="en-US"/>
        </w:rPr>
        <w:t xml:space="preserve"> </w:t>
      </w:r>
      <w:r w:rsidRPr="058BC90B" w:rsidR="5EEF7763">
        <w:rPr>
          <w:rFonts w:ascii="Segoe UI" w:hAnsi="Segoe UI" w:eastAsia="Segoe UI" w:cs="Segoe UI"/>
          <w:b w:val="0"/>
          <w:bCs w:val="0"/>
          <w:i w:val="1"/>
          <w:iCs w:val="1"/>
          <w:noProof w:val="0"/>
          <w:sz w:val="21"/>
          <w:szCs w:val="21"/>
          <w:lang w:val="en-US"/>
        </w:rPr>
        <w:t>Journal of Medical Internet Research, 26</w:t>
      </w:r>
      <w:r w:rsidRPr="058BC90B" w:rsidR="5EEF7763">
        <w:rPr>
          <w:rFonts w:ascii="Segoe UI" w:hAnsi="Segoe UI" w:eastAsia="Segoe UI" w:cs="Segoe UI"/>
          <w:b w:val="0"/>
          <w:bCs w:val="0"/>
          <w:i w:val="0"/>
          <w:iCs w:val="0"/>
          <w:noProof w:val="0"/>
          <w:sz w:val="21"/>
          <w:szCs w:val="21"/>
          <w:lang w:val="en-US"/>
        </w:rPr>
        <w:t>, e58936.</w:t>
      </w:r>
      <w:r>
        <w:br/>
      </w:r>
      <w:r w:rsidRPr="058BC90B" w:rsidR="5EEF7763">
        <w:rPr>
          <w:rFonts w:ascii="Segoe UI" w:hAnsi="Segoe UI" w:eastAsia="Segoe UI" w:cs="Segoe UI"/>
          <w:b w:val="0"/>
          <w:bCs w:val="0"/>
          <w:i w:val="0"/>
          <w:iCs w:val="0"/>
          <w:noProof w:val="0"/>
          <w:sz w:val="21"/>
          <w:szCs w:val="21"/>
          <w:lang w:val="en-US"/>
        </w:rPr>
        <w:t xml:space="preserve"> → Discusses methodological limitations and lack of longitudinal studies in smartwatch research.</w:t>
      </w:r>
    </w:p>
    <w:p w:rsidR="5EEF7763" w:rsidP="058BC90B" w:rsidRDefault="5EEF7763" w14:paraId="5494463E" w14:textId="51A40748">
      <w:pPr>
        <w:pStyle w:val="Normal"/>
        <w:spacing w:before="210" w:beforeAutospacing="off" w:after="210" w:afterAutospacing="off" w:line="300" w:lineRule="auto"/>
        <w:ind w:left="0"/>
        <w:rPr>
          <w:rFonts w:ascii="Segoe UI" w:hAnsi="Segoe UI" w:eastAsia="Segoe UI" w:cs="Segoe UI"/>
          <w:b w:val="0"/>
          <w:bCs w:val="0"/>
          <w:i w:val="0"/>
          <w:iCs w:val="0"/>
          <w:noProof w:val="0"/>
          <w:sz w:val="21"/>
          <w:szCs w:val="21"/>
          <w:lang w:val="en-US"/>
        </w:rPr>
      </w:pPr>
      <w:r w:rsidRPr="058BC90B" w:rsidR="5EEF7763">
        <w:rPr>
          <w:rFonts w:ascii="Segoe UI" w:hAnsi="Segoe UI" w:eastAsia="Segoe UI" w:cs="Segoe UI"/>
          <w:b w:val="1"/>
          <w:bCs w:val="1"/>
          <w:i w:val="0"/>
          <w:iCs w:val="0"/>
          <w:noProof w:val="0"/>
          <w:sz w:val="21"/>
          <w:szCs w:val="21"/>
          <w:lang w:val="en-US"/>
        </w:rPr>
        <w:t>Kumar, A., et al.</w:t>
      </w:r>
      <w:r w:rsidRPr="058BC90B" w:rsidR="5EEF7763">
        <w:rPr>
          <w:rFonts w:ascii="Segoe UI" w:hAnsi="Segoe UI" w:eastAsia="Segoe UI" w:cs="Segoe UI"/>
          <w:b w:val="0"/>
          <w:bCs w:val="0"/>
          <w:i w:val="0"/>
          <w:iCs w:val="0"/>
          <w:noProof w:val="0"/>
          <w:sz w:val="21"/>
          <w:szCs w:val="21"/>
          <w:lang w:val="en-US"/>
        </w:rPr>
        <w:t xml:space="preserve"> (2024). </w:t>
      </w:r>
      <w:r w:rsidRPr="058BC90B" w:rsidR="5EEF7763">
        <w:rPr>
          <w:rFonts w:ascii="Segoe UI" w:hAnsi="Segoe UI" w:eastAsia="Segoe UI" w:cs="Segoe UI"/>
          <w:b w:val="0"/>
          <w:bCs w:val="0"/>
          <w:i w:val="1"/>
          <w:iCs w:val="1"/>
          <w:noProof w:val="0"/>
          <w:sz w:val="21"/>
          <w:szCs w:val="21"/>
          <w:lang w:val="en-US"/>
        </w:rPr>
        <w:t>Customer adoption of smartwatches – a privacy calculus perspective.</w:t>
      </w:r>
      <w:r w:rsidRPr="058BC90B" w:rsidR="5EEF7763">
        <w:rPr>
          <w:rFonts w:ascii="Segoe UI" w:hAnsi="Segoe UI" w:eastAsia="Segoe UI" w:cs="Segoe UI"/>
          <w:b w:val="0"/>
          <w:bCs w:val="0"/>
          <w:i w:val="0"/>
          <w:iCs w:val="0"/>
          <w:noProof w:val="0"/>
          <w:sz w:val="21"/>
          <w:szCs w:val="21"/>
          <w:lang w:val="en-US"/>
        </w:rPr>
        <w:t xml:space="preserve"> </w:t>
      </w:r>
      <w:r w:rsidRPr="058BC90B" w:rsidR="5EEF7763">
        <w:rPr>
          <w:rFonts w:ascii="Segoe UI" w:hAnsi="Segoe UI" w:eastAsia="Segoe UI" w:cs="Segoe UI"/>
          <w:b w:val="0"/>
          <w:bCs w:val="0"/>
          <w:i w:val="1"/>
          <w:iCs w:val="1"/>
          <w:noProof w:val="0"/>
          <w:sz w:val="21"/>
          <w:szCs w:val="21"/>
          <w:lang w:val="en-US"/>
        </w:rPr>
        <w:t>Rajagiri Management Journal, 19</w:t>
      </w:r>
      <w:r w:rsidRPr="058BC90B" w:rsidR="5EEF7763">
        <w:rPr>
          <w:rFonts w:ascii="Segoe UI" w:hAnsi="Segoe UI" w:eastAsia="Segoe UI" w:cs="Segoe UI"/>
          <w:b w:val="0"/>
          <w:bCs w:val="0"/>
          <w:i w:val="0"/>
          <w:iCs w:val="0"/>
          <w:noProof w:val="0"/>
          <w:sz w:val="21"/>
          <w:szCs w:val="21"/>
          <w:lang w:val="en-US"/>
        </w:rPr>
        <w:t>(1), 18–29.</w:t>
      </w:r>
      <w:r>
        <w:br/>
      </w:r>
      <w:r w:rsidRPr="058BC90B" w:rsidR="5EEF7763">
        <w:rPr>
          <w:rFonts w:ascii="Segoe UI" w:hAnsi="Segoe UI" w:eastAsia="Segoe UI" w:cs="Segoe UI"/>
          <w:b w:val="0"/>
          <w:bCs w:val="0"/>
          <w:i w:val="0"/>
          <w:iCs w:val="0"/>
          <w:noProof w:val="0"/>
          <w:sz w:val="21"/>
          <w:szCs w:val="21"/>
          <w:lang w:val="en-US"/>
        </w:rPr>
        <w:t xml:space="preserve"> → Notes limitations in generalizability and cultural diversity in existing adoption studies.</w:t>
      </w:r>
    </w:p>
    <w:p w:rsidR="058BC90B" w:rsidP="058BC90B" w:rsidRDefault="058BC90B" w14:paraId="04AAC846" w14:textId="48975584">
      <w:pPr>
        <w:pStyle w:val="Normal"/>
        <w:rPr>
          <w:rFonts w:ascii="Aptos" w:hAnsi="Aptos" w:eastAsia="Aptos" w:cs="Aptos"/>
          <w:noProof w:val="0"/>
          <w:sz w:val="24"/>
          <w:szCs w:val="24"/>
          <w:lang w:val="en-US"/>
        </w:rPr>
      </w:pPr>
    </w:p>
    <w:p w:rsidR="058BC90B" w:rsidP="058BC90B" w:rsidRDefault="058BC90B" w14:paraId="1B2EB143" w14:textId="0EC552AF">
      <w:pPr>
        <w:pStyle w:val="Normal"/>
        <w:spacing w:before="0" w:beforeAutospacing="off" w:after="0" w:afterAutospacing="off"/>
        <w:ind w:left="0"/>
        <w:rPr>
          <w:rFonts w:ascii="Aptos" w:hAnsi="Aptos" w:eastAsia="Aptos" w:cs="Aptos"/>
          <w:noProof w:val="0"/>
          <w:sz w:val="24"/>
          <w:szCs w:val="24"/>
          <w:lang w:val="en-US"/>
        </w:rPr>
      </w:pPr>
    </w:p>
    <w:p w:rsidR="058BC90B" w:rsidRDefault="058BC90B" w14:paraId="16C81B16" w14:textId="17EAF179"/>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woiXynqmeJhmhI" int2:id="Qvf7LwWI">
      <int2:state int2:type="spell" int2:value="Rejected"/>
    </int2:textHash>
    <int2:textHash int2:hashCode="he63FlBb7021aV" int2:id="wQU0IYHl">
      <int2:state int2:type="spell" int2:value="Rejected"/>
    </int2:textHash>
    <int2:textHash int2:hashCode="9FM77+moEEqQpa" int2:id="kgkivZ5B">
      <int2:state int2:type="spell" int2:value="Rejected"/>
    </int2:textHash>
    <int2:bookmark int2:bookmarkName="_Int_N74Lgisf" int2:invalidationBookmarkName="" int2:hashCode="S6stj+E/pqtX+A" int2:id="FH4PIm3z">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6">
    <w:nsid w:val="d0f217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5945d4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f1849b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f93998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b5415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3de2fa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B8FF6A0"/>
    <w:rsid w:val="01D8ACC6"/>
    <w:rsid w:val="02A5BD02"/>
    <w:rsid w:val="02AE40AB"/>
    <w:rsid w:val="03885CFD"/>
    <w:rsid w:val="0444835D"/>
    <w:rsid w:val="04E9D1DC"/>
    <w:rsid w:val="05634411"/>
    <w:rsid w:val="058BC90B"/>
    <w:rsid w:val="0767B47B"/>
    <w:rsid w:val="07839F76"/>
    <w:rsid w:val="096FC014"/>
    <w:rsid w:val="09FDFAD3"/>
    <w:rsid w:val="0A0C0E4F"/>
    <w:rsid w:val="0A0CAB00"/>
    <w:rsid w:val="0D5B8148"/>
    <w:rsid w:val="0E51A319"/>
    <w:rsid w:val="0E7B5A61"/>
    <w:rsid w:val="0E7BB8AF"/>
    <w:rsid w:val="0F2836B2"/>
    <w:rsid w:val="11F34B56"/>
    <w:rsid w:val="123D1B03"/>
    <w:rsid w:val="125756B2"/>
    <w:rsid w:val="127703C0"/>
    <w:rsid w:val="12A8FA1D"/>
    <w:rsid w:val="1401AE06"/>
    <w:rsid w:val="157DB96E"/>
    <w:rsid w:val="15B56EEA"/>
    <w:rsid w:val="174FE5BB"/>
    <w:rsid w:val="17C4ACED"/>
    <w:rsid w:val="17F40B42"/>
    <w:rsid w:val="198AC908"/>
    <w:rsid w:val="1BA189D8"/>
    <w:rsid w:val="1D80C5D4"/>
    <w:rsid w:val="1EB9090B"/>
    <w:rsid w:val="20AE699F"/>
    <w:rsid w:val="2188FED3"/>
    <w:rsid w:val="2189E9CA"/>
    <w:rsid w:val="21C2D629"/>
    <w:rsid w:val="224BF8B6"/>
    <w:rsid w:val="2352505F"/>
    <w:rsid w:val="23C66C21"/>
    <w:rsid w:val="2534C05B"/>
    <w:rsid w:val="25CBFD36"/>
    <w:rsid w:val="2648275B"/>
    <w:rsid w:val="271D5DA5"/>
    <w:rsid w:val="279EA08D"/>
    <w:rsid w:val="290D3B17"/>
    <w:rsid w:val="293D841B"/>
    <w:rsid w:val="29EDEA75"/>
    <w:rsid w:val="2CB59A21"/>
    <w:rsid w:val="2CBDAB8F"/>
    <w:rsid w:val="2DB8DAC6"/>
    <w:rsid w:val="2E085E5A"/>
    <w:rsid w:val="31615A7B"/>
    <w:rsid w:val="318C83ED"/>
    <w:rsid w:val="31948728"/>
    <w:rsid w:val="31A9C6E8"/>
    <w:rsid w:val="35328038"/>
    <w:rsid w:val="3533D738"/>
    <w:rsid w:val="353F175F"/>
    <w:rsid w:val="361CFBB8"/>
    <w:rsid w:val="36F6EFA9"/>
    <w:rsid w:val="36F9C79A"/>
    <w:rsid w:val="37EC66BA"/>
    <w:rsid w:val="3951E794"/>
    <w:rsid w:val="3A101083"/>
    <w:rsid w:val="3B1EBC9C"/>
    <w:rsid w:val="3B85DCAE"/>
    <w:rsid w:val="3B94106C"/>
    <w:rsid w:val="3CD253B2"/>
    <w:rsid w:val="3CEBCE4D"/>
    <w:rsid w:val="3D671340"/>
    <w:rsid w:val="3DD9E226"/>
    <w:rsid w:val="3EAC3C6F"/>
    <w:rsid w:val="3F4BFC1E"/>
    <w:rsid w:val="403A4AD7"/>
    <w:rsid w:val="40CF6013"/>
    <w:rsid w:val="4394D464"/>
    <w:rsid w:val="43A585BF"/>
    <w:rsid w:val="44028847"/>
    <w:rsid w:val="4617A6C1"/>
    <w:rsid w:val="4644B7C0"/>
    <w:rsid w:val="464557E4"/>
    <w:rsid w:val="46F27CC7"/>
    <w:rsid w:val="4748DDFA"/>
    <w:rsid w:val="487FD5FE"/>
    <w:rsid w:val="49065076"/>
    <w:rsid w:val="4C7F7776"/>
    <w:rsid w:val="4EE2B577"/>
    <w:rsid w:val="4EF6B061"/>
    <w:rsid w:val="5075D382"/>
    <w:rsid w:val="5255EBB3"/>
    <w:rsid w:val="530CEA00"/>
    <w:rsid w:val="53F97A94"/>
    <w:rsid w:val="555DE7BA"/>
    <w:rsid w:val="573D5329"/>
    <w:rsid w:val="5792E861"/>
    <w:rsid w:val="5917C708"/>
    <w:rsid w:val="594289C5"/>
    <w:rsid w:val="5951C558"/>
    <w:rsid w:val="5A7EE457"/>
    <w:rsid w:val="5B84B01D"/>
    <w:rsid w:val="5C06E305"/>
    <w:rsid w:val="5D7617B0"/>
    <w:rsid w:val="5D818EDA"/>
    <w:rsid w:val="5E0326FE"/>
    <w:rsid w:val="5EEF7763"/>
    <w:rsid w:val="5F2B5046"/>
    <w:rsid w:val="5FB9FADF"/>
    <w:rsid w:val="60384DB1"/>
    <w:rsid w:val="60C2CD72"/>
    <w:rsid w:val="6223397C"/>
    <w:rsid w:val="6230A189"/>
    <w:rsid w:val="62C327C1"/>
    <w:rsid w:val="62DA361F"/>
    <w:rsid w:val="65256477"/>
    <w:rsid w:val="65AF8BA0"/>
    <w:rsid w:val="65B68C74"/>
    <w:rsid w:val="6658DFB0"/>
    <w:rsid w:val="668D67E1"/>
    <w:rsid w:val="66D9F329"/>
    <w:rsid w:val="6717D0B3"/>
    <w:rsid w:val="679776DD"/>
    <w:rsid w:val="6851E5B7"/>
    <w:rsid w:val="68A68781"/>
    <w:rsid w:val="69A87037"/>
    <w:rsid w:val="69E8B359"/>
    <w:rsid w:val="6B1F9116"/>
    <w:rsid w:val="6B2EDE22"/>
    <w:rsid w:val="6B3458E2"/>
    <w:rsid w:val="6B8FF6A0"/>
    <w:rsid w:val="6DB9BFDD"/>
    <w:rsid w:val="6DD3B54C"/>
    <w:rsid w:val="6F903E7A"/>
    <w:rsid w:val="6FC39AB7"/>
    <w:rsid w:val="7037C450"/>
    <w:rsid w:val="7188F106"/>
    <w:rsid w:val="72B5872D"/>
    <w:rsid w:val="738D9923"/>
    <w:rsid w:val="7475355A"/>
    <w:rsid w:val="7478BF40"/>
    <w:rsid w:val="75A71D32"/>
    <w:rsid w:val="75C67823"/>
    <w:rsid w:val="7626BDFF"/>
    <w:rsid w:val="7709BD41"/>
    <w:rsid w:val="7765D6C9"/>
    <w:rsid w:val="7873A293"/>
    <w:rsid w:val="7ADEFE24"/>
    <w:rsid w:val="7BDDD60C"/>
    <w:rsid w:val="7C027B1C"/>
    <w:rsid w:val="7E9262D0"/>
    <w:rsid w:val="7FC18FBE"/>
    <w:rsid w:val="7FC4D27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8FF6A0"/>
  <w15:chartTrackingRefBased/>
  <w15:docId w15:val="{F8D5735E-486F-4CFE-ABB8-992ADBDA29C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3CEBCE4D"/>
    <w:rPr>
      <w:color w:val="467886"/>
      <w:u w:val="single"/>
    </w:rPr>
  </w:style>
  <w:style w:type="paragraph" w:styleId="ListParagraph">
    <w:uiPriority w:val="34"/>
    <w:name w:val="List Paragraph"/>
    <w:basedOn w:val="Normal"/>
    <w:qFormat/>
    <w:rsid w:val="0444835D"/>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80dec24a65f8406f" /><Relationship Type="http://schemas.microsoft.com/office/2020/10/relationships/intelligence" Target="intelligence2.xml" Id="R05726affa29c4c2d" /><Relationship Type="http://schemas.openxmlformats.org/officeDocument/2006/relationships/hyperlink" Target="https://doi.org/10.xxxx/xxxx" TargetMode="External" Id="R276addc92c3841e0" /><Relationship Type="http://schemas.openxmlformats.org/officeDocument/2006/relationships/hyperlink" Target="https://doi.org/10.x" TargetMode="External" Id="Ra54023a75bb9490f" /><Relationship Type="http://schemas.openxmlformats.org/officeDocument/2006/relationships/hyperlink" Target="https://www.emerald.com/ramj/article/19/1/18/1246094/Customer-adoption-of-smartwatches-a-privacy" TargetMode="External" Id="R1958663d7d1041fb" /><Relationship Type="http://schemas.openxmlformats.org/officeDocument/2006/relationships/hyperlink" Target="https://www.jmir.org/2024/1/e58936" TargetMode="External" Id="Rd3425f4483794dec" /><Relationship Type="http://schemas.openxmlformats.org/officeDocument/2006/relationships/hyperlink" Target="https://doi.org/10.20429/jamt.2024.110202" TargetMode="External" Id="R58a3c14b1e9a4905" /><Relationship Type="http://schemas.openxmlformats.org/officeDocument/2006/relationships/hyperlink" Target="https://digitalcommons.georgiasouthern.edu/jamt/vol11/iss2/2/" TargetMode="External" Id="R2bd50add17a84252" /><Relationship Type="http://schemas.openxmlformats.org/officeDocument/2006/relationships/hyperlink" Target="https://doi.org/10.3390/su16135401" TargetMode="External" Id="R84437cceffb342bd" /><Relationship Type="http://schemas.openxmlformats.org/officeDocument/2006/relationships/hyperlink" Target="https://www.mdpi.com/2071-1050/16/13/5401" TargetMode="External" Id="R4014aac0d1db493d" /><Relationship Type="http://schemas.openxmlformats.org/officeDocument/2006/relationships/hyperlink" Target="https://rjpn.org/jetnr/papers/JETNR2504028.pdf" TargetMode="External" Id="R206ab588f8204d6f" /><Relationship Type="http://schemas.openxmlformats.org/officeDocument/2006/relationships/hyperlink" Target="https://rjpn.org/jetnr/papers/JETNR2504028.pdf" TargetMode="External" Id="R0184aac63e9648a5" /><Relationship Type="http://schemas.openxmlformats.org/officeDocument/2006/relationships/hyperlink" Target="https://www.ccsenet.org/journal/index.php/ijms/article/view/97" TargetMode="External" Id="R830591ee9eb843d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2025-11-25T12:17:55.7015800Z</dcterms:created>
  <dcterms:modified xsi:type="dcterms:W3CDTF">2026-01-09T14:59:17.4757391Z</dcterms:modified>
  <dc:creator>Calum Thompson (2319135)</dc:creator>
  <lastModifiedBy>Calum Thompson (2319135)</lastModifiedBy>
</coreProperties>
</file>