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8625E10" w14:textId="2F534C52" w:rsidR="0037082F" w:rsidRPr="00E8099C" w:rsidRDefault="00E8099C" w:rsidP="00E8099C">
      <w:pPr>
        <w:jc w:val="center"/>
        <w:rPr>
          <w:b/>
          <w:u w:val="single"/>
        </w:rPr>
      </w:pPr>
      <w:r w:rsidRPr="00E8099C">
        <w:rPr>
          <w:b/>
          <w:u w:val="single"/>
        </w:rPr>
        <w:t>Discussion of Theories/Methodologies</w:t>
      </w:r>
    </w:p>
    <w:p w14:paraId="0200CBD9" w14:textId="4F431793" w:rsidR="00E8099C" w:rsidRPr="00E8099C" w:rsidRDefault="00E8099C" w:rsidP="006C4163">
      <w:pPr>
        <w:jc w:val="both"/>
      </w:pPr>
      <w:proofErr w:type="gramStart"/>
      <w:r>
        <w:t>In order to</w:t>
      </w:r>
      <w:proofErr w:type="gramEnd"/>
      <w:r>
        <w:t xml:space="preserve"> address the question “Did Aristotle’s </w:t>
      </w:r>
      <w:r w:rsidRPr="008735F9">
        <w:rPr>
          <w:i/>
        </w:rPr>
        <w:t>Poetics</w:t>
      </w:r>
      <w:r>
        <w:t xml:space="preserve"> correctly cite Sophocles’ </w:t>
      </w:r>
      <w:r w:rsidRPr="008735F9">
        <w:rPr>
          <w:i/>
        </w:rPr>
        <w:t>Oedipus Rex</w:t>
      </w:r>
      <w:r>
        <w:t xml:space="preserve"> as a dramatic text exemplifying </w:t>
      </w:r>
      <w:r w:rsidRPr="008735F9">
        <w:rPr>
          <w:i/>
        </w:rPr>
        <w:t>hamartia</w:t>
      </w:r>
      <w:r>
        <w:t xml:space="preserve">?”, it is important to clearly set out the theories to be engaged </w:t>
      </w:r>
      <w:r w:rsidR="00917606">
        <w:t xml:space="preserve">with </w:t>
      </w:r>
      <w:r>
        <w:t xml:space="preserve">and the </w:t>
      </w:r>
      <w:r w:rsidR="00917606">
        <w:t xml:space="preserve">analytical </w:t>
      </w:r>
      <w:r>
        <w:t xml:space="preserve">methods that will be adopted. </w:t>
      </w:r>
      <w:r w:rsidR="006F4563">
        <w:t xml:space="preserve">Alongside </w:t>
      </w:r>
      <w:r>
        <w:t>these considerations will be a</w:t>
      </w:r>
      <w:r w:rsidR="00015CA2">
        <w:t xml:space="preserve"> critical appraisal </w:t>
      </w:r>
      <w:r>
        <w:t xml:space="preserve">with </w:t>
      </w:r>
      <w:r w:rsidR="00917606">
        <w:t>existing scholarship and theorists where possible and relevant.</w:t>
      </w:r>
    </w:p>
    <w:p w14:paraId="26BDDE74" w14:textId="7FD5101D" w:rsidR="00E8099C" w:rsidRDefault="00E8099C">
      <w:pPr>
        <w:rPr>
          <w:u w:val="single"/>
        </w:rPr>
      </w:pPr>
    </w:p>
    <w:p w14:paraId="2BD8254B" w14:textId="17F5CF06" w:rsidR="00917606" w:rsidRDefault="00917606">
      <w:pPr>
        <w:rPr>
          <w:u w:val="single"/>
        </w:rPr>
      </w:pPr>
      <w:r>
        <w:rPr>
          <w:u w:val="single"/>
        </w:rPr>
        <w:t xml:space="preserve">Philology: the evolution of </w:t>
      </w:r>
      <w:r w:rsidRPr="00917606">
        <w:rPr>
          <w:i/>
          <w:u w:val="single"/>
        </w:rPr>
        <w:t>hamartia</w:t>
      </w:r>
    </w:p>
    <w:p w14:paraId="703F0CED" w14:textId="1765F703" w:rsidR="005E6AFA" w:rsidRPr="00D5218C" w:rsidRDefault="00EB63FE" w:rsidP="006C4163">
      <w:pPr>
        <w:jc w:val="both"/>
      </w:pPr>
      <w:r>
        <w:t xml:space="preserve">The methodology that will be adopted to </w:t>
      </w:r>
      <w:r w:rsidR="003578C5">
        <w:t xml:space="preserve">begin this inquiry will be a linguistic one. The noun </w:t>
      </w:r>
      <w:r w:rsidR="003578C5" w:rsidRPr="003578C5">
        <w:rPr>
          <w:i/>
        </w:rPr>
        <w:t>hamartia</w:t>
      </w:r>
      <w:r w:rsidR="003578C5">
        <w:t xml:space="preserve"> had a significant philological history prior to Aristotle’s use of it in the </w:t>
      </w:r>
      <w:r w:rsidR="003578C5" w:rsidRPr="003578C5">
        <w:rPr>
          <w:i/>
        </w:rPr>
        <w:t>Poetics</w:t>
      </w:r>
      <w:r w:rsidR="003578C5">
        <w:t xml:space="preserve"> and as such it is important to be clear as to which </w:t>
      </w:r>
      <w:r w:rsidR="003578C5" w:rsidRPr="00D5218C">
        <w:t xml:space="preserve">precise meaning and sense, of the several that the term has </w:t>
      </w:r>
      <w:r w:rsidR="00015CA2" w:rsidRPr="00D5218C">
        <w:t>had</w:t>
      </w:r>
      <w:r w:rsidR="003578C5" w:rsidRPr="00D5218C">
        <w:t xml:space="preserve">, will be predominantly used. To this end, Erin Roberts’ tracing of the semantics of </w:t>
      </w:r>
      <w:r w:rsidR="003578C5" w:rsidRPr="00D5218C">
        <w:rPr>
          <w:i/>
        </w:rPr>
        <w:t>hamartia</w:t>
      </w:r>
      <w:r w:rsidR="003578C5" w:rsidRPr="00D5218C">
        <w:t xml:space="preserve"> will prove instructive. She charts how </w:t>
      </w:r>
      <w:r w:rsidR="004E48F4" w:rsidRPr="00D5218C">
        <w:t>its initial use between the 9</w:t>
      </w:r>
      <w:r w:rsidR="004E48F4" w:rsidRPr="00D5218C">
        <w:rPr>
          <w:vertAlign w:val="superscript"/>
        </w:rPr>
        <w:t>th</w:t>
      </w:r>
      <w:r w:rsidR="004E48F4" w:rsidRPr="00D5218C">
        <w:t xml:space="preserve"> to the 5</w:t>
      </w:r>
      <w:r w:rsidR="004E48F4" w:rsidRPr="00D5218C">
        <w:rPr>
          <w:vertAlign w:val="superscript"/>
        </w:rPr>
        <w:t>th</w:t>
      </w:r>
      <w:r w:rsidR="004E48F4" w:rsidRPr="00D5218C">
        <w:t xml:space="preserve"> century BCE was as a ballistic term meaning ‘a miss’</w:t>
      </w:r>
      <w:r w:rsidR="00683D49" w:rsidRPr="00D5218C">
        <w:t xml:space="preserve">, </w:t>
      </w:r>
      <w:r w:rsidR="004E48F4" w:rsidRPr="00D5218C">
        <w:t xml:space="preserve">was notably used by </w:t>
      </w:r>
      <w:r w:rsidR="003578C5" w:rsidRPr="00D5218C">
        <w:t>Homer in martial scenarios</w:t>
      </w:r>
      <w:r w:rsidR="004E48F4" w:rsidRPr="00D5218C">
        <w:t xml:space="preserve"> </w:t>
      </w:r>
      <w:r w:rsidR="00683D49" w:rsidRPr="00D5218C">
        <w:t>and carried</w:t>
      </w:r>
      <w:r w:rsidR="004E48F4" w:rsidRPr="00D5218C">
        <w:t xml:space="preserve"> the sense of ‘physically to miss something, to fall short, or go astray of a goal or target’.</w:t>
      </w:r>
      <w:r w:rsidR="004E48F4" w:rsidRPr="00D5218C">
        <w:rPr>
          <w:rStyle w:val="FootnoteReference"/>
        </w:rPr>
        <w:footnoteReference w:id="1"/>
      </w:r>
      <w:r w:rsidR="004E48F4" w:rsidRPr="00D5218C">
        <w:t xml:space="preserve">  </w:t>
      </w:r>
      <w:r w:rsidR="00015CA2" w:rsidRPr="00D5218C">
        <w:t xml:space="preserve">An appreciation </w:t>
      </w:r>
      <w:r w:rsidR="00683D49" w:rsidRPr="00D5218C">
        <w:t xml:space="preserve">of the semantic origins of </w:t>
      </w:r>
      <w:r w:rsidR="00683D49" w:rsidRPr="00D5218C">
        <w:rPr>
          <w:i/>
        </w:rPr>
        <w:t>hamartia</w:t>
      </w:r>
      <w:r w:rsidR="00683D49" w:rsidRPr="00D5218C">
        <w:t xml:space="preserve"> </w:t>
      </w:r>
      <w:r w:rsidR="00015CA2" w:rsidRPr="00D5218C">
        <w:t xml:space="preserve">will furnish this essay with an understanding of the word’s </w:t>
      </w:r>
      <w:r w:rsidR="00683D49" w:rsidRPr="00D5218C">
        <w:t>non-ethical nature</w:t>
      </w:r>
      <w:r w:rsidR="00015CA2" w:rsidRPr="00D5218C">
        <w:t xml:space="preserve"> as</w:t>
      </w:r>
      <w:r w:rsidR="00683D49" w:rsidRPr="00D5218C">
        <w:t xml:space="preserve"> it is not a term relating to morality but rather one connoting </w:t>
      </w:r>
      <w:r w:rsidR="00191EC0" w:rsidRPr="00D5218C">
        <w:t>failed action</w:t>
      </w:r>
      <w:r w:rsidR="003578C5" w:rsidRPr="00D5218C">
        <w:t xml:space="preserve">. </w:t>
      </w:r>
    </w:p>
    <w:p w14:paraId="335339FC" w14:textId="60E85935" w:rsidR="00191EC0" w:rsidRPr="00D5218C" w:rsidRDefault="00191EC0" w:rsidP="006C4163">
      <w:pPr>
        <w:jc w:val="both"/>
      </w:pPr>
      <w:r w:rsidRPr="00D5218C">
        <w:t xml:space="preserve">Charting the word’s history this way allows one to </w:t>
      </w:r>
      <w:r w:rsidR="00015CA2" w:rsidRPr="00D5218C">
        <w:t>recognise</w:t>
      </w:r>
      <w:r w:rsidRPr="00D5218C">
        <w:t xml:space="preserve"> how i</w:t>
      </w:r>
      <w:r w:rsidR="00683D49" w:rsidRPr="00D5218C">
        <w:t>n the 5</w:t>
      </w:r>
      <w:r w:rsidR="00683D49" w:rsidRPr="00D5218C">
        <w:rPr>
          <w:vertAlign w:val="superscript"/>
        </w:rPr>
        <w:t>th</w:t>
      </w:r>
      <w:r w:rsidR="00683D49" w:rsidRPr="00D5218C">
        <w:t xml:space="preserve"> century BCE, </w:t>
      </w:r>
      <w:r w:rsidR="00683D49" w:rsidRPr="00D5218C">
        <w:rPr>
          <w:i/>
        </w:rPr>
        <w:t>hamartia</w:t>
      </w:r>
      <w:r w:rsidR="00683D49" w:rsidRPr="00D5218C">
        <w:t xml:space="preserve"> in the work of the tragedians Aeschylus, Sophocles and </w:t>
      </w:r>
      <w:proofErr w:type="spellStart"/>
      <w:r w:rsidR="00683D49" w:rsidRPr="00D5218C">
        <w:t>Euripies</w:t>
      </w:r>
      <w:proofErr w:type="spellEnd"/>
      <w:r w:rsidR="00683D49" w:rsidRPr="00D5218C">
        <w:t xml:space="preserve">, plus Herodotus and Thucydides, moves away from a strictly physical </w:t>
      </w:r>
      <w:r w:rsidRPr="00D5218C">
        <w:t xml:space="preserve">sense to more generally </w:t>
      </w:r>
      <w:r w:rsidR="00683D49" w:rsidRPr="00D5218C">
        <w:t>mean ‘error’.</w:t>
      </w:r>
      <w:r w:rsidR="00683D49" w:rsidRPr="00D5218C">
        <w:rPr>
          <w:rStyle w:val="FootnoteReference"/>
        </w:rPr>
        <w:footnoteReference w:id="2"/>
      </w:r>
      <w:r w:rsidR="008B59E5" w:rsidRPr="00D5218C">
        <w:t xml:space="preserve"> ‘Error’ particularly connotes, as Roberts explains, ‘actions stemming from good intentions but which nevertheless fail to meet their intended goal’ and as such are ‘mistakes that do not result from any ill will or intentional deviation from a moral standard.’</w:t>
      </w:r>
      <w:r w:rsidR="008B59E5" w:rsidRPr="00D5218C">
        <w:rPr>
          <w:rStyle w:val="FootnoteReference"/>
        </w:rPr>
        <w:footnoteReference w:id="3"/>
      </w:r>
      <w:r w:rsidR="008B59E5" w:rsidRPr="00D5218C">
        <w:t xml:space="preserve"> </w:t>
      </w:r>
      <w:r w:rsidR="00D520B2" w:rsidRPr="00D5218C">
        <w:t xml:space="preserve">This definition, with its </w:t>
      </w:r>
      <w:r w:rsidR="004D3284" w:rsidRPr="00D5218C">
        <w:t xml:space="preserve">more nuanced </w:t>
      </w:r>
      <w:r w:rsidR="00D520B2" w:rsidRPr="00D5218C">
        <w:t>accompanying sense of agency</w:t>
      </w:r>
      <w:r w:rsidR="004D3284" w:rsidRPr="00D5218C">
        <w:t>, ethics</w:t>
      </w:r>
      <w:r w:rsidR="00D520B2" w:rsidRPr="00D5218C">
        <w:t xml:space="preserve"> and intention, is more relevant to </w:t>
      </w:r>
      <w:r w:rsidR="00015CA2" w:rsidRPr="00D5218C">
        <w:t>this</w:t>
      </w:r>
      <w:r w:rsidR="00D520B2" w:rsidRPr="00D5218C">
        <w:t xml:space="preserve"> inquiry into the nature of the tragic and the </w:t>
      </w:r>
      <w:r w:rsidR="00015CA2" w:rsidRPr="00D5218C">
        <w:t xml:space="preserve">overarching </w:t>
      </w:r>
      <w:r w:rsidR="00D520B2" w:rsidRPr="00D5218C">
        <w:t xml:space="preserve">question of whether </w:t>
      </w:r>
      <w:r w:rsidR="00015CA2" w:rsidRPr="00D5218C">
        <w:t xml:space="preserve">Oedipus’ </w:t>
      </w:r>
      <w:r w:rsidR="00D520B2" w:rsidRPr="00D5218C">
        <w:t xml:space="preserve">suffering is undeserved. </w:t>
      </w:r>
      <w:proofErr w:type="gramStart"/>
      <w:r w:rsidR="00D520B2" w:rsidRPr="00D5218C">
        <w:t>In particular, this</w:t>
      </w:r>
      <w:proofErr w:type="gramEnd"/>
      <w:r w:rsidR="00D520B2" w:rsidRPr="00D5218C">
        <w:t xml:space="preserve"> definition allows one to query whether Oedipus</w:t>
      </w:r>
      <w:r w:rsidR="005E6AFA" w:rsidRPr="00D5218C">
        <w:t xml:space="preserve"> can really be spoken of as well-meaning for his accidental patricide</w:t>
      </w:r>
      <w:r w:rsidR="00D520B2" w:rsidRPr="00D5218C">
        <w:t xml:space="preserve"> </w:t>
      </w:r>
      <w:r w:rsidR="005E6AFA" w:rsidRPr="00D5218C">
        <w:t>despite it occurring as a result of his maliciously intended multiple murders.</w:t>
      </w:r>
    </w:p>
    <w:p w14:paraId="71986963" w14:textId="006F329C" w:rsidR="00661195" w:rsidRPr="00D5218C" w:rsidRDefault="00661195">
      <w:r w:rsidRPr="00D5218C">
        <w:t xml:space="preserve">Continuing with the </w:t>
      </w:r>
      <w:r w:rsidR="00015CA2" w:rsidRPr="00D5218C">
        <w:t>history</w:t>
      </w:r>
      <w:r w:rsidRPr="00D5218C">
        <w:t xml:space="preserve"> of </w:t>
      </w:r>
      <w:r w:rsidRPr="00D5218C">
        <w:rPr>
          <w:i/>
        </w:rPr>
        <w:t>hamartia</w:t>
      </w:r>
      <w:r w:rsidRPr="00D5218C">
        <w:t>, its</w:t>
      </w:r>
      <w:r w:rsidR="00596044" w:rsidRPr="00D5218C">
        <w:t xml:space="preserve"> 4</w:t>
      </w:r>
      <w:r w:rsidR="00596044" w:rsidRPr="00D5218C">
        <w:rPr>
          <w:vertAlign w:val="superscript"/>
        </w:rPr>
        <w:t>th</w:t>
      </w:r>
      <w:r w:rsidR="00596044" w:rsidRPr="00D5218C">
        <w:t xml:space="preserve"> century BCE use,</w:t>
      </w:r>
      <w:r w:rsidRPr="00D5218C">
        <w:rPr>
          <w:rStyle w:val="FootnoteReference"/>
        </w:rPr>
        <w:footnoteReference w:id="4"/>
      </w:r>
      <w:r w:rsidR="00596044" w:rsidRPr="00D5218C">
        <w:t xml:space="preserve"> notably in Aristotle’s </w:t>
      </w:r>
      <w:proofErr w:type="spellStart"/>
      <w:r w:rsidR="00596044" w:rsidRPr="00D5218C">
        <w:rPr>
          <w:i/>
        </w:rPr>
        <w:t>Nichomachean</w:t>
      </w:r>
      <w:proofErr w:type="spellEnd"/>
      <w:r w:rsidR="00596044" w:rsidRPr="00D5218C">
        <w:rPr>
          <w:i/>
        </w:rPr>
        <w:t xml:space="preserve"> Ethics</w:t>
      </w:r>
      <w:r w:rsidR="00596044" w:rsidRPr="00D5218C">
        <w:t xml:space="preserve">, will enable </w:t>
      </w:r>
      <w:r w:rsidR="002A68A2" w:rsidRPr="00D5218C">
        <w:t xml:space="preserve">us to </w:t>
      </w:r>
      <w:r w:rsidRPr="00D5218C">
        <w:t xml:space="preserve">decide </w:t>
      </w:r>
      <w:r w:rsidR="002A68A2" w:rsidRPr="00D5218C">
        <w:t xml:space="preserve">whether to consider the patricide </w:t>
      </w:r>
      <w:r w:rsidRPr="00D5218C">
        <w:t xml:space="preserve">separately from the highway murders </w:t>
      </w:r>
      <w:r w:rsidR="002A68A2" w:rsidRPr="00D5218C">
        <w:t xml:space="preserve">as </w:t>
      </w:r>
      <w:r w:rsidRPr="00D5218C">
        <w:t xml:space="preserve">merely </w:t>
      </w:r>
      <w:r w:rsidR="002A68A2" w:rsidRPr="00D5218C">
        <w:t xml:space="preserve">an accidental miscalculation or </w:t>
      </w:r>
      <w:r w:rsidRPr="00D5218C">
        <w:t xml:space="preserve">as </w:t>
      </w:r>
      <w:r w:rsidR="002A68A2" w:rsidRPr="00D5218C">
        <w:t xml:space="preserve">an </w:t>
      </w:r>
      <w:r w:rsidRPr="00D5218C">
        <w:t xml:space="preserve">oversight that, whilst unintended, </w:t>
      </w:r>
      <w:r w:rsidR="00015CA2" w:rsidRPr="00D5218C">
        <w:t xml:space="preserve">is still intertwined with </w:t>
      </w:r>
      <w:r w:rsidRPr="00D5218C">
        <w:t xml:space="preserve">the homicidal sensibility which occasioned it. </w:t>
      </w:r>
      <w:r w:rsidR="002A68A2" w:rsidRPr="00D5218C">
        <w:t xml:space="preserve"> </w:t>
      </w:r>
      <w:r w:rsidRPr="00D5218C">
        <w:t xml:space="preserve">The </w:t>
      </w:r>
      <w:r w:rsidRPr="00D5218C">
        <w:rPr>
          <w:i/>
        </w:rPr>
        <w:t>Ethics</w:t>
      </w:r>
      <w:r w:rsidRPr="00D5218C">
        <w:t xml:space="preserve"> </w:t>
      </w:r>
      <w:r w:rsidR="00BE3866" w:rsidRPr="00D5218C">
        <w:t xml:space="preserve">helps in this regard as it </w:t>
      </w:r>
      <w:r w:rsidRPr="00D5218C">
        <w:t xml:space="preserve">defines </w:t>
      </w:r>
      <w:r w:rsidRPr="00D5218C">
        <w:rPr>
          <w:i/>
        </w:rPr>
        <w:t>hamartia</w:t>
      </w:r>
      <w:r w:rsidRPr="00D5218C">
        <w:t xml:space="preserve"> clearly by explaining how it differs from an accident and a wrongdoing.</w:t>
      </w:r>
      <w:r w:rsidR="00BE3866" w:rsidRPr="00D5218C">
        <w:t xml:space="preserve"> This nuanced awareness will </w:t>
      </w:r>
      <w:r w:rsidR="007442AC" w:rsidRPr="00D5218C">
        <w:t>endow</w:t>
      </w:r>
      <w:r w:rsidR="00BE3866" w:rsidRPr="00D5218C">
        <w:t xml:space="preserve"> </w:t>
      </w:r>
      <w:r w:rsidR="007442AC" w:rsidRPr="00D5218C">
        <w:t>this analysis</w:t>
      </w:r>
      <w:r w:rsidR="00BE3866" w:rsidRPr="00D5218C">
        <w:t xml:space="preserve"> with a </w:t>
      </w:r>
      <w:r w:rsidR="007442AC" w:rsidRPr="00D5218C">
        <w:t>firm</w:t>
      </w:r>
      <w:r w:rsidR="00BE3866" w:rsidRPr="00D5218C">
        <w:t xml:space="preserve"> grasp of the non-moral nature of </w:t>
      </w:r>
      <w:r w:rsidR="00BE3866" w:rsidRPr="00D5218C">
        <w:rPr>
          <w:i/>
        </w:rPr>
        <w:t>hamartia</w:t>
      </w:r>
      <w:r w:rsidR="00BE3866" w:rsidRPr="00D5218C">
        <w:t xml:space="preserve"> as well as an ability to </w:t>
      </w:r>
      <w:r w:rsidR="007442AC" w:rsidRPr="00D5218C">
        <w:t>decipher</w:t>
      </w:r>
      <w:r w:rsidR="00BE3866" w:rsidRPr="00D5218C">
        <w:t xml:space="preserve"> if </w:t>
      </w:r>
      <w:r w:rsidR="007442AC" w:rsidRPr="00D5218C">
        <w:t xml:space="preserve">the </w:t>
      </w:r>
      <w:r w:rsidR="00015CA2" w:rsidRPr="00D5218C">
        <w:t>term</w:t>
      </w:r>
      <w:r w:rsidR="00BE3866" w:rsidRPr="00D5218C">
        <w:t xml:space="preserve"> was incorrectly applied to an act, the patricide, that </w:t>
      </w:r>
      <w:r w:rsidR="007442AC" w:rsidRPr="00D5218C">
        <w:t>was</w:t>
      </w:r>
      <w:r w:rsidR="00BE3866" w:rsidRPr="00D5218C">
        <w:t xml:space="preserve"> not entirely </w:t>
      </w:r>
      <w:r w:rsidR="007442AC" w:rsidRPr="00D5218C">
        <w:t xml:space="preserve">detached from its </w:t>
      </w:r>
      <w:r w:rsidR="00015CA2" w:rsidRPr="00D5218C">
        <w:t>bloody</w:t>
      </w:r>
      <w:r w:rsidR="007442AC" w:rsidRPr="00D5218C">
        <w:t xml:space="preserve"> context.</w:t>
      </w:r>
      <w:r w:rsidR="00BE3866" w:rsidRPr="00D5218C">
        <w:t xml:space="preserve"> </w:t>
      </w:r>
      <w:r w:rsidR="007442AC" w:rsidRPr="00D5218C">
        <w:t xml:space="preserve">This </w:t>
      </w:r>
      <w:r w:rsidR="006C4163" w:rsidRPr="00D5218C">
        <w:t xml:space="preserve">approach, which </w:t>
      </w:r>
      <w:r w:rsidR="00015CA2" w:rsidRPr="00D5218C">
        <w:t xml:space="preserve">seeks to avoid the </w:t>
      </w:r>
      <w:r w:rsidR="007442AC" w:rsidRPr="00D5218C">
        <w:rPr>
          <w:i/>
        </w:rPr>
        <w:t>hamartia</w:t>
      </w:r>
      <w:r w:rsidR="007442AC" w:rsidRPr="00D5218C">
        <w:t xml:space="preserve"> as ‘fatal flaw’</w:t>
      </w:r>
      <w:r w:rsidR="00015CA2" w:rsidRPr="00D5218C">
        <w:t xml:space="preserve"> misreading</w:t>
      </w:r>
      <w:r w:rsidR="00FD4374" w:rsidRPr="00D5218C">
        <w:t xml:space="preserve">, is consistent with the work of P van </w:t>
      </w:r>
      <w:proofErr w:type="spellStart"/>
      <w:r w:rsidR="00FD4374" w:rsidRPr="00D5218C">
        <w:t>Braam</w:t>
      </w:r>
      <w:proofErr w:type="spellEnd"/>
      <w:r w:rsidR="00FD4374" w:rsidRPr="00D5218C">
        <w:t>, O. Hey, R.D. Dawe, M. Ostwald and J.M. Bremer.</w:t>
      </w:r>
      <w:r w:rsidR="00FD4374" w:rsidRPr="00D5218C">
        <w:rPr>
          <w:rStyle w:val="FootnoteReference"/>
        </w:rPr>
        <w:footnoteReference w:id="5"/>
      </w:r>
      <w:r w:rsidR="006C4163" w:rsidRPr="00D5218C">
        <w:t xml:space="preserve"> </w:t>
      </w:r>
    </w:p>
    <w:p w14:paraId="28E9BDF2" w14:textId="1BA121AD" w:rsidR="00FD4374" w:rsidRPr="00D5218C" w:rsidRDefault="00FD4374"/>
    <w:p w14:paraId="798AAD47" w14:textId="283FC17B" w:rsidR="00655972" w:rsidRPr="00D5218C" w:rsidRDefault="00655972" w:rsidP="00655972">
      <w:pPr>
        <w:rPr>
          <w:u w:val="single"/>
        </w:rPr>
      </w:pPr>
      <w:r w:rsidRPr="00D5218C">
        <w:rPr>
          <w:u w:val="single"/>
        </w:rPr>
        <w:lastRenderedPageBreak/>
        <w:t xml:space="preserve">Questioning Aristotle’s notion of the centrality of </w:t>
      </w:r>
      <w:r w:rsidRPr="00D5218C">
        <w:rPr>
          <w:i/>
          <w:u w:val="single"/>
        </w:rPr>
        <w:t>hamartia</w:t>
      </w:r>
      <w:r w:rsidRPr="00D5218C">
        <w:rPr>
          <w:u w:val="single"/>
        </w:rPr>
        <w:t xml:space="preserve"> in the </w:t>
      </w:r>
      <w:r w:rsidRPr="00D5218C">
        <w:rPr>
          <w:i/>
          <w:u w:val="single"/>
        </w:rPr>
        <w:t>Poetics</w:t>
      </w:r>
      <w:r w:rsidRPr="00D5218C">
        <w:rPr>
          <w:u w:val="single"/>
        </w:rPr>
        <w:t xml:space="preserve"> as exemplified by </w:t>
      </w:r>
      <w:r w:rsidRPr="00D5218C">
        <w:rPr>
          <w:i/>
          <w:u w:val="single"/>
        </w:rPr>
        <w:t>Oedipus Rex</w:t>
      </w:r>
    </w:p>
    <w:p w14:paraId="15B00E2D" w14:textId="646CA3FF" w:rsidR="00CF3FFE" w:rsidRPr="00D5218C" w:rsidRDefault="00CF3FFE" w:rsidP="003F00CC">
      <w:pPr>
        <w:jc w:val="both"/>
        <w:rPr>
          <w:rFonts w:cstheme="minorHAnsi"/>
        </w:rPr>
      </w:pPr>
      <w:r w:rsidRPr="00D5218C">
        <w:t xml:space="preserve">Another method this dissertation will adopt is </w:t>
      </w:r>
      <w:r w:rsidR="00E10B8A" w:rsidRPr="00D5218C">
        <w:t>to</w:t>
      </w:r>
      <w:r w:rsidRPr="00D5218C">
        <w:t xml:space="preserve"> critique Aristotle’s use of </w:t>
      </w:r>
      <w:r w:rsidRPr="00D5218C">
        <w:rPr>
          <w:i/>
        </w:rPr>
        <w:t>hamartia</w:t>
      </w:r>
      <w:r w:rsidRPr="00D5218C">
        <w:t xml:space="preserve"> and </w:t>
      </w:r>
      <w:r w:rsidR="00E10B8A" w:rsidRPr="00D5218C">
        <w:t>his</w:t>
      </w:r>
      <w:r w:rsidRPr="00D5218C">
        <w:t xml:space="preserve"> application</w:t>
      </w:r>
      <w:r w:rsidR="00E10B8A" w:rsidRPr="00D5218C">
        <w:t xml:space="preserve"> of it</w:t>
      </w:r>
      <w:r w:rsidRPr="00D5218C">
        <w:t xml:space="preserve"> to </w:t>
      </w:r>
      <w:r w:rsidRPr="00D5218C">
        <w:rPr>
          <w:i/>
        </w:rPr>
        <w:t>Oedipus Rex</w:t>
      </w:r>
      <w:r w:rsidRPr="00D5218C">
        <w:t xml:space="preserve">. </w:t>
      </w:r>
      <w:r w:rsidR="00E10B8A" w:rsidRPr="00D5218C">
        <w:t xml:space="preserve">Firstly, what Aristotle’s by way of definition is paltry. </w:t>
      </w:r>
      <w:r w:rsidRPr="00D5218C">
        <w:t xml:space="preserve">As Eckart </w:t>
      </w:r>
      <w:proofErr w:type="spellStart"/>
      <w:r w:rsidRPr="00D5218C">
        <w:t>Schutrympf</w:t>
      </w:r>
      <w:proofErr w:type="spellEnd"/>
      <w:r w:rsidRPr="00D5218C">
        <w:t xml:space="preserve"> explains, ‘it is impossible to explain the meaning of hamartia in the Poetics </w:t>
      </w:r>
      <w:proofErr w:type="gramStart"/>
      <w:r w:rsidRPr="00D5218C">
        <w:t>on the basis of</w:t>
      </w:r>
      <w:proofErr w:type="gramEnd"/>
      <w:r w:rsidRPr="00D5218C">
        <w:t xml:space="preserve"> the word’s history.’</w:t>
      </w:r>
      <w:r w:rsidRPr="00D5218C">
        <w:rPr>
          <w:rStyle w:val="FootnoteReference"/>
        </w:rPr>
        <w:footnoteReference w:id="6"/>
      </w:r>
      <w:r w:rsidRPr="00D5218C">
        <w:t xml:space="preserve"> The </w:t>
      </w:r>
      <w:r w:rsidR="00E10B8A" w:rsidRPr="00D5218C">
        <w:t>aforementioned method</w:t>
      </w:r>
      <w:r w:rsidRPr="00D5218C">
        <w:t xml:space="preserve"> </w:t>
      </w:r>
      <w:r w:rsidR="00E10B8A" w:rsidRPr="00D5218C">
        <w:t xml:space="preserve">of </w:t>
      </w:r>
      <w:r w:rsidRPr="00D5218C">
        <w:t>philological</w:t>
      </w:r>
      <w:r w:rsidR="00E10B8A" w:rsidRPr="00D5218C">
        <w:t>ly charting</w:t>
      </w:r>
      <w:r w:rsidRPr="00D5218C">
        <w:t xml:space="preserve"> </w:t>
      </w:r>
      <w:r w:rsidRPr="00D5218C">
        <w:rPr>
          <w:i/>
        </w:rPr>
        <w:t>hamartia</w:t>
      </w:r>
      <w:r w:rsidRPr="00D5218C">
        <w:t xml:space="preserve"> becomes especially </w:t>
      </w:r>
      <w:r w:rsidR="00E10B8A" w:rsidRPr="00D5218C">
        <w:t>useful</w:t>
      </w:r>
      <w:r w:rsidRPr="00D5218C">
        <w:t xml:space="preserve"> here as it would not be possible to decipher what hamartia means in the </w:t>
      </w:r>
      <w:r w:rsidRPr="00D5218C">
        <w:rPr>
          <w:i/>
        </w:rPr>
        <w:t>Poetics</w:t>
      </w:r>
      <w:r w:rsidRPr="00D5218C">
        <w:t xml:space="preserve"> without accounting for its evolution and without reference to the </w:t>
      </w:r>
      <w:r w:rsidRPr="00D5218C">
        <w:rPr>
          <w:i/>
        </w:rPr>
        <w:t>Ethics</w:t>
      </w:r>
      <w:r w:rsidRPr="00D5218C">
        <w:t xml:space="preserve">. </w:t>
      </w:r>
      <w:r w:rsidR="00E10B8A" w:rsidRPr="00D5218C">
        <w:t xml:space="preserve">With this and the </w:t>
      </w:r>
      <w:r w:rsidR="00E10B8A" w:rsidRPr="00D5218C">
        <w:rPr>
          <w:i/>
        </w:rPr>
        <w:t>Ethics</w:t>
      </w:r>
      <w:r w:rsidR="00E10B8A" w:rsidRPr="00D5218C">
        <w:t xml:space="preserve"> in mind, we can infer</w:t>
      </w:r>
      <w:r w:rsidR="003F00CC" w:rsidRPr="00D5218C">
        <w:t xml:space="preserve"> that </w:t>
      </w:r>
      <w:r w:rsidRPr="00D5218C">
        <w:t xml:space="preserve">Aristotle’s probable use of the term </w:t>
      </w:r>
      <w:r w:rsidR="003F00CC" w:rsidRPr="00D5218C">
        <w:t>was as</w:t>
      </w:r>
      <w:r w:rsidRPr="00D5218C">
        <w:t xml:space="preserve"> a </w:t>
      </w:r>
      <w:r w:rsidR="00E10B8A" w:rsidRPr="00D5218C">
        <w:t>well-intentioned</w:t>
      </w:r>
      <w:r w:rsidRPr="00D5218C">
        <w:t xml:space="preserve"> error caused by ignorance of material facts</w:t>
      </w:r>
      <w:r w:rsidR="00E10B8A" w:rsidRPr="00D5218C">
        <w:t>.</w:t>
      </w:r>
      <w:r w:rsidR="003B0C12" w:rsidRPr="00D5218C">
        <w:rPr>
          <w:rStyle w:val="FootnoteReference"/>
        </w:rPr>
        <w:footnoteReference w:id="7"/>
      </w:r>
      <w:r w:rsidR="003F00CC" w:rsidRPr="00D5218C">
        <w:t xml:space="preserve"> </w:t>
      </w:r>
      <w:r w:rsidR="00E10B8A" w:rsidRPr="00D5218C">
        <w:t xml:space="preserve">However, accounting for </w:t>
      </w:r>
      <w:r w:rsidR="003F00CC" w:rsidRPr="00D5218C">
        <w:t xml:space="preserve">Oedipus’ patricide </w:t>
      </w:r>
      <w:r w:rsidR="00E10B8A" w:rsidRPr="00D5218C">
        <w:t xml:space="preserve">in this way </w:t>
      </w:r>
      <w:r w:rsidR="003F00CC" w:rsidRPr="00D5218C">
        <w:t xml:space="preserve">seems </w:t>
      </w:r>
      <w:r w:rsidR="00E10B8A" w:rsidRPr="00D5218C">
        <w:t>misguided</w:t>
      </w:r>
      <w:r w:rsidR="003F00CC" w:rsidRPr="00D5218C">
        <w:t xml:space="preserve">. Where this paper will differ from other criticism is in the postulation that Oedipus, a man of immense intellect capable of solving the Sphinx riddle, would have had the constructive knowledge and deductive capacity to recognise the risk inherent in killing a man old enough to be his father. The point being made here is that it would have been a very likely observation to someone with his intelligence that the old man before him could have been his father. As such it would be hard to say Oedipus was ignorant in the way that Aristotle outlined </w:t>
      </w:r>
      <w:r w:rsidR="00E10B8A" w:rsidRPr="00D5218C">
        <w:t>one needed to be</w:t>
      </w:r>
      <w:r w:rsidR="003F00CC" w:rsidRPr="00D5218C">
        <w:t xml:space="preserve"> </w:t>
      </w:r>
      <w:proofErr w:type="gramStart"/>
      <w:r w:rsidR="003F00CC" w:rsidRPr="00D5218C">
        <w:t>in order to</w:t>
      </w:r>
      <w:proofErr w:type="gramEnd"/>
      <w:r w:rsidR="003F00CC" w:rsidRPr="00D5218C">
        <w:t xml:space="preserve"> commit </w:t>
      </w:r>
      <w:r w:rsidR="003F00CC" w:rsidRPr="00D5218C">
        <w:rPr>
          <w:i/>
        </w:rPr>
        <w:t>hamartia</w:t>
      </w:r>
      <w:r w:rsidR="003F00CC" w:rsidRPr="00D5218C">
        <w:t xml:space="preserve">. As such, </w:t>
      </w:r>
      <w:proofErr w:type="gramStart"/>
      <w:r w:rsidR="003F00CC" w:rsidRPr="00D5218C">
        <w:t>this reading challenges</w:t>
      </w:r>
      <w:proofErr w:type="gramEnd"/>
      <w:r w:rsidR="003F00CC" w:rsidRPr="00D5218C">
        <w:t xml:space="preserve"> the orthodox </w:t>
      </w:r>
      <w:r w:rsidR="00F60C25" w:rsidRPr="00D5218C">
        <w:t>interpretation of the play, as expressed by Nancy Sherman,</w:t>
      </w:r>
      <w:r w:rsidR="003F00CC" w:rsidRPr="00D5218C">
        <w:t xml:space="preserve"> as one where </w:t>
      </w:r>
      <w:r w:rsidR="00F60C25" w:rsidRPr="00D5218C">
        <w:rPr>
          <w:rFonts w:cstheme="minorHAnsi"/>
        </w:rPr>
        <w:t xml:space="preserve">‘Oedipus acts out of an ignorance that is stultifying’ and </w:t>
      </w:r>
      <w:r w:rsidR="00F60C25" w:rsidRPr="00D5218C">
        <w:t xml:space="preserve">there </w:t>
      </w:r>
      <w:r w:rsidR="00F60C25" w:rsidRPr="00D5218C">
        <w:rPr>
          <w:rFonts w:cstheme="minorHAnsi"/>
        </w:rPr>
        <w:t>‘is little he contributed to bring it on, and little he could have done at crucial moments to come to an earlier recognition’.</w:t>
      </w:r>
      <w:r w:rsidR="00F60C25" w:rsidRPr="00D5218C">
        <w:rPr>
          <w:rStyle w:val="FootnoteReference"/>
          <w:rFonts w:cstheme="minorHAnsi"/>
        </w:rPr>
        <w:footnoteReference w:id="8"/>
      </w:r>
    </w:p>
    <w:p w14:paraId="5B8D68E3" w14:textId="3ECF9591" w:rsidR="00A32E07" w:rsidRPr="00D5218C" w:rsidRDefault="00A32E07" w:rsidP="003F00CC">
      <w:pPr>
        <w:jc w:val="both"/>
      </w:pPr>
      <w:r w:rsidRPr="00D5218C">
        <w:rPr>
          <w:rFonts w:cstheme="minorHAnsi"/>
        </w:rPr>
        <w:t xml:space="preserve">Continuing this chain of thought, it may </w:t>
      </w:r>
      <w:r w:rsidR="00E10B8A" w:rsidRPr="00D5218C">
        <w:rPr>
          <w:rFonts w:cstheme="minorHAnsi"/>
        </w:rPr>
        <w:t xml:space="preserve">also </w:t>
      </w:r>
      <w:r w:rsidRPr="00D5218C">
        <w:rPr>
          <w:rFonts w:cstheme="minorHAnsi"/>
        </w:rPr>
        <w:t xml:space="preserve">be sensible to consider whether it would have been perceived as odd for a young man roughly of Oedipus’ age to enter a relationship with a woman old enough to be his mother. </w:t>
      </w:r>
      <w:r w:rsidR="0064666D" w:rsidRPr="00D5218C">
        <w:rPr>
          <w:rFonts w:cstheme="minorHAnsi"/>
        </w:rPr>
        <w:t>This consideration will be undertaken with reference to the myths circulating contemporaneously to the play</w:t>
      </w:r>
      <w:r w:rsidR="00E10B8A" w:rsidRPr="00D5218C">
        <w:rPr>
          <w:rFonts w:cstheme="minorHAnsi"/>
        </w:rPr>
        <w:t>’s creation</w:t>
      </w:r>
      <w:r w:rsidR="0064666D" w:rsidRPr="00D5218C">
        <w:rPr>
          <w:rFonts w:cstheme="minorHAnsi"/>
        </w:rPr>
        <w:t xml:space="preserve"> and sociological studies on the common ages between heterosexual couplings. </w:t>
      </w:r>
      <w:r w:rsidRPr="00D5218C">
        <w:rPr>
          <w:rFonts w:cstheme="minorHAnsi"/>
        </w:rPr>
        <w:t xml:space="preserve">If an intergenerational pairing of this kind would have been an uncommon </w:t>
      </w:r>
      <w:r w:rsidR="0064666D" w:rsidRPr="00D5218C">
        <w:rPr>
          <w:rFonts w:cstheme="minorHAnsi"/>
        </w:rPr>
        <w:t>occurrence</w:t>
      </w:r>
      <w:r w:rsidRPr="00D5218C">
        <w:rPr>
          <w:rFonts w:cstheme="minorHAnsi"/>
        </w:rPr>
        <w:t>, then again it may</w:t>
      </w:r>
      <w:r w:rsidR="0064666D" w:rsidRPr="00D5218C">
        <w:rPr>
          <w:rFonts w:cstheme="minorHAnsi"/>
        </w:rPr>
        <w:t xml:space="preserve"> </w:t>
      </w:r>
      <w:r w:rsidRPr="00D5218C">
        <w:rPr>
          <w:rFonts w:cstheme="minorHAnsi"/>
        </w:rPr>
        <w:t>suggest that</w:t>
      </w:r>
      <w:r w:rsidR="0064666D" w:rsidRPr="00D5218C">
        <w:rPr>
          <w:rFonts w:cstheme="minorHAnsi"/>
        </w:rPr>
        <w:t xml:space="preserve">, for whatever reason, Oedipus ignored the prevailing social practice for coupling as well as his own deductive awareness of the risk of fulfilling the prophecy. It would not be unreasonable </w:t>
      </w:r>
      <w:r w:rsidR="00E10B8A" w:rsidRPr="00D5218C">
        <w:rPr>
          <w:rFonts w:cstheme="minorHAnsi"/>
        </w:rPr>
        <w:t xml:space="preserve">then </w:t>
      </w:r>
      <w:r w:rsidR="0064666D" w:rsidRPr="00D5218C">
        <w:rPr>
          <w:rFonts w:cstheme="minorHAnsi"/>
        </w:rPr>
        <w:t xml:space="preserve">to speculate that the pride Oedipus displayed on the </w:t>
      </w:r>
      <w:r w:rsidR="00E10B8A" w:rsidRPr="00D5218C">
        <w:rPr>
          <w:rFonts w:cstheme="minorHAnsi"/>
        </w:rPr>
        <w:t>highway also</w:t>
      </w:r>
      <w:r w:rsidR="0064666D" w:rsidRPr="00D5218C">
        <w:rPr>
          <w:rFonts w:cstheme="minorHAnsi"/>
        </w:rPr>
        <w:t xml:space="preserve"> drove him to ignore the obvious risk of marrying an older woman </w:t>
      </w:r>
      <w:proofErr w:type="gramStart"/>
      <w:r w:rsidR="0064666D" w:rsidRPr="00D5218C">
        <w:rPr>
          <w:rFonts w:cstheme="minorHAnsi"/>
        </w:rPr>
        <w:t xml:space="preserve">in </w:t>
      </w:r>
      <w:r w:rsidR="00E10B8A" w:rsidRPr="00D5218C">
        <w:rPr>
          <w:rFonts w:cstheme="minorHAnsi"/>
        </w:rPr>
        <w:t>order to</w:t>
      </w:r>
      <w:proofErr w:type="gramEnd"/>
      <w:r w:rsidR="00E10B8A" w:rsidRPr="00D5218C">
        <w:rPr>
          <w:rFonts w:cstheme="minorHAnsi"/>
        </w:rPr>
        <w:t xml:space="preserve"> </w:t>
      </w:r>
      <w:r w:rsidR="0064666D" w:rsidRPr="00D5218C">
        <w:rPr>
          <w:rFonts w:cstheme="minorHAnsi"/>
        </w:rPr>
        <w:t>becom</w:t>
      </w:r>
      <w:r w:rsidR="00E10B8A" w:rsidRPr="00D5218C">
        <w:rPr>
          <w:rFonts w:cstheme="minorHAnsi"/>
        </w:rPr>
        <w:t>e</w:t>
      </w:r>
      <w:r w:rsidR="0064666D" w:rsidRPr="00D5218C">
        <w:rPr>
          <w:rFonts w:cstheme="minorHAnsi"/>
        </w:rPr>
        <w:t xml:space="preserve"> a king.</w:t>
      </w:r>
    </w:p>
    <w:p w14:paraId="7F9B594C" w14:textId="618AD862" w:rsidR="003F00CC" w:rsidRPr="00D5218C" w:rsidRDefault="00F60C25" w:rsidP="00CF3FFE">
      <w:r w:rsidRPr="00D5218C">
        <w:t xml:space="preserve">Aristotle’s assumption that Oedipus was sufficiently ignorant to be pardoned and pitied </w:t>
      </w:r>
      <w:r w:rsidR="00516480" w:rsidRPr="00D5218C">
        <w:t>by</w:t>
      </w:r>
      <w:r w:rsidRPr="00D5218C">
        <w:t xml:space="preserve"> committing </w:t>
      </w:r>
      <w:r w:rsidRPr="00D5218C">
        <w:rPr>
          <w:i/>
        </w:rPr>
        <w:t>hamartia</w:t>
      </w:r>
      <w:r w:rsidRPr="00D5218C">
        <w:t xml:space="preserve"> can also be challenged using his own definition of ignorance in the </w:t>
      </w:r>
      <w:r w:rsidRPr="00D5218C">
        <w:rPr>
          <w:i/>
        </w:rPr>
        <w:t>Ethics</w:t>
      </w:r>
      <w:r w:rsidRPr="00D5218C">
        <w:t xml:space="preserve">. The </w:t>
      </w:r>
      <w:r w:rsidRPr="00D5218C">
        <w:rPr>
          <w:i/>
        </w:rPr>
        <w:t>Ethics</w:t>
      </w:r>
      <w:r w:rsidRPr="00D5218C">
        <w:t xml:space="preserve"> espouses, to quote T.C.W </w:t>
      </w:r>
      <w:proofErr w:type="spellStart"/>
      <w:r w:rsidRPr="00D5218C">
        <w:t>S</w:t>
      </w:r>
      <w:r w:rsidR="00D5218C" w:rsidRPr="00D5218C">
        <w:t>t</w:t>
      </w:r>
      <w:r w:rsidRPr="00D5218C">
        <w:t>inton</w:t>
      </w:r>
      <w:proofErr w:type="spellEnd"/>
      <w:r w:rsidRPr="00D5218C">
        <w:t xml:space="preserve">, that ‘Acts done through ignorance are unintentional unless […] the ignorance is the result of some </w:t>
      </w:r>
      <w:r w:rsidRPr="00D5218C">
        <w:rPr>
          <w:rFonts w:cstheme="minorHAnsi"/>
        </w:rPr>
        <w:t>π</w:t>
      </w:r>
      <w:proofErr w:type="spellStart"/>
      <w:r w:rsidRPr="00D5218C">
        <w:rPr>
          <w:rFonts w:cstheme="minorHAnsi"/>
        </w:rPr>
        <w:t>άθος</w:t>
      </w:r>
      <w:proofErr w:type="spellEnd"/>
      <w:r w:rsidRPr="00D5218C">
        <w:rPr>
          <w:rFonts w:cstheme="minorHAnsi"/>
        </w:rPr>
        <w:t xml:space="preserve">, e.g. drunkenness or anger, in which case the agent acts not </w:t>
      </w:r>
      <w:r w:rsidRPr="00D5218C">
        <w:rPr>
          <w:rFonts w:cstheme="minorHAnsi"/>
          <w:i/>
        </w:rPr>
        <w:t>through</w:t>
      </w:r>
      <w:r w:rsidRPr="00D5218C">
        <w:rPr>
          <w:rFonts w:cstheme="minorHAnsi"/>
        </w:rPr>
        <w:t xml:space="preserve"> ignorance but </w:t>
      </w:r>
      <w:r w:rsidRPr="00D5218C">
        <w:rPr>
          <w:rFonts w:cstheme="minorHAnsi"/>
          <w:i/>
        </w:rPr>
        <w:t>in</w:t>
      </w:r>
      <w:r w:rsidRPr="00D5218C">
        <w:rPr>
          <w:rFonts w:cstheme="minorHAnsi"/>
        </w:rPr>
        <w:t xml:space="preserve"> ignorance’.</w:t>
      </w:r>
      <w:r w:rsidRPr="00D5218C">
        <w:rPr>
          <w:rStyle w:val="FootnoteReference"/>
          <w:rFonts w:cstheme="minorHAnsi"/>
        </w:rPr>
        <w:footnoteReference w:id="9"/>
      </w:r>
      <w:r w:rsidRPr="00D5218C">
        <w:rPr>
          <w:rFonts w:cstheme="minorHAnsi"/>
        </w:rPr>
        <w:t xml:space="preserve"> However, we know from Oedipus’ own admission that </w:t>
      </w:r>
      <w:r w:rsidR="00F65230" w:rsidRPr="00D5218C">
        <w:rPr>
          <w:rFonts w:cstheme="minorHAnsi"/>
        </w:rPr>
        <w:t xml:space="preserve">he slew Laius and the travelling party in anger as they insulted his sense of nobility. This rage is precisely that which Aristotle described as disqualifying one from being said to have acted ignorantly, as the ignorance is a voluntary state of mind </w:t>
      </w:r>
      <w:proofErr w:type="gramStart"/>
      <w:r w:rsidR="00F65230" w:rsidRPr="00D5218C">
        <w:rPr>
          <w:rFonts w:cstheme="minorHAnsi"/>
        </w:rPr>
        <w:t>entered into</w:t>
      </w:r>
      <w:proofErr w:type="gramEnd"/>
      <w:r w:rsidR="00F65230" w:rsidRPr="00D5218C">
        <w:rPr>
          <w:rFonts w:cstheme="minorHAnsi"/>
        </w:rPr>
        <w:t xml:space="preserve"> at will. This reading challenges the traditional commentary of Oedipus as pardonable by claiming that he chose to ignore his constructive knowledge of the risk posed by killing older men to disproportionately retaliate for what he perceived to be their affront </w:t>
      </w:r>
      <w:r w:rsidR="00C92746" w:rsidRPr="00D5218C">
        <w:rPr>
          <w:rFonts w:cstheme="minorHAnsi"/>
        </w:rPr>
        <w:t>to</w:t>
      </w:r>
      <w:r w:rsidR="00F65230" w:rsidRPr="00D5218C">
        <w:rPr>
          <w:rFonts w:cstheme="minorHAnsi"/>
        </w:rPr>
        <w:t xml:space="preserve"> his nobility.</w:t>
      </w:r>
    </w:p>
    <w:p w14:paraId="7B03EBCD" w14:textId="77777777" w:rsidR="00A610A9" w:rsidRPr="00D5218C" w:rsidRDefault="00A610A9" w:rsidP="00A610A9">
      <w:pPr>
        <w:rPr>
          <w:u w:val="single"/>
        </w:rPr>
      </w:pPr>
    </w:p>
    <w:p w14:paraId="07C11187" w14:textId="010D6C64" w:rsidR="00A610A9" w:rsidRPr="00D5218C" w:rsidRDefault="00A610A9" w:rsidP="00A610A9">
      <w:pPr>
        <w:rPr>
          <w:u w:val="single"/>
        </w:rPr>
      </w:pPr>
      <w:r w:rsidRPr="00D5218C">
        <w:rPr>
          <w:u w:val="single"/>
        </w:rPr>
        <w:t>Gender: Toxic masculinity and Heroism</w:t>
      </w:r>
    </w:p>
    <w:p w14:paraId="3F47D2CC" w14:textId="48747DAB" w:rsidR="003902A1" w:rsidRPr="00D5218C" w:rsidRDefault="00A610A9">
      <w:r w:rsidRPr="00D5218C">
        <w:t xml:space="preserve">On the other hand, many critics would retort that Oedipus’ response was an unproblematic reaction that was wholly conventional and within the tropes of heroic masculinity. Examples being </w:t>
      </w:r>
      <w:r w:rsidR="00151058" w:rsidRPr="00D5218C">
        <w:t xml:space="preserve">Aeneas’ killing of unarmed priests in book 9 of the </w:t>
      </w:r>
      <w:r w:rsidR="00151058" w:rsidRPr="00D5218C">
        <w:rPr>
          <w:i/>
        </w:rPr>
        <w:t>Aeneid</w:t>
      </w:r>
      <w:r w:rsidR="00151058" w:rsidRPr="00D5218C">
        <w:t xml:space="preserve">, Menelaus throwing </w:t>
      </w:r>
      <w:proofErr w:type="spellStart"/>
      <w:r w:rsidR="00151058" w:rsidRPr="00D5218C">
        <w:t>Asynax</w:t>
      </w:r>
      <w:proofErr w:type="spellEnd"/>
      <w:r w:rsidR="00151058" w:rsidRPr="00D5218C">
        <w:t xml:space="preserve"> from Troy’s walls in the </w:t>
      </w:r>
      <w:r w:rsidR="00151058" w:rsidRPr="00D5218C">
        <w:rPr>
          <w:i/>
        </w:rPr>
        <w:t>Iliad</w:t>
      </w:r>
      <w:r w:rsidR="00151058" w:rsidRPr="00D5218C">
        <w:t xml:space="preserve"> and the victims of Odysseus’ pillaging in the </w:t>
      </w:r>
      <w:r w:rsidR="00151058" w:rsidRPr="00D5218C">
        <w:rPr>
          <w:i/>
        </w:rPr>
        <w:t>Odyssey</w:t>
      </w:r>
      <w:r w:rsidR="00151058" w:rsidRPr="00D5218C">
        <w:t>. Yet, here</w:t>
      </w:r>
      <w:r w:rsidR="00002031" w:rsidRPr="00D5218C">
        <w:t>in</w:t>
      </w:r>
      <w:r w:rsidR="00151058" w:rsidRPr="00D5218C">
        <w:t xml:space="preserve"> lies the </w:t>
      </w:r>
      <w:r w:rsidR="00002031" w:rsidRPr="00D5218C">
        <w:t>problem</w:t>
      </w:r>
      <w:r w:rsidR="00151058" w:rsidRPr="00D5218C">
        <w:t>. As of yet, most reading</w:t>
      </w:r>
      <w:r w:rsidR="00516480" w:rsidRPr="00D5218C">
        <w:t>s</w:t>
      </w:r>
      <w:r w:rsidR="00151058" w:rsidRPr="00D5218C">
        <w:t xml:space="preserve"> that adhere to this school of thought overlook Oedipus’ highway bloodshed as nothing more than a </w:t>
      </w:r>
      <w:proofErr w:type="gramStart"/>
      <w:r w:rsidR="00151058" w:rsidRPr="00D5218C">
        <w:t xml:space="preserve">genre convention </w:t>
      </w:r>
      <w:r w:rsidR="00516480" w:rsidRPr="00D5218C">
        <w:t>befitting heroes</w:t>
      </w:r>
      <w:proofErr w:type="gramEnd"/>
      <w:r w:rsidR="00516480" w:rsidRPr="00D5218C">
        <w:t xml:space="preserve">; something </w:t>
      </w:r>
      <w:r w:rsidR="00151058" w:rsidRPr="00D5218C">
        <w:t xml:space="preserve">akin to an </w:t>
      </w:r>
      <w:proofErr w:type="spellStart"/>
      <w:r w:rsidR="00151058" w:rsidRPr="00D5218C">
        <w:t>aristeia</w:t>
      </w:r>
      <w:proofErr w:type="spellEnd"/>
      <w:r w:rsidR="00151058" w:rsidRPr="00D5218C">
        <w:t xml:space="preserve">. </w:t>
      </w:r>
      <w:r w:rsidR="003902A1" w:rsidRPr="00D5218C">
        <w:t xml:space="preserve">The fact that only one critic of the many read in preparation for this discussion saw it fit to discuss the actual legality of Oedipus’ murders is testament to how unproblematic his behaviour is taken to be. By contrast, this dissertation will consider the homicide laws that inform tragedies of this period: chiefly </w:t>
      </w:r>
      <w:proofErr w:type="spellStart"/>
      <w:r w:rsidR="003902A1" w:rsidRPr="00D5218C">
        <w:t>Drakon’s</w:t>
      </w:r>
      <w:proofErr w:type="spellEnd"/>
      <w:r w:rsidR="003902A1" w:rsidRPr="00D5218C">
        <w:t xml:space="preserve"> laws on murder.</w:t>
      </w:r>
      <w:r w:rsidR="003902A1" w:rsidRPr="00D5218C">
        <w:rPr>
          <w:rStyle w:val="FootnoteReference"/>
        </w:rPr>
        <w:footnoteReference w:id="10"/>
      </w:r>
    </w:p>
    <w:p w14:paraId="64388BFA" w14:textId="7706145B" w:rsidR="00206DCD" w:rsidRPr="00D5218C" w:rsidRDefault="00516480">
      <w:r w:rsidRPr="00D5218C">
        <w:t>The result of gentrifying such acts of brutality as genre conventions is that</w:t>
      </w:r>
      <w:r w:rsidR="003902A1" w:rsidRPr="00D5218C">
        <w:t xml:space="preserve"> </w:t>
      </w:r>
      <w:r w:rsidRPr="00D5218C">
        <w:t xml:space="preserve">these </w:t>
      </w:r>
      <w:r w:rsidR="00002031" w:rsidRPr="00D5218C">
        <w:t>heinous acts avoid reproach and</w:t>
      </w:r>
      <w:r w:rsidR="00002031" w:rsidRPr="00D5218C">
        <w:t>,</w:t>
      </w:r>
      <w:r w:rsidR="00002031" w:rsidRPr="00D5218C">
        <w:t xml:space="preserve"> </w:t>
      </w:r>
      <w:r w:rsidR="00002031" w:rsidRPr="00D5218C">
        <w:t xml:space="preserve">in somewhat of a perverse way, </w:t>
      </w:r>
      <w:r w:rsidRPr="00D5218C">
        <w:t xml:space="preserve">take on </w:t>
      </w:r>
      <w:r w:rsidR="00002031" w:rsidRPr="00D5218C">
        <w:t xml:space="preserve">a </w:t>
      </w:r>
      <w:r w:rsidRPr="00D5218C">
        <w:t xml:space="preserve">virtue in and of themselves. </w:t>
      </w:r>
      <w:r w:rsidR="00151058" w:rsidRPr="00D5218C">
        <w:t>Phillip Tonner</w:t>
      </w:r>
      <w:r w:rsidRPr="00D5218C">
        <w:t>’s commentary is indicative of this since in his opinion ‘Oedipus’ good and noble character was formatively involved in his murderous actions’.</w:t>
      </w:r>
      <w:r w:rsidRPr="00D5218C">
        <w:rPr>
          <w:rStyle w:val="FootnoteReference"/>
        </w:rPr>
        <w:footnoteReference w:id="11"/>
      </w:r>
      <w:r w:rsidRPr="00D5218C">
        <w:t xml:space="preserve"> </w:t>
      </w:r>
      <w:r w:rsidR="00090536" w:rsidRPr="00D5218C">
        <w:t xml:space="preserve">Tonner continues this </w:t>
      </w:r>
      <w:r w:rsidR="00002031" w:rsidRPr="00D5218C">
        <w:t>startling</w:t>
      </w:r>
      <w:r w:rsidR="00090536" w:rsidRPr="00D5218C">
        <w:t xml:space="preserve"> ethical contradiction: “It was his nobility that led Oedipus to kill the stranger. He had been offended and physically assaulted by his victims before he killed them […] this act was done in the right way at the right time to the right people and did not result from a defect of character. Rather, it was done by a noble, kingly individual who had been grossly affronted and assaulted.’</w:t>
      </w:r>
      <w:r w:rsidR="00090536" w:rsidRPr="00D5218C">
        <w:rPr>
          <w:rStyle w:val="FootnoteReference"/>
        </w:rPr>
        <w:footnoteReference w:id="12"/>
      </w:r>
      <w:r w:rsidRPr="00D5218C">
        <w:t xml:space="preserve"> </w:t>
      </w:r>
      <w:r w:rsidR="00090536" w:rsidRPr="00D5218C">
        <w:t>Whether Tonner realises it or not, this analysis and others like it</w:t>
      </w:r>
      <w:r w:rsidR="00206DCD" w:rsidRPr="00D5218C">
        <w:t>,</w:t>
      </w:r>
      <w:r w:rsidR="00090536" w:rsidRPr="00D5218C">
        <w:t xml:space="preserve"> </w:t>
      </w:r>
      <w:r w:rsidR="00206DCD" w:rsidRPr="00D5218C">
        <w:t>legitimise</w:t>
      </w:r>
      <w:r w:rsidR="00090536" w:rsidRPr="00D5218C">
        <w:t xml:space="preserve"> </w:t>
      </w:r>
      <w:r w:rsidR="00206DCD" w:rsidRPr="00D5218C">
        <w:t>a</w:t>
      </w:r>
      <w:r w:rsidR="00090536" w:rsidRPr="00D5218C">
        <w:t xml:space="preserve"> </w:t>
      </w:r>
      <w:r w:rsidR="00206DCD" w:rsidRPr="00D5218C">
        <w:t xml:space="preserve">class based </w:t>
      </w:r>
      <w:r w:rsidR="00090536" w:rsidRPr="00D5218C">
        <w:t xml:space="preserve">reactionary male violence </w:t>
      </w:r>
      <w:r w:rsidR="00206DCD" w:rsidRPr="00D5218C">
        <w:t>with the result that a</w:t>
      </w:r>
      <w:r w:rsidR="007970DA" w:rsidRPr="00D5218C">
        <w:t>n</w:t>
      </w:r>
      <w:r w:rsidR="00206DCD" w:rsidRPr="00D5218C">
        <w:t xml:space="preserve"> aristocratic notion of toxic masculinity is normalised. Although this criticism is somewhat modern, it can still persuasively challenge the normalisation of Oedipus’ unrepented murders and seriously query the play’s </w:t>
      </w:r>
      <w:r w:rsidR="00312653" w:rsidRPr="00D5218C">
        <w:t>supposed</w:t>
      </w:r>
      <w:r w:rsidR="00206DCD" w:rsidRPr="00D5218C">
        <w:t xml:space="preserve"> tragic quality. To refine this aspect of the dissertation </w:t>
      </w:r>
      <w:r w:rsidR="006937F0" w:rsidRPr="00D5218C">
        <w:t>I will</w:t>
      </w:r>
      <w:r w:rsidR="00206DCD" w:rsidRPr="00D5218C">
        <w:t xml:space="preserve"> consider commentaries on ancient notions of masculinity</w:t>
      </w:r>
      <w:r w:rsidR="00002031" w:rsidRPr="00D5218C">
        <w:t>.</w:t>
      </w:r>
      <w:r w:rsidR="00206DCD" w:rsidRPr="00D5218C">
        <w:t xml:space="preserve"> </w:t>
      </w:r>
    </w:p>
    <w:p w14:paraId="3BA46AD1" w14:textId="77777777" w:rsidR="00206DCD" w:rsidRPr="00D5218C" w:rsidRDefault="00206DCD"/>
    <w:p w14:paraId="75419B1E" w14:textId="09D46348" w:rsidR="00FD4374" w:rsidRPr="00D5218C" w:rsidRDefault="0064666D">
      <w:pPr>
        <w:rPr>
          <w:u w:val="single"/>
        </w:rPr>
      </w:pPr>
      <w:r w:rsidRPr="00D5218C">
        <w:rPr>
          <w:u w:val="single"/>
        </w:rPr>
        <w:t>Theology: The Oracle</w:t>
      </w:r>
    </w:p>
    <w:p w14:paraId="7DF7D937" w14:textId="392414B2" w:rsidR="0064666D" w:rsidRPr="00D5218C" w:rsidRDefault="007970DA">
      <w:proofErr w:type="gramStart"/>
      <w:r w:rsidRPr="00D5218C">
        <w:t>Similar to</w:t>
      </w:r>
      <w:proofErr w:type="gramEnd"/>
      <w:r w:rsidRPr="00D5218C">
        <w:t xml:space="preserve"> the above consideration, as to whether Oedipus discarded common social practice and coupled with an older woman to acquire sovereignty, this dissertation will </w:t>
      </w:r>
      <w:r w:rsidR="001221A2" w:rsidRPr="00D5218C">
        <w:t>also reflect upon the regard that the Oracle and their prophecies were held in, and if Oedipus’ disregard of them would have appeared hubristic</w:t>
      </w:r>
      <w:r w:rsidR="00112D87" w:rsidRPr="00D5218C">
        <w:t xml:space="preserve"> in the original sense of to insult the gods. To determine this, this dissertation will study the Oracle’s place in Apollonian theology</w:t>
      </w:r>
      <w:r w:rsidR="0084280D" w:rsidRPr="00D5218C">
        <w:t xml:space="preserve">, and </w:t>
      </w:r>
      <w:proofErr w:type="gramStart"/>
      <w:r w:rsidR="0084280D" w:rsidRPr="00D5218C">
        <w:t>in particular the</w:t>
      </w:r>
      <w:proofErr w:type="gramEnd"/>
      <w:r w:rsidR="0084280D" w:rsidRPr="00D5218C">
        <w:t xml:space="preserve"> work of David Kovacs.</w:t>
      </w:r>
      <w:r w:rsidR="0084280D" w:rsidRPr="00D5218C">
        <w:rPr>
          <w:rStyle w:val="FootnoteReference"/>
        </w:rPr>
        <w:footnoteReference w:id="13"/>
      </w:r>
    </w:p>
    <w:p w14:paraId="521CA0D7" w14:textId="307F24EC" w:rsidR="00395482" w:rsidRPr="00D5218C" w:rsidRDefault="00112D87" w:rsidP="00112D87">
      <w:r w:rsidRPr="00D5218C">
        <w:t xml:space="preserve">The second theological point </w:t>
      </w:r>
      <w:r w:rsidR="00395482" w:rsidRPr="00D5218C">
        <w:t xml:space="preserve">to discuss, and one that has received little critical thought, is how </w:t>
      </w:r>
      <w:r w:rsidR="00395482" w:rsidRPr="00D5218C">
        <w:rPr>
          <w:i/>
        </w:rPr>
        <w:t>hamartia</w:t>
      </w:r>
      <w:r w:rsidR="00395482" w:rsidRPr="00D5218C">
        <w:t xml:space="preserve"> cannot accommodate for the possibility that Oedipus’ acted according to Apollo’s design</w:t>
      </w:r>
      <w:r w:rsidR="006937F0" w:rsidRPr="00D5218C">
        <w:t xml:space="preserve"> because the term only assumes the actor had total agency</w:t>
      </w:r>
      <w:r w:rsidR="00395482" w:rsidRPr="00D5218C">
        <w:t>.</w:t>
      </w:r>
      <w:r w:rsidR="0084280D" w:rsidRPr="00D5218C">
        <w:t xml:space="preserve"> </w:t>
      </w:r>
    </w:p>
    <w:p w14:paraId="5FE8AE7C" w14:textId="1DED423A" w:rsidR="0064666D" w:rsidRPr="00D5218C" w:rsidRDefault="0064666D"/>
    <w:p w14:paraId="32127FF7" w14:textId="0AC3F8DB" w:rsidR="00B35666" w:rsidRPr="00D5218C" w:rsidRDefault="00B35666"/>
    <w:p w14:paraId="1B2EA009" w14:textId="77777777" w:rsidR="00B35666" w:rsidRPr="00D5218C" w:rsidRDefault="00B35666"/>
    <w:p w14:paraId="3AEFD5E3" w14:textId="77777777" w:rsidR="00B35666" w:rsidRPr="00D5218C" w:rsidRDefault="00B35666" w:rsidP="003902A1">
      <w:pPr>
        <w:rPr>
          <w:u w:val="single"/>
        </w:rPr>
      </w:pPr>
      <w:r w:rsidRPr="00D5218C">
        <w:rPr>
          <w:i/>
          <w:u w:val="single"/>
        </w:rPr>
        <w:t>Hamartia</w:t>
      </w:r>
      <w:r w:rsidRPr="00D5218C">
        <w:rPr>
          <w:u w:val="single"/>
        </w:rPr>
        <w:t xml:space="preserve"> as synonym for moral short-sightedness</w:t>
      </w:r>
      <w:r w:rsidR="003902A1" w:rsidRPr="00D5218C">
        <w:rPr>
          <w:u w:val="single"/>
        </w:rPr>
        <w:t>?</w:t>
      </w:r>
    </w:p>
    <w:p w14:paraId="55EC5F97" w14:textId="5104BDBA" w:rsidR="003902A1" w:rsidRDefault="003902A1" w:rsidP="003902A1">
      <w:r w:rsidRPr="00D5218C">
        <w:t xml:space="preserve">The last method to be adopted by this dissertation will be a </w:t>
      </w:r>
      <w:r w:rsidR="00AB7E81" w:rsidRPr="00D5218C">
        <w:t xml:space="preserve">brief </w:t>
      </w:r>
      <w:r w:rsidR="00B35666" w:rsidRPr="00D5218C">
        <w:t xml:space="preserve">survey of the </w:t>
      </w:r>
      <w:r w:rsidR="00AB7E81" w:rsidRPr="00D5218C">
        <w:t xml:space="preserve">classical </w:t>
      </w:r>
      <w:r w:rsidR="00B35666" w:rsidRPr="00D5218C">
        <w:t>tragic genre</w:t>
      </w:r>
      <w:r w:rsidR="00AB7E81" w:rsidRPr="00D5218C">
        <w:t xml:space="preserve"> </w:t>
      </w:r>
      <w:proofErr w:type="gramStart"/>
      <w:r w:rsidR="00AB7E81" w:rsidRPr="00D5218C">
        <w:t>in order to</w:t>
      </w:r>
      <w:proofErr w:type="gramEnd"/>
      <w:r w:rsidR="00AB7E81" w:rsidRPr="00D5218C">
        <w:t xml:space="preserve"> understood how widespread the occurrence of </w:t>
      </w:r>
      <w:r w:rsidR="00AB7E81" w:rsidRPr="00D5218C">
        <w:rPr>
          <w:i/>
        </w:rPr>
        <w:t>hamartia</w:t>
      </w:r>
      <w:r w:rsidR="00AB7E81" w:rsidRPr="00D5218C">
        <w:t xml:space="preserve"> in other works is. </w:t>
      </w:r>
      <w:r w:rsidRPr="00D5218C">
        <w:t xml:space="preserve">This </w:t>
      </w:r>
      <w:r w:rsidR="00AB7E81" w:rsidRPr="00D5218C">
        <w:t xml:space="preserve">approach </w:t>
      </w:r>
      <w:r w:rsidRPr="00D5218C">
        <w:t xml:space="preserve">was prompted by </w:t>
      </w:r>
      <w:r w:rsidR="00B35666" w:rsidRPr="00D5218C">
        <w:t xml:space="preserve">Leon Golden who noticed that </w:t>
      </w:r>
      <w:r w:rsidR="00B35666" w:rsidRPr="00D5218C">
        <w:t>‘The specific pattern of tragic action involved in Aristotle’s definition of tragedy can be found in Othello and in very few other works.’</w:t>
      </w:r>
      <w:r w:rsidR="00B35666" w:rsidRPr="00D5218C">
        <w:rPr>
          <w:rStyle w:val="FootnoteReference"/>
        </w:rPr>
        <w:footnoteReference w:id="14"/>
      </w:r>
      <w:r w:rsidR="00B35666" w:rsidRPr="00D5218C">
        <w:t xml:space="preserve"> He </w:t>
      </w:r>
      <w:r w:rsidR="00B35666" w:rsidRPr="00D5218C">
        <w:t>asserts</w:t>
      </w:r>
      <w:r w:rsidR="00B35666" w:rsidRPr="00D5218C">
        <w:t>, and perhaps rightly so, that it is more often the case that protagonists ‘commit moral as well as intellectual errors and whose destinies evoke, not pity and fear from the audience, but, at best, some hint or trace of pity and, at worst, outright rejection and condemnation.’</w:t>
      </w:r>
      <w:r w:rsidR="00B35666" w:rsidRPr="00D5218C">
        <w:rPr>
          <w:rStyle w:val="FootnoteReference"/>
        </w:rPr>
        <w:footnoteReference w:id="15"/>
      </w:r>
      <w:r w:rsidR="00B35666" w:rsidRPr="00D5218C">
        <w:t xml:space="preserve"> With this in mind, could it be the case that the scant occurrence of hamartia in very few other works considered tragic could be because it is unsuited as a concept for </w:t>
      </w:r>
      <w:r w:rsidR="00AB7E81" w:rsidRPr="00D5218C">
        <w:t>sophisticatedly accounting for human suffering (especially when self-inflicted),</w:t>
      </w:r>
      <w:r w:rsidR="00B35666" w:rsidRPr="00D5218C">
        <w:t xml:space="preserve"> which may ultimately </w:t>
      </w:r>
      <w:r w:rsidR="00AB7E81" w:rsidRPr="00D5218C">
        <w:t>have</w:t>
      </w:r>
      <w:r w:rsidR="00B35666" w:rsidRPr="00D5218C">
        <w:t xml:space="preserve"> more </w:t>
      </w:r>
      <w:r w:rsidR="00AB7E81" w:rsidRPr="00D5218C">
        <w:t xml:space="preserve">to do with </w:t>
      </w:r>
      <w:r w:rsidR="00B35666" w:rsidRPr="00D5218C">
        <w:t xml:space="preserve">moral </w:t>
      </w:r>
      <w:r w:rsidR="00AB7E81" w:rsidRPr="00D5218C">
        <w:t xml:space="preserve">culpability than hamartia would care to acknowledge. </w:t>
      </w:r>
      <w:r w:rsidR="00B35666" w:rsidRPr="00D5218C">
        <w:t xml:space="preserve"> </w:t>
      </w:r>
    </w:p>
    <w:p w14:paraId="3DEF76A4" w14:textId="26A744E6" w:rsidR="00D5218C" w:rsidRDefault="00D5218C" w:rsidP="003902A1">
      <w:pPr>
        <w:rPr>
          <w:u w:val="single"/>
        </w:rPr>
      </w:pPr>
    </w:p>
    <w:p w14:paraId="7A0B04CB" w14:textId="13C3C667" w:rsidR="00D5218C" w:rsidRDefault="00D5218C">
      <w:pPr>
        <w:rPr>
          <w:u w:val="single"/>
        </w:rPr>
      </w:pPr>
      <w:r>
        <w:rPr>
          <w:u w:val="single"/>
        </w:rPr>
        <w:br w:type="page"/>
      </w:r>
    </w:p>
    <w:p w14:paraId="40090498" w14:textId="77777777" w:rsidR="00D5218C" w:rsidRPr="007207B1" w:rsidRDefault="00D5218C" w:rsidP="00D5218C">
      <w:pPr>
        <w:tabs>
          <w:tab w:val="left" w:pos="2595"/>
        </w:tabs>
        <w:jc w:val="both"/>
        <w:rPr>
          <w:rFonts w:ascii="Calibri" w:hAnsi="Calibri" w:cs="Calibri"/>
          <w:b/>
          <w:color w:val="000000"/>
          <w:u w:val="single"/>
          <w:shd w:val="clear" w:color="auto" w:fill="FFFFFF"/>
        </w:rPr>
      </w:pPr>
      <w:r w:rsidRPr="007207B1">
        <w:rPr>
          <w:rFonts w:ascii="Calibri" w:hAnsi="Calibri" w:cs="Calibri"/>
          <w:b/>
          <w:color w:val="000000"/>
          <w:u w:val="single"/>
          <w:shd w:val="clear" w:color="auto" w:fill="FFFFFF"/>
        </w:rPr>
        <w:t>Primary Texts</w:t>
      </w:r>
    </w:p>
    <w:p w14:paraId="35020CD1" w14:textId="77777777" w:rsidR="00D5218C" w:rsidRPr="007207B1" w:rsidRDefault="00D5218C" w:rsidP="00D5218C">
      <w:pPr>
        <w:pStyle w:val="ListParagraph"/>
        <w:numPr>
          <w:ilvl w:val="0"/>
          <w:numId w:val="11"/>
        </w:numPr>
        <w:tabs>
          <w:tab w:val="left" w:pos="2595"/>
        </w:tabs>
        <w:jc w:val="both"/>
        <w:rPr>
          <w:rFonts w:ascii="Calibri" w:hAnsi="Calibri" w:cs="Calibri"/>
          <w:color w:val="000000"/>
          <w:shd w:val="clear" w:color="auto" w:fill="FFFFFF"/>
        </w:rPr>
      </w:pPr>
      <w:r>
        <w:rPr>
          <w:rFonts w:ascii="Arial" w:hAnsi="Arial" w:cs="Arial"/>
          <w:color w:val="000000"/>
          <w:sz w:val="20"/>
          <w:szCs w:val="20"/>
          <w:shd w:val="clear" w:color="auto" w:fill="FFFFFF"/>
        </w:rPr>
        <w:t>Aristoteles. and Brown, L. (2009). </w:t>
      </w:r>
      <w:r>
        <w:rPr>
          <w:rFonts w:ascii="Arial" w:hAnsi="Arial" w:cs="Arial"/>
          <w:i/>
          <w:iCs/>
          <w:color w:val="000000"/>
          <w:sz w:val="20"/>
          <w:szCs w:val="20"/>
          <w:shd w:val="clear" w:color="auto" w:fill="FFFFFF"/>
        </w:rPr>
        <w:t>The Nicomachean ethics</w:t>
      </w:r>
      <w:r>
        <w:rPr>
          <w:rFonts w:ascii="Arial" w:hAnsi="Arial" w:cs="Arial"/>
          <w:color w:val="000000"/>
          <w:sz w:val="20"/>
          <w:szCs w:val="20"/>
          <w:shd w:val="clear" w:color="auto" w:fill="FFFFFF"/>
        </w:rPr>
        <w:t>. Oxford: Oxford University Press.</w:t>
      </w:r>
    </w:p>
    <w:p w14:paraId="2AB28059" w14:textId="77777777" w:rsidR="00D5218C" w:rsidRPr="007207B1" w:rsidRDefault="00D5218C" w:rsidP="00D5218C">
      <w:pPr>
        <w:pStyle w:val="ListParagraph"/>
        <w:numPr>
          <w:ilvl w:val="0"/>
          <w:numId w:val="11"/>
        </w:numPr>
        <w:tabs>
          <w:tab w:val="left" w:pos="2595"/>
        </w:tabs>
        <w:jc w:val="both"/>
        <w:rPr>
          <w:rFonts w:ascii="Calibri" w:hAnsi="Calibri" w:cs="Calibri"/>
          <w:color w:val="000000"/>
          <w:shd w:val="clear" w:color="auto" w:fill="FFFFFF"/>
        </w:rPr>
      </w:pPr>
      <w:r>
        <w:rPr>
          <w:rFonts w:ascii="Arial" w:hAnsi="Arial" w:cs="Arial"/>
          <w:color w:val="000000"/>
          <w:sz w:val="20"/>
          <w:szCs w:val="20"/>
          <w:shd w:val="clear" w:color="auto" w:fill="FFFFFF"/>
        </w:rPr>
        <w:t>Aristoteles. and Heath, M. (1</w:t>
      </w:r>
      <w:bookmarkStart w:id="1" w:name="_GoBack"/>
      <w:bookmarkEnd w:id="1"/>
      <w:r>
        <w:rPr>
          <w:rFonts w:ascii="Arial" w:hAnsi="Arial" w:cs="Arial"/>
          <w:color w:val="000000"/>
          <w:sz w:val="20"/>
          <w:szCs w:val="20"/>
          <w:shd w:val="clear" w:color="auto" w:fill="FFFFFF"/>
        </w:rPr>
        <w:t>996). </w:t>
      </w:r>
      <w:r>
        <w:rPr>
          <w:rFonts w:ascii="Arial" w:hAnsi="Arial" w:cs="Arial"/>
          <w:i/>
          <w:iCs/>
          <w:color w:val="000000"/>
          <w:sz w:val="20"/>
          <w:szCs w:val="20"/>
          <w:shd w:val="clear" w:color="auto" w:fill="FFFFFF"/>
        </w:rPr>
        <w:t>Poetics</w:t>
      </w:r>
      <w:r>
        <w:rPr>
          <w:rFonts w:ascii="Arial" w:hAnsi="Arial" w:cs="Arial"/>
          <w:color w:val="000000"/>
          <w:sz w:val="20"/>
          <w:szCs w:val="20"/>
          <w:shd w:val="clear" w:color="auto" w:fill="FFFFFF"/>
        </w:rPr>
        <w:t>. London [etc.]: Penguin Books.</w:t>
      </w:r>
    </w:p>
    <w:p w14:paraId="1CF2A8AE" w14:textId="77777777" w:rsidR="00D5218C" w:rsidRPr="007207B1" w:rsidRDefault="00D5218C" w:rsidP="00D5218C">
      <w:pPr>
        <w:pStyle w:val="ListParagraph"/>
        <w:numPr>
          <w:ilvl w:val="0"/>
          <w:numId w:val="11"/>
        </w:numPr>
        <w:tabs>
          <w:tab w:val="left" w:pos="2595"/>
        </w:tabs>
        <w:jc w:val="both"/>
        <w:rPr>
          <w:rFonts w:ascii="Calibri" w:hAnsi="Calibri" w:cs="Calibri"/>
          <w:color w:val="000000"/>
          <w:shd w:val="clear" w:color="auto" w:fill="FFFFFF"/>
        </w:rPr>
      </w:pPr>
      <w:r>
        <w:rPr>
          <w:rFonts w:ascii="Arial" w:hAnsi="Arial" w:cs="Arial"/>
          <w:color w:val="000000"/>
          <w:sz w:val="20"/>
          <w:szCs w:val="20"/>
          <w:shd w:val="clear" w:color="auto" w:fill="FFFFFF"/>
        </w:rPr>
        <w:t>Knox, B. and Sophocles. (2014). </w:t>
      </w:r>
      <w:r>
        <w:rPr>
          <w:rFonts w:ascii="Arial" w:hAnsi="Arial" w:cs="Arial"/>
          <w:i/>
          <w:iCs/>
          <w:color w:val="000000"/>
          <w:sz w:val="20"/>
          <w:szCs w:val="20"/>
          <w:shd w:val="clear" w:color="auto" w:fill="FFFFFF"/>
        </w:rPr>
        <w:t>The Three Theban plays</w:t>
      </w:r>
      <w:r>
        <w:rPr>
          <w:rFonts w:ascii="Arial" w:hAnsi="Arial" w:cs="Arial"/>
          <w:color w:val="000000"/>
          <w:sz w:val="20"/>
          <w:szCs w:val="20"/>
          <w:shd w:val="clear" w:color="auto" w:fill="FFFFFF"/>
        </w:rPr>
        <w:t>. New York: Penguin Books.</w:t>
      </w:r>
    </w:p>
    <w:p w14:paraId="243DE697" w14:textId="77777777" w:rsidR="00D5218C" w:rsidRDefault="00D5218C" w:rsidP="00D5218C"/>
    <w:p w14:paraId="75C3FE5A" w14:textId="77777777" w:rsidR="00D5218C" w:rsidRPr="007207B1" w:rsidRDefault="00D5218C" w:rsidP="00D5218C">
      <w:pPr>
        <w:tabs>
          <w:tab w:val="left" w:pos="2595"/>
        </w:tabs>
        <w:jc w:val="both"/>
        <w:rPr>
          <w:rFonts w:ascii="Calibri" w:hAnsi="Calibri" w:cs="Calibri"/>
          <w:b/>
          <w:color w:val="000000"/>
          <w:u w:val="single"/>
          <w:shd w:val="clear" w:color="auto" w:fill="FFFFFF"/>
        </w:rPr>
      </w:pPr>
      <w:r w:rsidRPr="007207B1">
        <w:rPr>
          <w:rFonts w:ascii="Calibri" w:hAnsi="Calibri" w:cs="Calibri"/>
          <w:b/>
          <w:color w:val="000000"/>
          <w:u w:val="single"/>
          <w:shd w:val="clear" w:color="auto" w:fill="FFFFFF"/>
        </w:rPr>
        <w:t>Secondary Texts</w:t>
      </w:r>
    </w:p>
    <w:p w14:paraId="7B01B82E" w14:textId="77777777" w:rsidR="00D5218C" w:rsidRPr="00903E74" w:rsidRDefault="00D5218C" w:rsidP="00D5218C">
      <w:pPr>
        <w:pStyle w:val="ListParagraph"/>
        <w:numPr>
          <w:ilvl w:val="0"/>
          <w:numId w:val="12"/>
        </w:numPr>
        <w:tabs>
          <w:tab w:val="left" w:pos="2595"/>
        </w:tabs>
        <w:jc w:val="both"/>
        <w:rPr>
          <w:rFonts w:ascii="Calibri" w:hAnsi="Calibri" w:cs="Calibri"/>
          <w:color w:val="000000"/>
          <w:shd w:val="clear" w:color="auto" w:fill="FFFFFF"/>
        </w:rPr>
      </w:pPr>
      <w:r w:rsidRPr="00903E74">
        <w:rPr>
          <w:rFonts w:ascii="Calibri" w:hAnsi="Calibri" w:cs="Calibri"/>
          <w:color w:val="000000"/>
          <w:shd w:val="clear" w:color="auto" w:fill="FFFFFF"/>
        </w:rPr>
        <w:t xml:space="preserve">Golden, L., 1976. </w:t>
      </w:r>
      <w:bookmarkStart w:id="2" w:name="_Hlk535355980"/>
      <w:r w:rsidRPr="00903E74">
        <w:rPr>
          <w:rFonts w:ascii="Calibri" w:hAnsi="Calibri" w:cs="Calibri"/>
          <w:color w:val="000000"/>
          <w:shd w:val="clear" w:color="auto" w:fill="FFFFFF"/>
        </w:rPr>
        <w:t>Toward a definition of tragedy</w:t>
      </w:r>
      <w:bookmarkEnd w:id="2"/>
      <w:r w:rsidRPr="00903E74">
        <w:rPr>
          <w:rFonts w:ascii="Calibri" w:hAnsi="Calibri" w:cs="Calibri"/>
          <w:color w:val="000000"/>
          <w:shd w:val="clear" w:color="auto" w:fill="FFFFFF"/>
        </w:rPr>
        <w:t xml:space="preserve">. </w:t>
      </w:r>
      <w:r w:rsidRPr="00903E74">
        <w:rPr>
          <w:rFonts w:ascii="Calibri" w:hAnsi="Calibri" w:cs="Calibri"/>
          <w:i/>
          <w:color w:val="000000"/>
          <w:shd w:val="clear" w:color="auto" w:fill="FFFFFF"/>
        </w:rPr>
        <w:t>The Classical Journal</w:t>
      </w:r>
      <w:r w:rsidRPr="00903E74">
        <w:rPr>
          <w:rFonts w:ascii="Calibri" w:hAnsi="Calibri" w:cs="Calibri"/>
          <w:color w:val="000000"/>
          <w:shd w:val="clear" w:color="auto" w:fill="FFFFFF"/>
        </w:rPr>
        <w:t>, 72(1), pp.21-33.</w:t>
      </w:r>
    </w:p>
    <w:p w14:paraId="055F3B2C" w14:textId="77777777" w:rsidR="00D5218C" w:rsidRPr="00903E74" w:rsidRDefault="00D5218C" w:rsidP="00D5218C">
      <w:pPr>
        <w:pStyle w:val="ListParagraph"/>
        <w:numPr>
          <w:ilvl w:val="0"/>
          <w:numId w:val="12"/>
        </w:numPr>
        <w:tabs>
          <w:tab w:val="left" w:pos="2595"/>
        </w:tabs>
        <w:jc w:val="both"/>
        <w:rPr>
          <w:rFonts w:ascii="Calibri" w:hAnsi="Calibri" w:cs="Calibri"/>
          <w:color w:val="000000"/>
          <w:shd w:val="clear" w:color="auto" w:fill="FFFFFF"/>
        </w:rPr>
      </w:pPr>
      <w:r w:rsidRPr="00903E74">
        <w:rPr>
          <w:rFonts w:ascii="Calibri" w:hAnsi="Calibri" w:cs="Calibri"/>
          <w:color w:val="000000"/>
          <w:shd w:val="clear" w:color="auto" w:fill="FFFFFF"/>
        </w:rPr>
        <w:t xml:space="preserve">Kim, H., 2010. </w:t>
      </w:r>
      <w:bookmarkStart w:id="3" w:name="_Hlk535355786"/>
      <w:r w:rsidRPr="00903E74">
        <w:rPr>
          <w:rFonts w:ascii="Calibri" w:hAnsi="Calibri" w:cs="Calibri"/>
          <w:color w:val="000000"/>
          <w:shd w:val="clear" w:color="auto" w:fill="FFFFFF"/>
        </w:rPr>
        <w:t>Aristotle’s Hamartia Reconsidered</w:t>
      </w:r>
      <w:bookmarkEnd w:id="3"/>
      <w:r w:rsidRPr="00903E74">
        <w:rPr>
          <w:rFonts w:ascii="Calibri" w:hAnsi="Calibri" w:cs="Calibri"/>
          <w:color w:val="000000"/>
          <w:shd w:val="clear" w:color="auto" w:fill="FFFFFF"/>
        </w:rPr>
        <w:t xml:space="preserve">. </w:t>
      </w:r>
      <w:r w:rsidRPr="00903E74">
        <w:rPr>
          <w:rFonts w:ascii="Calibri" w:hAnsi="Calibri" w:cs="Calibri"/>
          <w:i/>
          <w:color w:val="000000"/>
          <w:shd w:val="clear" w:color="auto" w:fill="FFFFFF"/>
        </w:rPr>
        <w:t>Harvard Studies in Classical Philology</w:t>
      </w:r>
      <w:r w:rsidRPr="00903E74">
        <w:rPr>
          <w:rFonts w:ascii="Calibri" w:hAnsi="Calibri" w:cs="Calibri"/>
          <w:color w:val="000000"/>
          <w:shd w:val="clear" w:color="auto" w:fill="FFFFFF"/>
        </w:rPr>
        <w:t>, 105, pp.33-52.</w:t>
      </w:r>
    </w:p>
    <w:p w14:paraId="316DCCF8" w14:textId="77777777" w:rsidR="00D5218C" w:rsidRPr="00903E74" w:rsidRDefault="00D5218C" w:rsidP="00D5218C">
      <w:pPr>
        <w:pStyle w:val="ListParagraph"/>
        <w:numPr>
          <w:ilvl w:val="0"/>
          <w:numId w:val="12"/>
        </w:numPr>
        <w:tabs>
          <w:tab w:val="left" w:pos="2595"/>
        </w:tabs>
        <w:jc w:val="both"/>
        <w:rPr>
          <w:rFonts w:ascii="Calibri" w:hAnsi="Calibri" w:cs="Calibri"/>
          <w:color w:val="000000"/>
          <w:shd w:val="clear" w:color="auto" w:fill="FFFFFF"/>
        </w:rPr>
      </w:pPr>
      <w:r w:rsidRPr="00903E74">
        <w:rPr>
          <w:rFonts w:ascii="Calibri" w:hAnsi="Calibri" w:cs="Calibri"/>
          <w:color w:val="000000"/>
          <w:shd w:val="clear" w:color="auto" w:fill="FFFFFF"/>
        </w:rPr>
        <w:t xml:space="preserve">Kovacs, D., 2009. The Role of Apollo in Oedipus Tyrannus. </w:t>
      </w:r>
      <w:r w:rsidRPr="00903E74">
        <w:rPr>
          <w:rFonts w:ascii="Calibri" w:hAnsi="Calibri" w:cs="Calibri"/>
          <w:i/>
          <w:color w:val="000000"/>
          <w:shd w:val="clear" w:color="auto" w:fill="FFFFFF"/>
        </w:rPr>
        <w:t xml:space="preserve">The Play of Texts and Fragments: Essays in Honour of Martin </w:t>
      </w:r>
      <w:proofErr w:type="spellStart"/>
      <w:r w:rsidRPr="00903E74">
        <w:rPr>
          <w:rFonts w:ascii="Calibri" w:hAnsi="Calibri" w:cs="Calibri"/>
          <w:i/>
          <w:color w:val="000000"/>
          <w:shd w:val="clear" w:color="auto" w:fill="FFFFFF"/>
        </w:rPr>
        <w:t>Cropp</w:t>
      </w:r>
      <w:proofErr w:type="spellEnd"/>
      <w:r w:rsidRPr="00903E74">
        <w:rPr>
          <w:rFonts w:ascii="Calibri" w:hAnsi="Calibri" w:cs="Calibri"/>
          <w:color w:val="000000"/>
          <w:shd w:val="clear" w:color="auto" w:fill="FFFFFF"/>
        </w:rPr>
        <w:t>, pp.357-68.</w:t>
      </w:r>
    </w:p>
    <w:p w14:paraId="5C5D1298" w14:textId="77777777" w:rsidR="00D5218C" w:rsidRPr="00903E74" w:rsidRDefault="00D5218C" w:rsidP="00D5218C">
      <w:pPr>
        <w:pStyle w:val="ListParagraph"/>
        <w:numPr>
          <w:ilvl w:val="0"/>
          <w:numId w:val="12"/>
        </w:numPr>
        <w:tabs>
          <w:tab w:val="left" w:pos="2595"/>
        </w:tabs>
        <w:jc w:val="both"/>
        <w:rPr>
          <w:rFonts w:ascii="Calibri" w:hAnsi="Calibri" w:cs="Calibri"/>
          <w:color w:val="000000"/>
          <w:shd w:val="clear" w:color="auto" w:fill="FFFFFF"/>
        </w:rPr>
      </w:pPr>
      <w:r w:rsidRPr="00903E74">
        <w:rPr>
          <w:rFonts w:ascii="Arial" w:hAnsi="Arial" w:cs="Arial"/>
          <w:color w:val="000000"/>
          <w:sz w:val="20"/>
          <w:szCs w:val="20"/>
          <w:shd w:val="clear" w:color="auto" w:fill="FFFFFF"/>
        </w:rPr>
        <w:t>Roberts, E. (2014). Reconsidering Hamartia as “Sin” in 1 Corinthians. </w:t>
      </w:r>
      <w:r w:rsidRPr="00903E74">
        <w:rPr>
          <w:rFonts w:ascii="Arial" w:hAnsi="Arial" w:cs="Arial"/>
          <w:i/>
          <w:iCs/>
          <w:color w:val="000000"/>
          <w:sz w:val="20"/>
          <w:szCs w:val="20"/>
          <w:shd w:val="clear" w:color="auto" w:fill="FFFFFF"/>
        </w:rPr>
        <w:t>Method &amp; Theory in the Study of Religion</w:t>
      </w:r>
      <w:r w:rsidRPr="00903E74">
        <w:rPr>
          <w:rFonts w:ascii="Arial" w:hAnsi="Arial" w:cs="Arial"/>
          <w:color w:val="000000"/>
          <w:sz w:val="20"/>
          <w:szCs w:val="20"/>
          <w:shd w:val="clear" w:color="auto" w:fill="FFFFFF"/>
        </w:rPr>
        <w:t>, 26(4-5), pp.340-364.</w:t>
      </w:r>
    </w:p>
    <w:p w14:paraId="799F3C83" w14:textId="77777777" w:rsidR="00D5218C" w:rsidRPr="00903E74" w:rsidRDefault="00D5218C" w:rsidP="00D5218C">
      <w:pPr>
        <w:pStyle w:val="ListParagraph"/>
        <w:numPr>
          <w:ilvl w:val="0"/>
          <w:numId w:val="12"/>
        </w:numPr>
        <w:tabs>
          <w:tab w:val="left" w:pos="2595"/>
        </w:tabs>
        <w:jc w:val="both"/>
        <w:rPr>
          <w:rFonts w:ascii="Arial" w:hAnsi="Arial" w:cs="Arial"/>
          <w:color w:val="000000"/>
          <w:sz w:val="20"/>
          <w:shd w:val="clear" w:color="auto" w:fill="FFFFFF"/>
        </w:rPr>
      </w:pPr>
      <w:bookmarkStart w:id="4" w:name="_Hlk535353848"/>
      <w:proofErr w:type="spellStart"/>
      <w:r w:rsidRPr="00903E74">
        <w:rPr>
          <w:rFonts w:ascii="Arial" w:hAnsi="Arial" w:cs="Arial"/>
          <w:color w:val="222222"/>
          <w:sz w:val="20"/>
          <w:szCs w:val="20"/>
          <w:shd w:val="clear" w:color="auto" w:fill="FFFFFF"/>
        </w:rPr>
        <w:t>Schütrumpf</w:t>
      </w:r>
      <w:proofErr w:type="spellEnd"/>
      <w:r w:rsidRPr="00903E74">
        <w:rPr>
          <w:rFonts w:ascii="Arial" w:hAnsi="Arial" w:cs="Arial"/>
          <w:color w:val="222222"/>
          <w:sz w:val="20"/>
          <w:szCs w:val="20"/>
          <w:shd w:val="clear" w:color="auto" w:fill="FFFFFF"/>
        </w:rPr>
        <w:t>, E., 1989. Traditional Elements in the concept of Hamartia in Aristotle's Poetics</w:t>
      </w:r>
      <w:bookmarkEnd w:id="4"/>
      <w:r w:rsidRPr="00903E74">
        <w:rPr>
          <w:rFonts w:ascii="Arial" w:hAnsi="Arial" w:cs="Arial"/>
          <w:color w:val="222222"/>
          <w:sz w:val="20"/>
          <w:szCs w:val="20"/>
          <w:shd w:val="clear" w:color="auto" w:fill="FFFFFF"/>
        </w:rPr>
        <w:t>. </w:t>
      </w:r>
      <w:r w:rsidRPr="00903E74">
        <w:rPr>
          <w:rFonts w:ascii="Arial" w:hAnsi="Arial" w:cs="Arial"/>
          <w:i/>
          <w:iCs/>
          <w:color w:val="222222"/>
          <w:sz w:val="20"/>
          <w:szCs w:val="20"/>
          <w:shd w:val="clear" w:color="auto" w:fill="FFFFFF"/>
        </w:rPr>
        <w:t>Harvard Studies in Classical Philology</w:t>
      </w:r>
      <w:r w:rsidRPr="00903E74">
        <w:rPr>
          <w:rFonts w:ascii="Arial" w:hAnsi="Arial" w:cs="Arial"/>
          <w:color w:val="222222"/>
          <w:sz w:val="20"/>
          <w:szCs w:val="20"/>
          <w:shd w:val="clear" w:color="auto" w:fill="FFFFFF"/>
        </w:rPr>
        <w:t>, </w:t>
      </w:r>
      <w:r w:rsidRPr="00903E74">
        <w:rPr>
          <w:rFonts w:ascii="Arial" w:hAnsi="Arial" w:cs="Arial"/>
          <w:i/>
          <w:iCs/>
          <w:color w:val="222222"/>
          <w:sz w:val="20"/>
          <w:szCs w:val="20"/>
          <w:shd w:val="clear" w:color="auto" w:fill="FFFFFF"/>
        </w:rPr>
        <w:t>92</w:t>
      </w:r>
      <w:r w:rsidRPr="00903E74">
        <w:rPr>
          <w:rFonts w:ascii="Arial" w:hAnsi="Arial" w:cs="Arial"/>
          <w:color w:val="222222"/>
          <w:sz w:val="20"/>
          <w:szCs w:val="20"/>
          <w:shd w:val="clear" w:color="auto" w:fill="FFFFFF"/>
        </w:rPr>
        <w:t>, pp.137-156.</w:t>
      </w:r>
    </w:p>
    <w:p w14:paraId="6CE171FC" w14:textId="77777777" w:rsidR="00D5218C" w:rsidRPr="00903E74" w:rsidRDefault="00D5218C" w:rsidP="00D5218C">
      <w:pPr>
        <w:pStyle w:val="ListParagraph"/>
        <w:numPr>
          <w:ilvl w:val="0"/>
          <w:numId w:val="12"/>
        </w:numPr>
        <w:tabs>
          <w:tab w:val="left" w:pos="2595"/>
        </w:tabs>
        <w:jc w:val="both"/>
        <w:rPr>
          <w:rFonts w:ascii="Arial" w:hAnsi="Arial" w:cs="Arial"/>
          <w:color w:val="000000"/>
          <w:sz w:val="20"/>
          <w:shd w:val="clear" w:color="auto" w:fill="FFFFFF"/>
        </w:rPr>
      </w:pPr>
      <w:r w:rsidRPr="00903E74">
        <w:rPr>
          <w:rFonts w:ascii="Arial" w:hAnsi="Arial" w:cs="Arial"/>
          <w:color w:val="000000"/>
          <w:sz w:val="20"/>
          <w:shd w:val="clear" w:color="auto" w:fill="FFFFFF"/>
        </w:rPr>
        <w:t xml:space="preserve">Sherman, N., 1992. Hamartia and virtue. </w:t>
      </w:r>
      <w:r w:rsidRPr="00903E74">
        <w:rPr>
          <w:rFonts w:ascii="Arial" w:hAnsi="Arial" w:cs="Arial"/>
          <w:i/>
          <w:color w:val="000000"/>
          <w:sz w:val="20"/>
          <w:shd w:val="clear" w:color="auto" w:fill="FFFFFF"/>
        </w:rPr>
        <w:t>Essays on Aristotle’s poetics</w:t>
      </w:r>
      <w:r w:rsidRPr="00903E74">
        <w:rPr>
          <w:rFonts w:ascii="Arial" w:hAnsi="Arial" w:cs="Arial"/>
          <w:color w:val="000000"/>
          <w:sz w:val="20"/>
          <w:shd w:val="clear" w:color="auto" w:fill="FFFFFF"/>
        </w:rPr>
        <w:t>, pp.177-96.</w:t>
      </w:r>
    </w:p>
    <w:p w14:paraId="1FDECF41" w14:textId="77777777" w:rsidR="00D5218C" w:rsidRPr="00903E74" w:rsidRDefault="00D5218C" w:rsidP="00D5218C">
      <w:pPr>
        <w:pStyle w:val="ListParagraph"/>
        <w:numPr>
          <w:ilvl w:val="0"/>
          <w:numId w:val="12"/>
        </w:numPr>
        <w:tabs>
          <w:tab w:val="left" w:pos="2595"/>
        </w:tabs>
        <w:jc w:val="both"/>
        <w:rPr>
          <w:rFonts w:ascii="Calibri" w:hAnsi="Calibri" w:cs="Calibri"/>
          <w:color w:val="000000"/>
          <w:shd w:val="clear" w:color="auto" w:fill="FFFFFF"/>
        </w:rPr>
      </w:pPr>
      <w:bookmarkStart w:id="5" w:name="_Hlk535355505"/>
      <w:proofErr w:type="spellStart"/>
      <w:r w:rsidRPr="00903E74">
        <w:rPr>
          <w:rFonts w:ascii="Calibri" w:hAnsi="Calibri" w:cs="Calibri"/>
          <w:color w:val="000000"/>
          <w:shd w:val="clear" w:color="auto" w:fill="FFFFFF"/>
        </w:rPr>
        <w:t>Stinton</w:t>
      </w:r>
      <w:proofErr w:type="spellEnd"/>
      <w:r w:rsidRPr="00903E74">
        <w:rPr>
          <w:rFonts w:ascii="Calibri" w:hAnsi="Calibri" w:cs="Calibri"/>
          <w:color w:val="000000"/>
          <w:shd w:val="clear" w:color="auto" w:fill="FFFFFF"/>
        </w:rPr>
        <w:t>, T.C., 1975. Hamartia in Aristotle and Greek tragedy</w:t>
      </w:r>
      <w:bookmarkEnd w:id="5"/>
      <w:r w:rsidRPr="00903E74">
        <w:rPr>
          <w:rFonts w:ascii="Calibri" w:hAnsi="Calibri" w:cs="Calibri"/>
          <w:color w:val="000000"/>
          <w:shd w:val="clear" w:color="auto" w:fill="FFFFFF"/>
        </w:rPr>
        <w:t xml:space="preserve">. </w:t>
      </w:r>
      <w:r w:rsidRPr="00903E74">
        <w:rPr>
          <w:rFonts w:ascii="Calibri" w:hAnsi="Calibri" w:cs="Calibri"/>
          <w:i/>
          <w:color w:val="000000"/>
          <w:shd w:val="clear" w:color="auto" w:fill="FFFFFF"/>
        </w:rPr>
        <w:t>The Classical Quarterly</w:t>
      </w:r>
      <w:r w:rsidRPr="00903E74">
        <w:rPr>
          <w:rFonts w:ascii="Calibri" w:hAnsi="Calibri" w:cs="Calibri"/>
          <w:color w:val="000000"/>
          <w:shd w:val="clear" w:color="auto" w:fill="FFFFFF"/>
        </w:rPr>
        <w:t>, 25(2), pp.221-254.</w:t>
      </w:r>
    </w:p>
    <w:p w14:paraId="41C1AA15" w14:textId="77777777" w:rsidR="00D5218C" w:rsidRPr="00903E74" w:rsidRDefault="00D5218C" w:rsidP="00D5218C">
      <w:pPr>
        <w:pStyle w:val="ListParagraph"/>
        <w:numPr>
          <w:ilvl w:val="0"/>
          <w:numId w:val="12"/>
        </w:numPr>
        <w:tabs>
          <w:tab w:val="left" w:pos="2595"/>
        </w:tabs>
        <w:jc w:val="both"/>
        <w:rPr>
          <w:rFonts w:ascii="Calibri" w:hAnsi="Calibri" w:cs="Calibri"/>
          <w:color w:val="000000"/>
          <w:shd w:val="clear" w:color="auto" w:fill="FFFFFF"/>
        </w:rPr>
      </w:pPr>
      <w:r w:rsidRPr="00903E74">
        <w:rPr>
          <w:rFonts w:ascii="Arial" w:eastAsia="Times New Roman" w:hAnsi="Arial" w:cs="Arial"/>
          <w:color w:val="222222"/>
          <w:sz w:val="20"/>
          <w:szCs w:val="20"/>
          <w:lang w:eastAsia="en-GB"/>
        </w:rPr>
        <w:t>Tonner, P., 2008. Action and Hamartia in Aristotle’s Poetics. </w:t>
      </w:r>
      <w:r w:rsidRPr="00903E74">
        <w:rPr>
          <w:rFonts w:ascii="Arial" w:eastAsia="Times New Roman" w:hAnsi="Arial" w:cs="Arial"/>
          <w:i/>
          <w:iCs/>
          <w:color w:val="222222"/>
          <w:sz w:val="20"/>
          <w:szCs w:val="20"/>
          <w:lang w:eastAsia="en-GB"/>
        </w:rPr>
        <w:t xml:space="preserve">Electronics Journal </w:t>
      </w:r>
      <w:proofErr w:type="gramStart"/>
      <w:r w:rsidRPr="00903E74">
        <w:rPr>
          <w:rFonts w:ascii="Arial" w:eastAsia="Times New Roman" w:hAnsi="Arial" w:cs="Arial"/>
          <w:i/>
          <w:iCs/>
          <w:color w:val="222222"/>
          <w:sz w:val="20"/>
          <w:szCs w:val="20"/>
          <w:lang w:eastAsia="en-GB"/>
        </w:rPr>
        <w:t>For</w:t>
      </w:r>
      <w:proofErr w:type="gramEnd"/>
      <w:r w:rsidRPr="00903E74">
        <w:rPr>
          <w:rFonts w:ascii="Arial" w:eastAsia="Times New Roman" w:hAnsi="Arial" w:cs="Arial"/>
          <w:i/>
          <w:iCs/>
          <w:color w:val="222222"/>
          <w:sz w:val="20"/>
          <w:szCs w:val="20"/>
          <w:lang w:eastAsia="en-GB"/>
        </w:rPr>
        <w:t xml:space="preserve"> Philosophy</w:t>
      </w:r>
      <w:r w:rsidRPr="00903E74">
        <w:rPr>
          <w:rFonts w:ascii="Arial" w:eastAsia="Times New Roman" w:hAnsi="Arial" w:cs="Arial"/>
          <w:color w:val="222222"/>
          <w:sz w:val="20"/>
          <w:szCs w:val="20"/>
          <w:lang w:eastAsia="en-GB"/>
        </w:rPr>
        <w:t>, </w:t>
      </w:r>
      <w:r w:rsidRPr="00903E74">
        <w:rPr>
          <w:rFonts w:ascii="Arial" w:eastAsia="Times New Roman" w:hAnsi="Arial" w:cs="Arial"/>
          <w:i/>
          <w:iCs/>
          <w:color w:val="222222"/>
          <w:sz w:val="20"/>
          <w:szCs w:val="20"/>
          <w:lang w:eastAsia="en-GB"/>
        </w:rPr>
        <w:t>1</w:t>
      </w:r>
      <w:r w:rsidRPr="00903E74">
        <w:rPr>
          <w:rFonts w:ascii="Arial" w:eastAsia="Times New Roman" w:hAnsi="Arial" w:cs="Arial"/>
          <w:color w:val="222222"/>
          <w:sz w:val="20"/>
          <w:szCs w:val="20"/>
          <w:lang w:eastAsia="en-GB"/>
        </w:rPr>
        <w:t>, pp.1-23.</w:t>
      </w:r>
    </w:p>
    <w:p w14:paraId="589F0B33" w14:textId="77777777" w:rsidR="00D5218C" w:rsidRPr="00D5218C" w:rsidRDefault="00D5218C" w:rsidP="003902A1">
      <w:pPr>
        <w:rPr>
          <w:u w:val="single"/>
        </w:rPr>
      </w:pPr>
    </w:p>
    <w:sectPr w:rsidR="00D5218C" w:rsidRPr="00D5218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8F92761" w14:textId="77777777" w:rsidR="00881376" w:rsidRDefault="00881376" w:rsidP="003578C5">
      <w:pPr>
        <w:spacing w:after="0" w:line="240" w:lineRule="auto"/>
      </w:pPr>
      <w:r>
        <w:separator/>
      </w:r>
    </w:p>
  </w:endnote>
  <w:endnote w:type="continuationSeparator" w:id="0">
    <w:p w14:paraId="5D52CD97" w14:textId="77777777" w:rsidR="00881376" w:rsidRDefault="00881376" w:rsidP="003578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A667BE7" w14:textId="77777777" w:rsidR="00881376" w:rsidRDefault="00881376" w:rsidP="003578C5">
      <w:pPr>
        <w:spacing w:after="0" w:line="240" w:lineRule="auto"/>
      </w:pPr>
      <w:r>
        <w:separator/>
      </w:r>
    </w:p>
  </w:footnote>
  <w:footnote w:type="continuationSeparator" w:id="0">
    <w:p w14:paraId="628DCD29" w14:textId="77777777" w:rsidR="00881376" w:rsidRDefault="00881376" w:rsidP="003578C5">
      <w:pPr>
        <w:spacing w:after="0" w:line="240" w:lineRule="auto"/>
      </w:pPr>
      <w:r>
        <w:continuationSeparator/>
      </w:r>
    </w:p>
  </w:footnote>
  <w:footnote w:id="1">
    <w:p w14:paraId="34A59B3D" w14:textId="213C45FC" w:rsidR="001221A2" w:rsidRDefault="001221A2" w:rsidP="004E48F4">
      <w:pPr>
        <w:pStyle w:val="FootnoteText"/>
      </w:pPr>
      <w:r>
        <w:rPr>
          <w:rStyle w:val="FootnoteReference"/>
        </w:rPr>
        <w:footnoteRef/>
      </w:r>
      <w:r>
        <w:t xml:space="preserve"> </w:t>
      </w:r>
      <w:r w:rsidR="004C181B" w:rsidRPr="00E90604">
        <w:t>Reconsidering Hamartia as “Sin” in 1 Corinthians</w:t>
      </w:r>
      <w:r w:rsidR="004C181B">
        <w:t>, Erin Roberts</w:t>
      </w:r>
    </w:p>
  </w:footnote>
  <w:footnote w:id="2">
    <w:p w14:paraId="741822FF" w14:textId="5310E432" w:rsidR="001221A2" w:rsidRDefault="001221A2">
      <w:pPr>
        <w:pStyle w:val="FootnoteText"/>
      </w:pPr>
      <w:r>
        <w:rPr>
          <w:rStyle w:val="FootnoteReference"/>
        </w:rPr>
        <w:footnoteRef/>
      </w:r>
      <w:r>
        <w:t xml:space="preserve"> </w:t>
      </w:r>
      <w:r w:rsidR="00D5218C">
        <w:t>ibid.</w:t>
      </w:r>
    </w:p>
  </w:footnote>
  <w:footnote w:id="3">
    <w:p w14:paraId="4DCC90A4" w14:textId="7092107E" w:rsidR="001221A2" w:rsidRDefault="001221A2">
      <w:pPr>
        <w:pStyle w:val="FootnoteText"/>
      </w:pPr>
      <w:r>
        <w:rPr>
          <w:rStyle w:val="FootnoteReference"/>
        </w:rPr>
        <w:footnoteRef/>
      </w:r>
      <w:r>
        <w:t xml:space="preserve"> </w:t>
      </w:r>
      <w:r w:rsidR="00D5218C">
        <w:t>ibid.</w:t>
      </w:r>
    </w:p>
  </w:footnote>
  <w:footnote w:id="4">
    <w:p w14:paraId="53FD4ADD" w14:textId="444B3D66" w:rsidR="001221A2" w:rsidRDefault="001221A2">
      <w:pPr>
        <w:pStyle w:val="FootnoteText"/>
      </w:pPr>
      <w:r>
        <w:rPr>
          <w:rStyle w:val="FootnoteReference"/>
        </w:rPr>
        <w:footnoteRef/>
      </w:r>
      <w:r>
        <w:t xml:space="preserve"> </w:t>
      </w:r>
      <w:r w:rsidR="00D5218C">
        <w:t>ibid.</w:t>
      </w:r>
    </w:p>
  </w:footnote>
  <w:footnote w:id="5">
    <w:p w14:paraId="3A831E3C" w14:textId="6D95D626" w:rsidR="001221A2" w:rsidRDefault="001221A2">
      <w:pPr>
        <w:pStyle w:val="FootnoteText"/>
      </w:pPr>
      <w:r>
        <w:rPr>
          <w:rStyle w:val="FootnoteReference"/>
        </w:rPr>
        <w:footnoteRef/>
      </w:r>
      <w:r>
        <w:t xml:space="preserve"> </w:t>
      </w:r>
      <w:r w:rsidR="00D5218C" w:rsidRPr="00647716">
        <w:t>Toward a definition of tragedy</w:t>
      </w:r>
      <w:r w:rsidR="00D5218C">
        <w:t>, Leon Golden</w:t>
      </w:r>
    </w:p>
  </w:footnote>
  <w:footnote w:id="6">
    <w:p w14:paraId="2E2D2993" w14:textId="4AC9EDD0" w:rsidR="001221A2" w:rsidRDefault="001221A2" w:rsidP="00CF3FFE">
      <w:pPr>
        <w:pStyle w:val="FootnoteText"/>
      </w:pPr>
      <w:r>
        <w:rPr>
          <w:rStyle w:val="FootnoteReference"/>
        </w:rPr>
        <w:footnoteRef/>
      </w:r>
      <w:r>
        <w:t xml:space="preserve"> </w:t>
      </w:r>
      <w:r w:rsidR="00D5218C" w:rsidRPr="008C2E80">
        <w:t xml:space="preserve">Traditional Elements in the concept of Hamartia in Aristotle's Poetics, Eckart </w:t>
      </w:r>
      <w:proofErr w:type="spellStart"/>
      <w:r w:rsidR="00D5218C" w:rsidRPr="008C2E80">
        <w:t>Schütrumpf</w:t>
      </w:r>
      <w:proofErr w:type="spellEnd"/>
    </w:p>
  </w:footnote>
  <w:footnote w:id="7">
    <w:p w14:paraId="09B62F2E" w14:textId="5013B244" w:rsidR="001221A2" w:rsidRDefault="001221A2">
      <w:pPr>
        <w:pStyle w:val="FootnoteText"/>
      </w:pPr>
      <w:r>
        <w:rPr>
          <w:rStyle w:val="FootnoteReference"/>
        </w:rPr>
        <w:footnoteRef/>
      </w:r>
      <w:r>
        <w:t xml:space="preserve"> </w:t>
      </w:r>
      <w:r w:rsidR="00D5218C" w:rsidRPr="00647716">
        <w:t>Aristotle’s Hamartia Reconsidered</w:t>
      </w:r>
      <w:r w:rsidR="00D5218C">
        <w:t>, Ho Kim</w:t>
      </w:r>
    </w:p>
  </w:footnote>
  <w:footnote w:id="8">
    <w:p w14:paraId="2299C67E" w14:textId="667F0FE1" w:rsidR="001221A2" w:rsidRDefault="001221A2">
      <w:pPr>
        <w:pStyle w:val="FootnoteText"/>
      </w:pPr>
      <w:r>
        <w:rPr>
          <w:rStyle w:val="FootnoteReference"/>
        </w:rPr>
        <w:footnoteRef/>
      </w:r>
      <w:r>
        <w:t xml:space="preserve"> </w:t>
      </w:r>
      <w:r w:rsidR="00D5218C">
        <w:t>Hamartia and virtue, Nancy Sherman</w:t>
      </w:r>
    </w:p>
  </w:footnote>
  <w:footnote w:id="9">
    <w:p w14:paraId="6EDD923B" w14:textId="3650B80C" w:rsidR="001221A2" w:rsidRDefault="001221A2" w:rsidP="00F60C25">
      <w:pPr>
        <w:pStyle w:val="FootnoteText"/>
      </w:pPr>
      <w:r>
        <w:rPr>
          <w:rStyle w:val="FootnoteReference"/>
        </w:rPr>
        <w:footnoteRef/>
      </w:r>
      <w:r>
        <w:t xml:space="preserve"> </w:t>
      </w:r>
      <w:r w:rsidR="00D5218C" w:rsidRPr="00647716">
        <w:t>Hamartia in Aristotle and Greek tragedy</w:t>
      </w:r>
      <w:r w:rsidR="00D5218C">
        <w:t xml:space="preserve">, </w:t>
      </w:r>
      <w:proofErr w:type="spellStart"/>
      <w:r w:rsidR="00D5218C" w:rsidRPr="00647716">
        <w:t>Stinton</w:t>
      </w:r>
      <w:proofErr w:type="spellEnd"/>
      <w:r w:rsidR="00D5218C" w:rsidRPr="00647716">
        <w:t>, T.C.</w:t>
      </w:r>
    </w:p>
  </w:footnote>
  <w:footnote w:id="10">
    <w:p w14:paraId="3805F11F" w14:textId="168E34C1" w:rsidR="003902A1" w:rsidRDefault="003902A1">
      <w:pPr>
        <w:pStyle w:val="FootnoteText"/>
      </w:pPr>
      <w:r>
        <w:rPr>
          <w:rStyle w:val="FootnoteReference"/>
        </w:rPr>
        <w:footnoteRef/>
      </w:r>
      <w:r>
        <w:t xml:space="preserve"> </w:t>
      </w:r>
      <w:r w:rsidR="00D5218C" w:rsidRPr="008C2E80">
        <w:t xml:space="preserve">Traditional Elements in the concept of Hamartia in Aristotle's Poetics, Eckart </w:t>
      </w:r>
      <w:proofErr w:type="spellStart"/>
      <w:r w:rsidR="00D5218C" w:rsidRPr="008C2E80">
        <w:t>Schütrumpf</w:t>
      </w:r>
      <w:proofErr w:type="spellEnd"/>
    </w:p>
  </w:footnote>
  <w:footnote w:id="11">
    <w:p w14:paraId="543F2ED7" w14:textId="1EED434C" w:rsidR="001221A2" w:rsidRDefault="001221A2">
      <w:pPr>
        <w:pStyle w:val="FootnoteText"/>
      </w:pPr>
      <w:r>
        <w:rPr>
          <w:rStyle w:val="FootnoteReference"/>
        </w:rPr>
        <w:footnoteRef/>
      </w:r>
      <w:r>
        <w:t xml:space="preserve"> </w:t>
      </w:r>
      <w:r w:rsidR="00D5218C" w:rsidRPr="00E90604">
        <w:t>Action and Hamartia in Aristotle’s Poetics, Philip Tonner</w:t>
      </w:r>
    </w:p>
  </w:footnote>
  <w:footnote w:id="12">
    <w:p w14:paraId="375797A2" w14:textId="7BB6E335" w:rsidR="001221A2" w:rsidRDefault="001221A2">
      <w:pPr>
        <w:pStyle w:val="FootnoteText"/>
      </w:pPr>
      <w:r>
        <w:rPr>
          <w:rStyle w:val="FootnoteReference"/>
        </w:rPr>
        <w:footnoteRef/>
      </w:r>
      <w:r>
        <w:t xml:space="preserve"> </w:t>
      </w:r>
      <w:r w:rsidR="00D5218C" w:rsidRPr="00E90604">
        <w:t>Action and Hamartia in Aristotle’s Poetics, Philip Tonner</w:t>
      </w:r>
    </w:p>
  </w:footnote>
  <w:footnote w:id="13">
    <w:p w14:paraId="383AC050" w14:textId="7080E25F" w:rsidR="0084280D" w:rsidRDefault="0084280D">
      <w:pPr>
        <w:pStyle w:val="FootnoteText"/>
      </w:pPr>
      <w:r>
        <w:rPr>
          <w:rStyle w:val="FootnoteReference"/>
        </w:rPr>
        <w:footnoteRef/>
      </w:r>
      <w:r>
        <w:t xml:space="preserve"> </w:t>
      </w:r>
      <w:r w:rsidR="00D5218C" w:rsidRPr="00D077FA">
        <w:t>The Role of Apollo in Oedipus Tyrannus, David Kovacs</w:t>
      </w:r>
    </w:p>
  </w:footnote>
  <w:footnote w:id="14">
    <w:p w14:paraId="2DC351E0" w14:textId="31E4FB48" w:rsidR="00B35666" w:rsidRDefault="00B35666" w:rsidP="00B35666">
      <w:pPr>
        <w:pStyle w:val="FootnoteText"/>
      </w:pPr>
      <w:r>
        <w:rPr>
          <w:rStyle w:val="FootnoteReference"/>
        </w:rPr>
        <w:footnoteRef/>
      </w:r>
      <w:r>
        <w:t xml:space="preserve"> </w:t>
      </w:r>
      <w:bookmarkStart w:id="0" w:name="_Hlk535356086"/>
      <w:r w:rsidR="00D5218C" w:rsidRPr="00647716">
        <w:t>Toward a definition of tragedy</w:t>
      </w:r>
      <w:r w:rsidR="00D5218C">
        <w:t>, Leon Golden</w:t>
      </w:r>
      <w:bookmarkEnd w:id="0"/>
    </w:p>
  </w:footnote>
  <w:footnote w:id="15">
    <w:p w14:paraId="3928D405" w14:textId="6E06A6CD" w:rsidR="00B35666" w:rsidRDefault="00B35666" w:rsidP="00B35666">
      <w:pPr>
        <w:pStyle w:val="FootnoteText"/>
      </w:pPr>
      <w:r>
        <w:rPr>
          <w:rStyle w:val="FootnoteReference"/>
        </w:rPr>
        <w:footnoteRef/>
      </w:r>
      <w:r>
        <w:t xml:space="preserve"> </w:t>
      </w:r>
      <w:r w:rsidR="00D5218C" w:rsidRPr="00647716">
        <w:t>Toward a definition of tragedy</w:t>
      </w:r>
      <w:r w:rsidR="00D5218C">
        <w:t>, Leon Golden</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AB6155"/>
    <w:multiLevelType w:val="hybridMultilevel"/>
    <w:tmpl w:val="AD68E5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3051C6"/>
    <w:multiLevelType w:val="hybridMultilevel"/>
    <w:tmpl w:val="9FE6EB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0A184D"/>
    <w:multiLevelType w:val="hybridMultilevel"/>
    <w:tmpl w:val="E09682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A403B6"/>
    <w:multiLevelType w:val="hybridMultilevel"/>
    <w:tmpl w:val="07B631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EEA3682"/>
    <w:multiLevelType w:val="hybridMultilevel"/>
    <w:tmpl w:val="919ED7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0AF7837"/>
    <w:multiLevelType w:val="hybridMultilevel"/>
    <w:tmpl w:val="5E2085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A25EE6"/>
    <w:multiLevelType w:val="hybridMultilevel"/>
    <w:tmpl w:val="E32CC15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0913D57"/>
    <w:multiLevelType w:val="hybridMultilevel"/>
    <w:tmpl w:val="F35E01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27D483F"/>
    <w:multiLevelType w:val="hybridMultilevel"/>
    <w:tmpl w:val="A2E83F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5B76C14"/>
    <w:multiLevelType w:val="hybridMultilevel"/>
    <w:tmpl w:val="FF0651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75A38CA"/>
    <w:multiLevelType w:val="hybridMultilevel"/>
    <w:tmpl w:val="B6F8B8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89364F5"/>
    <w:multiLevelType w:val="hybridMultilevel"/>
    <w:tmpl w:val="B7502C7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11"/>
  </w:num>
  <w:num w:numId="4">
    <w:abstractNumId w:val="1"/>
  </w:num>
  <w:num w:numId="5">
    <w:abstractNumId w:val="2"/>
  </w:num>
  <w:num w:numId="6">
    <w:abstractNumId w:val="6"/>
  </w:num>
  <w:num w:numId="7">
    <w:abstractNumId w:val="9"/>
  </w:num>
  <w:num w:numId="8">
    <w:abstractNumId w:val="8"/>
  </w:num>
  <w:num w:numId="9">
    <w:abstractNumId w:val="7"/>
  </w:num>
  <w:num w:numId="10">
    <w:abstractNumId w:val="4"/>
  </w:num>
  <w:num w:numId="11">
    <w:abstractNumId w:val="5"/>
  </w:num>
  <w:num w:numId="1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099C"/>
    <w:rsid w:val="00002031"/>
    <w:rsid w:val="00015CA2"/>
    <w:rsid w:val="00090536"/>
    <w:rsid w:val="00112D87"/>
    <w:rsid w:val="001221A2"/>
    <w:rsid w:val="00151058"/>
    <w:rsid w:val="0016298E"/>
    <w:rsid w:val="00191EC0"/>
    <w:rsid w:val="00206DCD"/>
    <w:rsid w:val="002A68A2"/>
    <w:rsid w:val="00312653"/>
    <w:rsid w:val="003578C5"/>
    <w:rsid w:val="00360033"/>
    <w:rsid w:val="0037082F"/>
    <w:rsid w:val="003902A1"/>
    <w:rsid w:val="00395482"/>
    <w:rsid w:val="003B0C12"/>
    <w:rsid w:val="003F00CC"/>
    <w:rsid w:val="0041292B"/>
    <w:rsid w:val="004875E0"/>
    <w:rsid w:val="004C181B"/>
    <w:rsid w:val="004D3284"/>
    <w:rsid w:val="004E48F4"/>
    <w:rsid w:val="00516480"/>
    <w:rsid w:val="00596044"/>
    <w:rsid w:val="005D4B56"/>
    <w:rsid w:val="005E6AFA"/>
    <w:rsid w:val="0064666D"/>
    <w:rsid w:val="00655972"/>
    <w:rsid w:val="00661195"/>
    <w:rsid w:val="00683D49"/>
    <w:rsid w:val="006937F0"/>
    <w:rsid w:val="006C4163"/>
    <w:rsid w:val="006F4563"/>
    <w:rsid w:val="007442AC"/>
    <w:rsid w:val="007970DA"/>
    <w:rsid w:val="0084280D"/>
    <w:rsid w:val="00881376"/>
    <w:rsid w:val="008B59E5"/>
    <w:rsid w:val="008D01D1"/>
    <w:rsid w:val="00903E74"/>
    <w:rsid w:val="00917606"/>
    <w:rsid w:val="00A32E07"/>
    <w:rsid w:val="00A600FD"/>
    <w:rsid w:val="00A610A9"/>
    <w:rsid w:val="00A83168"/>
    <w:rsid w:val="00AB7E81"/>
    <w:rsid w:val="00B35666"/>
    <w:rsid w:val="00BC68FC"/>
    <w:rsid w:val="00BE3866"/>
    <w:rsid w:val="00BE5349"/>
    <w:rsid w:val="00C13027"/>
    <w:rsid w:val="00C335CF"/>
    <w:rsid w:val="00C34543"/>
    <w:rsid w:val="00C92746"/>
    <w:rsid w:val="00CF3FFE"/>
    <w:rsid w:val="00D520B2"/>
    <w:rsid w:val="00D5218C"/>
    <w:rsid w:val="00E02BEB"/>
    <w:rsid w:val="00E10B8A"/>
    <w:rsid w:val="00E8099C"/>
    <w:rsid w:val="00EB63FE"/>
    <w:rsid w:val="00F60C25"/>
    <w:rsid w:val="00F65230"/>
    <w:rsid w:val="00FD43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9F5BD1"/>
  <w15:chartTrackingRefBased/>
  <w15:docId w15:val="{EC3D19D3-3B9F-4582-A11E-2E2325924F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17606"/>
    <w:pPr>
      <w:ind w:left="720"/>
      <w:contextualSpacing/>
    </w:pPr>
  </w:style>
  <w:style w:type="paragraph" w:styleId="FootnoteText">
    <w:name w:val="footnote text"/>
    <w:basedOn w:val="Normal"/>
    <w:link w:val="FootnoteTextChar"/>
    <w:uiPriority w:val="99"/>
    <w:semiHidden/>
    <w:unhideWhenUsed/>
    <w:rsid w:val="003578C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578C5"/>
    <w:rPr>
      <w:sz w:val="20"/>
      <w:szCs w:val="20"/>
    </w:rPr>
  </w:style>
  <w:style w:type="character" w:styleId="FootnoteReference">
    <w:name w:val="footnote reference"/>
    <w:basedOn w:val="DefaultParagraphFont"/>
    <w:uiPriority w:val="99"/>
    <w:semiHidden/>
    <w:unhideWhenUsed/>
    <w:rsid w:val="003578C5"/>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49C584-37CF-4157-A488-652DFF81DC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4366</TotalTime>
  <Pages>5</Pages>
  <Words>1825</Words>
  <Characters>10409</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Kieron Mieres</dc:creator>
  <cp:keywords/>
  <dc:description/>
  <cp:lastModifiedBy>Kieron Mieres</cp:lastModifiedBy>
  <cp:revision>11</cp:revision>
  <dcterms:created xsi:type="dcterms:W3CDTF">2019-01-12T17:40:00Z</dcterms:created>
  <dcterms:modified xsi:type="dcterms:W3CDTF">2019-01-15T23:09:00Z</dcterms:modified>
</cp:coreProperties>
</file>