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CFEB6F" w14:textId="77777777" w:rsidR="00FE3558" w:rsidRPr="000A4ACB" w:rsidRDefault="00FE3558">
      <w:pPr>
        <w:rPr>
          <w:sz w:val="36"/>
        </w:rPr>
      </w:pPr>
      <w:bookmarkStart w:id="0" w:name="_GoBack"/>
      <w:bookmarkEnd w:id="0"/>
      <w:r w:rsidRPr="000A4ACB">
        <w:rPr>
          <w:sz w:val="36"/>
        </w:rPr>
        <w:t>Summary of “Sedentism, the “point of no return”, and the Natufian issue. An historical perspective”</w:t>
      </w:r>
    </w:p>
    <w:p w14:paraId="0D87D58C" w14:textId="77777777" w:rsidR="00FE3558" w:rsidRDefault="000A4ACB">
      <w:r>
        <w:t>J. Alison 26/9/2018</w:t>
      </w:r>
    </w:p>
    <w:p w14:paraId="2F1815A1" w14:textId="77777777" w:rsidR="000A4ACB" w:rsidRDefault="000A4ACB"/>
    <w:p w14:paraId="4A029D0D" w14:textId="77777777" w:rsidR="00FE3558" w:rsidRDefault="000F540F">
      <w:r>
        <w:t>This article by F. R. Valla explores the notion of Sedentism, especially within the context of the Natufian peoples in the Southern Levant, it seeks to locate the first occurrence of sedentism within the Fertile Crescent. It draws heavily on the works of notable authors such as D. Garrod and J. Perrot</w:t>
      </w:r>
      <w:r w:rsidR="00DA1A57">
        <w:t>.</w:t>
      </w:r>
    </w:p>
    <w:p w14:paraId="614FD436" w14:textId="77777777" w:rsidR="009D24E4" w:rsidRDefault="00DA1A57">
      <w:r>
        <w:t xml:space="preserve">Through the duration of the Natufian studies many issues have occurred which have made it very difficult to </w:t>
      </w:r>
      <w:r w:rsidR="009D24E4">
        <w:t>ascertain a definitive point for when the social phenomenon of sedentism first occurred, there have been a number of different papers and books proposing different and sometimes quite imaginative options (Valla, F.R., 2018).</w:t>
      </w:r>
    </w:p>
    <w:p w14:paraId="4E8D0950" w14:textId="77777777" w:rsidR="000A4ACB" w:rsidRDefault="009D24E4">
      <w:r>
        <w:t>In 1928, Dorothy Garrod first identified the remains of the Natufian people at the Shukba Caves, in the following years she continues to describe additional sites el-Wad and Kebarah (1928, 1929-1932; and 1931 respectively) to further build the evidence of the Natufian with also a microlithic flint industry.</w:t>
      </w:r>
      <w:r w:rsidR="00B6216B">
        <w:t xml:space="preserve"> Of the assemblages that Garrod uncovered, the “small lunate” was the most numerous, other medium sized tools included regular burins, end scrapers, core scrapers and also blunt backed knives (Garrod, D. A. E., 1932), Garrod further connects these latter mentioned tools with the probable harvesting of corn or grasses due to the remains of a certain polish, identifying these as early sickle blades. An examination of the site revealed no pottery (Ibid).</w:t>
      </w:r>
      <w:r w:rsidR="000A4ACB">
        <w:t xml:space="preserve"> Alongside the deposits of the tools, there were a number of graves and an apparently associated set of constructions and excavations (Ibid). Garrod initially suggests 5000-4000BCE as a date for this culture (though very clearly refraining from this word herself in only her first work on the subject), she remarks about how surprising it is that there are such early people with no pottery or domesticated livestock but still practice agriculture as it is so rare to find microlithic tools associated with plant cultivation (Ibid)</w:t>
      </w:r>
    </w:p>
    <w:p w14:paraId="13AB18E8" w14:textId="77777777" w:rsidR="000A4ACB" w:rsidRDefault="00BD34DA">
      <w:r>
        <w:t>With the Palaeontologist D. M. A Bate, Garrod developed her view of the el-Wad site, linking the constructions on the terrace as ritually connected to the inhumations for the first time. The second and last paper by Garrod on the subject, titled “The Natufian Culture: The Life and Economy of a Mesolithic People in the Near East” challenged her earlier work and pushed back the dating of the site to 9000BCE (Ibid), it also links the unusual range of landscapes within the proximity of the Mediterranean as being probable reasons for the rise of such a phenomenon in this location and time</w:t>
      </w:r>
      <w:r w:rsidR="00BF480A">
        <w:t xml:space="preserve"> (Ibid)</w:t>
      </w:r>
      <w:r>
        <w:t>.</w:t>
      </w:r>
    </w:p>
    <w:p w14:paraId="25E743C4" w14:textId="0FC175D8" w:rsidR="00BF480A" w:rsidRDefault="00BF480A">
      <w:r>
        <w:t xml:space="preserve">In 1957, Jean Perrot describes his discovery at Ain Mallaha; as site more complex than el-Wad with </w:t>
      </w:r>
      <w:proofErr w:type="gramStart"/>
      <w:r>
        <w:t>stone</w:t>
      </w:r>
      <w:proofErr w:type="gramEnd"/>
      <w:r>
        <w:t xml:space="preserve"> constructions which were interpreted as walls and a number of possible granaries; this all suggested to Perrot that the Natufian peo</w:t>
      </w:r>
      <w:r w:rsidR="00AB2417">
        <w:t xml:space="preserve">ple lived in an open air manner (Perrot, J., 1957). Perrot further goes on to explain that at the Ain Mallaha site that it is evident that houses were eventually built as caves were being used only for the short Palestinian winter (Ibid). He continues to note the evidence of both granaries and sickle type bladed tools for the harvesting and storing of grain (whether wild or domesticated isn’t ascertained), the </w:t>
      </w:r>
      <w:r w:rsidR="00D47791">
        <w:t>occurrence</w:t>
      </w:r>
      <w:r w:rsidR="00AB2417">
        <w:t xml:space="preserve"> of domesticated livestock isn’t ruled out either. It has been noted that Perrot</w:t>
      </w:r>
      <w:r w:rsidR="00D47791">
        <w:t>’</w:t>
      </w:r>
      <w:r w:rsidR="00AB2417">
        <w:t xml:space="preserve">s interest in graves, led to him describing graves within house like structures incorrectly as graves (Valla, F.R., 2018). It was later explained by Perrot that though the understanding of the site being contemporary with Pre-Pottery Neolithic A (PPNA), the Natufian </w:t>
      </w:r>
      <w:r w:rsidR="009D2E09">
        <w:t xml:space="preserve">were likely fully sedentary, there were no domesticated food animals and the Natufian </w:t>
      </w:r>
      <w:r w:rsidR="009D2E09">
        <w:lastRenderedPageBreak/>
        <w:t>diet would have consisted of largely collected wild foods, fish and also cereal to see the population through lean times (Perrot, J., 1966), this made for a very important realisation, the Natufian were in fact a sedentary human population in existence before the end of the Pleistocene (Ibid).</w:t>
      </w:r>
    </w:p>
    <w:p w14:paraId="0C2D71B4" w14:textId="1E641501" w:rsidR="00066FED" w:rsidRDefault="00066FED">
      <w:r>
        <w:t>Flannery elaborated further on Perrot’s ideas of “semi-sedentism” of hunter gatherers to advance the understanding of the early agricultural origins in the context of the Near East</w:t>
      </w:r>
      <w:r w:rsidR="008B3862">
        <w:t>, especially the idea of the Natufian peoples using</w:t>
      </w:r>
      <w:r w:rsidR="00E51E2A">
        <w:t xml:space="preserve"> wild grain storage systems, in a Mediterranean location with plentiful wild food available, thus negating the need to purposefully cultivate agricultural crops</w:t>
      </w:r>
      <w:r>
        <w:t xml:space="preserve"> (Flannery, K., 1969; </w:t>
      </w:r>
      <w:r w:rsidR="008B3862">
        <w:t xml:space="preserve">Flannery, K., </w:t>
      </w:r>
      <w:r>
        <w:t>197</w:t>
      </w:r>
      <w:r w:rsidR="008B3862">
        <w:t>3)</w:t>
      </w:r>
      <w:r w:rsidR="00E51E2A">
        <w:t>.</w:t>
      </w:r>
    </w:p>
    <w:p w14:paraId="7EBA18EC" w14:textId="7F6CB2F9" w:rsidR="00B849B1" w:rsidRDefault="00E51E2A">
      <w:r>
        <w:t xml:space="preserve">Charles Reed describes in 1977 as a response to Braidwood’s statement “…the culture wasn’t ready” (Braidwood, R. J., 1975); he sets a structure to explain the successive adaption with what he refers to as “…adaptive plateaus”, there are a total of four which explain the gradual shift to sedentary agrarian </w:t>
      </w:r>
      <w:r w:rsidR="00B849B1">
        <w:t xml:space="preserve">culture from a previously nomadic hunter-gather one. The four plateaus are “…storage of grain, initial sedentism, increased population, stone based houses…” (Reed, C. A., 1977). Anna Belfer-Cohen then took the statement further by surmising that this was a “…point of no return…” for these early cultures (Belfer-Cohen, A., 1991); though it has to be noted that Belfer-Cohen’s work has been </w:t>
      </w:r>
      <w:r w:rsidR="008277E7">
        <w:t>suspected to be based on weak evidence (Valla, F. R., 2018)</w:t>
      </w:r>
      <w:r w:rsidR="00B849B1">
        <w:t>.</w:t>
      </w:r>
    </w:p>
    <w:p w14:paraId="081AF844" w14:textId="673AEA0A" w:rsidR="008277E7" w:rsidRDefault="008277E7">
      <w:r>
        <w:t xml:space="preserve">Tchernov attempted to isolate the point of sedentism of the Natufian by the rise of commensalism (mutual association of species in order to meet a necessary benefit) (Tchernov, E., 1991), using the faunal remains of the following </w:t>
      </w:r>
      <w:r w:rsidR="007C7D72">
        <w:t xml:space="preserve">at Hayonim site; Rattus </w:t>
      </w:r>
      <w:proofErr w:type="spellStart"/>
      <w:r w:rsidR="007C7D72">
        <w:t>rattus</w:t>
      </w:r>
      <w:proofErr w:type="spellEnd"/>
      <w:r w:rsidR="007C7D72">
        <w:t xml:space="preserve"> (black rat), Mus </w:t>
      </w:r>
      <w:proofErr w:type="spellStart"/>
      <w:r w:rsidR="007C7D72">
        <w:t>musculus</w:t>
      </w:r>
      <w:proofErr w:type="spellEnd"/>
      <w:r w:rsidR="007C7D72">
        <w:t xml:space="preserve"> </w:t>
      </w:r>
      <w:proofErr w:type="spellStart"/>
      <w:r w:rsidR="007C7D72">
        <w:t>domestica</w:t>
      </w:r>
      <w:proofErr w:type="spellEnd"/>
      <w:r w:rsidR="007C7D72">
        <w:t xml:space="preserve"> (house mouse) and Passer </w:t>
      </w:r>
      <w:proofErr w:type="spellStart"/>
      <w:r w:rsidR="007C7D72">
        <w:t>domesticus</w:t>
      </w:r>
      <w:proofErr w:type="spellEnd"/>
      <w:r w:rsidR="007C7D72">
        <w:t xml:space="preserve"> (house sparrow); he then in the same work suggests that the domestication of the local wolf population occurred (ibid).</w:t>
      </w:r>
    </w:p>
    <w:p w14:paraId="5A3175EC" w14:textId="09787647" w:rsidR="007C7D72" w:rsidRDefault="007C7D72">
      <w:r>
        <w:t xml:space="preserve">Work done by A. Moore, G. Hillman and T. </w:t>
      </w:r>
      <w:proofErr w:type="spellStart"/>
      <w:r>
        <w:t>Legge</w:t>
      </w:r>
      <w:proofErr w:type="spellEnd"/>
      <w:r>
        <w:t xml:space="preserve"> at the Abu </w:t>
      </w:r>
      <w:proofErr w:type="spellStart"/>
      <w:r>
        <w:t>Hureyra</w:t>
      </w:r>
      <w:proofErr w:type="spellEnd"/>
      <w:r>
        <w:t xml:space="preserve"> site showed </w:t>
      </w:r>
      <w:r w:rsidR="00065114">
        <w:t>up a rare arrangement of both faunal and floral remains; thus suggesting that seasonal activities were carried out all year</w:t>
      </w:r>
      <w:r w:rsidR="00B93335">
        <w:t xml:space="preserve"> (Moore, A. T.</w:t>
      </w:r>
      <w:r w:rsidR="00302356">
        <w:t xml:space="preserve"> et al</w:t>
      </w:r>
      <w:r w:rsidR="00B93335">
        <w:t>, 2000)</w:t>
      </w:r>
      <w:r w:rsidR="00065114">
        <w:t>.</w:t>
      </w:r>
    </w:p>
    <w:p w14:paraId="7D3854FD" w14:textId="11A31B2E" w:rsidR="005C6B12" w:rsidRDefault="00B93335">
      <w:r>
        <w:t>To make the subject of Natufian sedentism yet more complex, it has been suggested that sedentism itself as a term has yet to be defined clearly (Valla, F. R., 2018).</w:t>
      </w:r>
    </w:p>
    <w:p w14:paraId="39567F8A" w14:textId="1B9447D0" w:rsidR="00B93335" w:rsidRDefault="00B93335"/>
    <w:p w14:paraId="2293AD0A" w14:textId="6F899328" w:rsidR="00B93335" w:rsidRDefault="00B93335">
      <w:r>
        <w:t>References:</w:t>
      </w:r>
    </w:p>
    <w:p w14:paraId="04BA2925" w14:textId="77777777" w:rsidR="0051076D" w:rsidRPr="00BE78A1" w:rsidRDefault="0051076D">
      <w:r>
        <w:t xml:space="preserve">Belfer-Cohen, A. (1991). The Natufian in the Levant. </w:t>
      </w:r>
      <w:r>
        <w:rPr>
          <w:i/>
        </w:rPr>
        <w:t>Annual Review of Anthropology</w:t>
      </w:r>
      <w:r>
        <w:t>, vol. 20 (1), pp.167-186.</w:t>
      </w:r>
    </w:p>
    <w:p w14:paraId="74C92DF4" w14:textId="77777777" w:rsidR="0051076D" w:rsidRPr="00BE78A1" w:rsidRDefault="0051076D">
      <w:r>
        <w:t>Braidwood, R. J. (1975). Prehistoric Men (8</w:t>
      </w:r>
      <w:r w:rsidRPr="00BE78A1">
        <w:rPr>
          <w:vertAlign w:val="superscript"/>
        </w:rPr>
        <w:t>th</w:t>
      </w:r>
      <w:r>
        <w:t xml:space="preserve"> </w:t>
      </w:r>
      <w:proofErr w:type="gramStart"/>
      <w:r>
        <w:t>ed</w:t>
      </w:r>
      <w:proofErr w:type="gramEnd"/>
      <w:r>
        <w:t xml:space="preserve">.). </w:t>
      </w:r>
      <w:r w:rsidRPr="00BE78A1">
        <w:rPr>
          <w:i/>
        </w:rPr>
        <w:t>Glenview (II)</w:t>
      </w:r>
      <w:r>
        <w:rPr>
          <w:i/>
        </w:rPr>
        <w:t>:</w:t>
      </w:r>
      <w:r>
        <w:t xml:space="preserve"> Scott, </w:t>
      </w:r>
      <w:proofErr w:type="spellStart"/>
      <w:r>
        <w:t>Foresman</w:t>
      </w:r>
      <w:proofErr w:type="spellEnd"/>
      <w:r>
        <w:t xml:space="preserve"> and Company.</w:t>
      </w:r>
    </w:p>
    <w:p w14:paraId="64F4EEB6" w14:textId="77777777" w:rsidR="0051076D" w:rsidRPr="008D1602" w:rsidRDefault="0051076D">
      <w:pPr>
        <w:rPr>
          <w:i/>
        </w:rPr>
      </w:pPr>
      <w:r>
        <w:t xml:space="preserve">Flannery, K. V. (1969). Origins and Ecological effects of early domestication in Iran and the Near East. In: </w:t>
      </w:r>
      <w:proofErr w:type="spellStart"/>
      <w:r>
        <w:t>Ucko</w:t>
      </w:r>
      <w:proofErr w:type="spellEnd"/>
      <w:r>
        <w:t xml:space="preserve">, P. J. and </w:t>
      </w:r>
      <w:proofErr w:type="spellStart"/>
      <w:r>
        <w:t>Dimbleby</w:t>
      </w:r>
      <w:proofErr w:type="spellEnd"/>
      <w:r>
        <w:t>, G. W. (1969). The domestication and exploitation of plants and animals. 73-100. London: Duckworth.</w:t>
      </w:r>
    </w:p>
    <w:p w14:paraId="2376ACBD" w14:textId="77777777" w:rsidR="0051076D" w:rsidRDefault="0051076D">
      <w:r>
        <w:t>Flannery, K. V. (1973). The Origins of Agriculture.</w:t>
      </w:r>
      <w:r>
        <w:rPr>
          <w:i/>
        </w:rPr>
        <w:t xml:space="preserve"> Annual review of Anthropology,</w:t>
      </w:r>
      <w:r>
        <w:t xml:space="preserve"> vol. 2 (1), pp.271-310.</w:t>
      </w:r>
    </w:p>
    <w:p w14:paraId="1ACD825D" w14:textId="77777777" w:rsidR="0051076D" w:rsidRDefault="0051076D">
      <w:r>
        <w:t xml:space="preserve">Garrod, D. A. E. (1932). A new Mesolithic industry; the Natufian of Palestine. </w:t>
      </w:r>
      <w:r w:rsidRPr="00924A34">
        <w:rPr>
          <w:i/>
        </w:rPr>
        <w:t>Journal of the Royal Anthropological Institute of Great Britain and Ireland</w:t>
      </w:r>
      <w:r>
        <w:t>, vol. 62 (1), pp.257-269.</w:t>
      </w:r>
    </w:p>
    <w:p w14:paraId="590EE9FF" w14:textId="77777777" w:rsidR="0051076D" w:rsidRDefault="0051076D">
      <w:r>
        <w:t xml:space="preserve">Moore, A. M. T., Hillman, G. and </w:t>
      </w:r>
      <w:proofErr w:type="spellStart"/>
      <w:r>
        <w:t>Legge</w:t>
      </w:r>
      <w:proofErr w:type="spellEnd"/>
      <w:r>
        <w:t xml:space="preserve">, T. J. (2000). Village on the Euphrates: From Foraging to Farming at Abu </w:t>
      </w:r>
      <w:proofErr w:type="spellStart"/>
      <w:r>
        <w:t>Hureyra</w:t>
      </w:r>
      <w:proofErr w:type="spellEnd"/>
      <w:r>
        <w:t>. Oxford: Oxford University Press.</w:t>
      </w:r>
    </w:p>
    <w:p w14:paraId="2C33CF07" w14:textId="77777777" w:rsidR="0051076D" w:rsidRDefault="0051076D">
      <w:r>
        <w:t xml:space="preserve">Perrot, J. (1957). Le </w:t>
      </w:r>
      <w:proofErr w:type="spellStart"/>
      <w:r>
        <w:t>Mésolithique</w:t>
      </w:r>
      <w:proofErr w:type="spellEnd"/>
      <w:r>
        <w:t xml:space="preserve"> de Palestine </w:t>
      </w:r>
      <w:proofErr w:type="gramStart"/>
      <w:r>
        <w:t>et</w:t>
      </w:r>
      <w:proofErr w:type="gramEnd"/>
      <w:r>
        <w:t xml:space="preserve"> les </w:t>
      </w:r>
      <w:proofErr w:type="spellStart"/>
      <w:r>
        <w:t>récentes</w:t>
      </w:r>
      <w:proofErr w:type="spellEnd"/>
      <w:r>
        <w:t xml:space="preserve"> </w:t>
      </w:r>
      <w:proofErr w:type="spellStart"/>
      <w:r>
        <w:t>découvertes</w:t>
      </w:r>
      <w:proofErr w:type="spellEnd"/>
      <w:r>
        <w:t xml:space="preserve"> á </w:t>
      </w:r>
      <w:proofErr w:type="spellStart"/>
      <w:r>
        <w:t>Eynan</w:t>
      </w:r>
      <w:proofErr w:type="spellEnd"/>
      <w:r>
        <w:t xml:space="preserve"> (Ain Mallaha). </w:t>
      </w:r>
      <w:r>
        <w:rPr>
          <w:i/>
        </w:rPr>
        <w:t>Antiquity and Survival</w:t>
      </w:r>
      <w:r>
        <w:t>, vol. 2 (1), pp.91-110.</w:t>
      </w:r>
    </w:p>
    <w:p w14:paraId="5A9A0EE4" w14:textId="77777777" w:rsidR="0051076D" w:rsidRDefault="0051076D">
      <w:r>
        <w:t xml:space="preserve">Perrot, J. (1966). Le </w:t>
      </w:r>
      <w:proofErr w:type="spellStart"/>
      <w:r>
        <w:t>gisement</w:t>
      </w:r>
      <w:proofErr w:type="spellEnd"/>
      <w:r>
        <w:t xml:space="preserve"> </w:t>
      </w:r>
      <w:proofErr w:type="spellStart"/>
      <w:r>
        <w:t>natoufien</w:t>
      </w:r>
      <w:proofErr w:type="spellEnd"/>
      <w:r>
        <w:t xml:space="preserve"> de Mallaha (</w:t>
      </w:r>
      <w:proofErr w:type="spellStart"/>
      <w:r>
        <w:t>Eynan</w:t>
      </w:r>
      <w:proofErr w:type="spellEnd"/>
      <w:r>
        <w:t xml:space="preserve">). </w:t>
      </w:r>
      <w:proofErr w:type="spellStart"/>
      <w:r>
        <w:rPr>
          <w:i/>
        </w:rPr>
        <w:t>Israél</w:t>
      </w:r>
      <w:proofErr w:type="spellEnd"/>
      <w:r>
        <w:rPr>
          <w:i/>
        </w:rPr>
        <w:t xml:space="preserve"> </w:t>
      </w:r>
      <w:proofErr w:type="spellStart"/>
      <w:r>
        <w:rPr>
          <w:i/>
        </w:rPr>
        <w:t>L’anthropologie</w:t>
      </w:r>
      <w:proofErr w:type="spellEnd"/>
      <w:r>
        <w:rPr>
          <w:i/>
        </w:rPr>
        <w:t>,</w:t>
      </w:r>
      <w:r w:rsidRPr="008D1602">
        <w:t xml:space="preserve"> vol. 70 (5)</w:t>
      </w:r>
      <w:r>
        <w:t>, pp.437-483.</w:t>
      </w:r>
    </w:p>
    <w:p w14:paraId="633A2861" w14:textId="77777777" w:rsidR="0051076D" w:rsidRDefault="0051076D">
      <w:r>
        <w:t>Reed, C. A. (1977). Origins of Agriculture: pp.543-567, La Hague: Mouton.</w:t>
      </w:r>
    </w:p>
    <w:p w14:paraId="492BEC20" w14:textId="77777777" w:rsidR="0051076D" w:rsidRDefault="0051076D">
      <w:r>
        <w:t>Tchernov, E. (1991). Biological Evidence for Human sedentism in the Southwest Asia during the Natufian. In: Bar-Yosef, O. and Valla, F. R. (1991).</w:t>
      </w:r>
    </w:p>
    <w:p w14:paraId="350E6E21" w14:textId="77777777" w:rsidR="0051076D" w:rsidRDefault="0051076D">
      <w:r w:rsidRPr="00B93335">
        <w:t>Valla, F. (2018). Sedentism</w:t>
      </w:r>
      <w:r>
        <w:t>, “the point of no return”, and the Natufian issue. An historical perspective</w:t>
      </w:r>
      <w:r w:rsidRPr="00B93335">
        <w:t xml:space="preserve">. </w:t>
      </w:r>
      <w:proofErr w:type="spellStart"/>
      <w:r w:rsidRPr="00924A34">
        <w:rPr>
          <w:i/>
        </w:rPr>
        <w:t>Paleorient</w:t>
      </w:r>
      <w:proofErr w:type="spellEnd"/>
      <w:r w:rsidRPr="00B93335">
        <w:t xml:space="preserve">, </w:t>
      </w:r>
      <w:r>
        <w:t xml:space="preserve">vol. </w:t>
      </w:r>
      <w:r w:rsidRPr="00B93335">
        <w:t>44</w:t>
      </w:r>
      <w:r>
        <w:t xml:space="preserve"> </w:t>
      </w:r>
      <w:r w:rsidRPr="00B93335">
        <w:t>(1), pp.19-33.</w:t>
      </w:r>
    </w:p>
    <w:sectPr w:rsidR="005107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558"/>
    <w:rsid w:val="00065114"/>
    <w:rsid w:val="00066FED"/>
    <w:rsid w:val="000858AC"/>
    <w:rsid w:val="000A4ACB"/>
    <w:rsid w:val="000C0F23"/>
    <w:rsid w:val="000F540F"/>
    <w:rsid w:val="00302356"/>
    <w:rsid w:val="00304A75"/>
    <w:rsid w:val="0051076D"/>
    <w:rsid w:val="005C6B12"/>
    <w:rsid w:val="006324FA"/>
    <w:rsid w:val="007C7D72"/>
    <w:rsid w:val="008277E7"/>
    <w:rsid w:val="008B3862"/>
    <w:rsid w:val="008D1602"/>
    <w:rsid w:val="00924A34"/>
    <w:rsid w:val="009D24E4"/>
    <w:rsid w:val="009D2E09"/>
    <w:rsid w:val="00AB2417"/>
    <w:rsid w:val="00B6216B"/>
    <w:rsid w:val="00B849B1"/>
    <w:rsid w:val="00B93335"/>
    <w:rsid w:val="00BD34DA"/>
    <w:rsid w:val="00BE78A1"/>
    <w:rsid w:val="00BF480A"/>
    <w:rsid w:val="00D47791"/>
    <w:rsid w:val="00DA1A57"/>
    <w:rsid w:val="00E07719"/>
    <w:rsid w:val="00E51E2A"/>
    <w:rsid w:val="00FE3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62766"/>
  <w15:chartTrackingRefBased/>
  <w15:docId w15:val="{BEE95DE5-EAA8-4D8A-9EFA-0FC613FC9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F863A-72CB-456C-999B-E50521944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1133</Words>
  <Characters>6463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Alison (1805987)</dc:creator>
  <cp:keywords/>
  <dc:description/>
  <cp:lastModifiedBy>James Alison (1805987)</cp:lastModifiedBy>
  <cp:revision>2</cp:revision>
  <dcterms:created xsi:type="dcterms:W3CDTF">2018-10-08T10:24:00Z</dcterms:created>
  <dcterms:modified xsi:type="dcterms:W3CDTF">2018-10-08T10:24:00Z</dcterms:modified>
</cp:coreProperties>
</file>