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drawing>
          <wp:inline distB="0" distT="0" distL="0" distR="0">
            <wp:extent cx="1914525" cy="695325"/>
            <wp:effectExtent b="0" l="0" r="0" t="0"/>
            <wp:docPr id="149983585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14525" cy="6953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both"/>
        <w:rPr/>
      </w:pPr>
      <w:r w:rsidDel="00000000" w:rsidR="00000000" w:rsidRPr="00000000">
        <w:rPr>
          <w:rtl w:val="0"/>
        </w:rPr>
      </w:r>
    </w:p>
    <w:tbl>
      <w:tblPr>
        <w:tblStyle w:val="Table1"/>
        <w:tblW w:w="9345.0" w:type="dxa"/>
        <w:jc w:val="left"/>
        <w:tblLayout w:type="fixed"/>
        <w:tblLook w:val="0400"/>
      </w:tblPr>
      <w:tblGrid>
        <w:gridCol w:w="1500"/>
        <w:gridCol w:w="3240"/>
        <w:gridCol w:w="2415"/>
        <w:gridCol w:w="2190"/>
        <w:tblGridChange w:id="0">
          <w:tblGrid>
            <w:gridCol w:w="1500"/>
            <w:gridCol w:w="3240"/>
            <w:gridCol w:w="2415"/>
            <w:gridCol w:w="2190"/>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03">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Student name: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004">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Ana Maria Stoian</w:t>
            </w:r>
          </w:p>
        </w:tc>
        <w:tc>
          <w:tcPr>
            <w:tcBorders>
              <w:top w:color="cccccc" w:space="0" w:sz="6" w:val="single"/>
              <w:left w:color="cccccc" w:space="0" w:sz="6" w:val="single"/>
              <w:bottom w:color="cccccc" w:space="0" w:sz="6" w:val="single"/>
              <w:right w:color="cccccc" w:space="0" w:sz="6" w:val="single"/>
            </w:tcBorders>
            <w:shd w:fill="aeaaaa" w:val="clear"/>
            <w:tcMar>
              <w:top w:w="30.0" w:type="dxa"/>
              <w:left w:w="0.0" w:type="dxa"/>
              <w:bottom w:w="30.0" w:type="dxa"/>
              <w:right w:w="0.0" w:type="dxa"/>
            </w:tcMar>
            <w:vAlign w:val="bottom"/>
          </w:tcPr>
          <w:p w:rsidR="00000000" w:rsidDel="00000000" w:rsidP="00000000" w:rsidRDefault="00000000" w:rsidRPr="00000000" w14:paraId="00000005">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Student number: ID</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006">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2438620</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07">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Programme:</w:t>
            </w:r>
          </w:p>
        </w:tc>
        <w:tc>
          <w:tcPr>
            <w:gridSpan w:val="3"/>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008">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Certificate of Higher Education in Business Skills for the Workplace</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0B">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Module:</w:t>
            </w:r>
          </w:p>
        </w:tc>
        <w:tc>
          <w:tcPr>
            <w:gridSpan w:val="3"/>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00C">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Academic Skills</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0F">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Module code:</w:t>
            </w:r>
          </w:p>
        </w:tc>
        <w:tc>
          <w:tcPr>
            <w:gridSpan w:val="3"/>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010">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LCLM 4001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13">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Lecturer:</w:t>
            </w:r>
          </w:p>
        </w:tc>
        <w:tc>
          <w:tcPr>
            <w:gridSpan w:val="3"/>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014">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Dr. Lilian Dooshima Duggu, Sylvia Hoffmann</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17">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Assignment Title:</w:t>
            </w:r>
          </w:p>
        </w:tc>
        <w:tc>
          <w:tcPr>
            <w:gridSpan w:val="3"/>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018">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Academic Skills</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1B">
            <w:pPr>
              <w:jc w:val="both"/>
              <w:rPr>
                <w:rFonts w:ascii="Arial" w:cs="Arial" w:eastAsia="Arial" w:hAnsi="Arial"/>
                <w:b w:val="1"/>
                <w:sz w:val="18"/>
                <w:szCs w:val="18"/>
              </w:rPr>
            </w:pPr>
            <w:r w:rsidDel="00000000" w:rsidR="00000000" w:rsidRPr="00000000">
              <w:rPr>
                <w:rtl w:val="0"/>
              </w:rPr>
            </w:r>
          </w:p>
        </w:tc>
        <w:tc>
          <w:tcPr>
            <w:gridSpan w:val="3"/>
            <w:tcBorders>
              <w:top w:color="cccccc" w:space="0" w:sz="6" w:val="single"/>
              <w:left w:color="cccccc" w:space="0" w:sz="6" w:val="single"/>
              <w:bottom w:color="cccccc" w:space="0" w:sz="6" w:val="single"/>
              <w:right w:color="cccccc" w:space="0" w:sz="6" w:val="single"/>
            </w:tcBorders>
            <w:tcMar>
              <w:top w:w="30.0" w:type="dxa"/>
              <w:left w:w="0.0" w:type="dxa"/>
              <w:bottom w:w="30.0" w:type="dxa"/>
              <w:right w:w="0.0" w:type="dxa"/>
            </w:tcMar>
            <w:vAlign w:val="bottom"/>
          </w:tcPr>
          <w:p w:rsidR="00000000" w:rsidDel="00000000" w:rsidP="00000000" w:rsidRDefault="00000000" w:rsidRPr="00000000" w14:paraId="0000001C">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Task 3 - Reflective report</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1F">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Submission deadline: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020">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Task 3 - Reflective Report: 21st of August 2025, 10:00AM</w:t>
            </w:r>
          </w:p>
        </w:tc>
        <w:tc>
          <w:tcPr>
            <w:tcBorders>
              <w:top w:color="cccccc" w:space="0" w:sz="6" w:val="single"/>
              <w:left w:color="cccccc" w:space="0" w:sz="6" w:val="single"/>
              <w:bottom w:color="cccccc" w:space="0" w:sz="6" w:val="single"/>
              <w:right w:color="cccccc" w:space="0" w:sz="6" w:val="single"/>
            </w:tcBorders>
            <w:shd w:fill="aeaaaa" w:val="clear"/>
            <w:tcMar>
              <w:top w:w="30.0" w:type="dxa"/>
              <w:left w:w="45.0" w:type="dxa"/>
              <w:bottom w:w="30.0" w:type="dxa"/>
              <w:right w:w="45.0" w:type="dxa"/>
            </w:tcMar>
            <w:vAlign w:val="bottom"/>
          </w:tcPr>
          <w:p w:rsidR="00000000" w:rsidDel="00000000" w:rsidP="00000000" w:rsidRDefault="00000000" w:rsidRPr="00000000" w14:paraId="00000021">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Return date of provisional marks &amp; written feedback:</w:t>
            </w:r>
          </w:p>
        </w:tc>
        <w:tc>
          <w:tcPr>
            <w:tcBorders>
              <w:top w:color="cccccc" w:space="0" w:sz="6" w:val="single"/>
              <w:left w:color="cccccc" w:space="0" w:sz="6" w:val="single"/>
              <w:bottom w:color="cccccc" w:space="0" w:sz="6" w:val="single"/>
              <w:right w:color="cccccc" w:space="0" w:sz="6" w:val="single"/>
            </w:tcBorders>
            <w:tcMar>
              <w:top w:w="30.0" w:type="dxa"/>
              <w:left w:w="0.0" w:type="dxa"/>
              <w:bottom w:w="30.0" w:type="dxa"/>
              <w:right w:w="0.0" w:type="dxa"/>
            </w:tcMar>
            <w:vAlign w:val="bottom"/>
          </w:tcPr>
          <w:p w:rsidR="00000000" w:rsidDel="00000000" w:rsidP="00000000" w:rsidRDefault="00000000" w:rsidRPr="00000000" w14:paraId="00000022">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12th September 2025</w:t>
            </w:r>
          </w:p>
        </w:tc>
      </w:tr>
    </w:tbl>
    <w:p w:rsidR="00000000" w:rsidDel="00000000" w:rsidP="00000000" w:rsidRDefault="00000000" w:rsidRPr="00000000" w14:paraId="00000023">
      <w:pPr>
        <w:jc w:val="both"/>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24">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25">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26">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2A">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2B">
      <w:pPr>
        <w:jc w:val="center"/>
        <w:rPr>
          <w:rFonts w:ascii="Arial" w:cs="Arial" w:eastAsia="Arial" w:hAnsi="Arial"/>
          <w:b w:val="1"/>
        </w:rPr>
      </w:pPr>
      <w:r w:rsidDel="00000000" w:rsidR="00000000" w:rsidRPr="00000000">
        <w:rPr>
          <w:rFonts w:ascii="Arial" w:cs="Arial" w:eastAsia="Arial" w:hAnsi="Arial"/>
          <w:b w:val="1"/>
          <w:sz w:val="32"/>
          <w:szCs w:val="32"/>
          <w:rtl w:val="0"/>
        </w:rPr>
        <w:t xml:space="preserve">CONFIDENCE AND COMPETENCE: A REFLECTIVE REPORT ON THE ACADEMIC SKILLS MODULE</w:t>
      </w:r>
      <w:r w:rsidDel="00000000" w:rsidR="00000000" w:rsidRPr="00000000">
        <w:br w:type="page"/>
      </w:r>
      <w:r w:rsidDel="00000000" w:rsidR="00000000" w:rsidRPr="00000000">
        <w:rPr>
          <w:rtl w:val="0"/>
        </w:rPr>
      </w:r>
    </w:p>
    <w:p w:rsidR="00000000" w:rsidDel="00000000" w:rsidP="00000000" w:rsidRDefault="00000000" w:rsidRPr="00000000" w14:paraId="0000002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Table of Contents</w:t>
      </w:r>
    </w:p>
    <w:sdt>
      <w:sdtPr>
        <w:id w:val="1776416041"/>
        <w:docPartObj>
          <w:docPartGallery w:val="Table of Contents"/>
          <w:docPartUnique w:val="1"/>
        </w:docPartObj>
      </w:sdtPr>
      <w:sdtContent>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i w:val="0"/>
              <w:smallCaps w:val="0"/>
              <w:strike w:val="0"/>
              <w:color w:val="0d0d0d"/>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opqn3fvjo3y2">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i w:val="0"/>
              <w:smallCaps w:val="0"/>
              <w:strike w:val="0"/>
              <w:color w:val="0d0d0d"/>
              <w:sz w:val="24"/>
              <w:szCs w:val="24"/>
              <w:u w:val="none"/>
              <w:shd w:fill="auto" w:val="clear"/>
              <w:vertAlign w:val="baseline"/>
            </w:rPr>
          </w:pPr>
          <w:hyperlink w:anchor="_heading=h.vslbdbkxz6um">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Description of Experiences</w:t>
              <w:tab/>
              <w:t xml:space="preserve">4</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i w:val="0"/>
              <w:smallCaps w:val="0"/>
              <w:strike w:val="0"/>
              <w:color w:val="0d0d0d"/>
              <w:sz w:val="24"/>
              <w:szCs w:val="24"/>
              <w:u w:val="none"/>
              <w:shd w:fill="auto" w:val="clear"/>
              <w:vertAlign w:val="baseline"/>
            </w:rPr>
          </w:pPr>
          <w:hyperlink w:anchor="_heading=h.d3aynnmzgovl">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Analysis and Personal Reflection</w:t>
              <w:tab/>
              <w:t xml:space="preserve">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i w:val="0"/>
              <w:smallCaps w:val="0"/>
              <w:strike w:val="0"/>
              <w:color w:val="0d0d0d"/>
              <w:sz w:val="24"/>
              <w:szCs w:val="24"/>
              <w:u w:val="none"/>
              <w:shd w:fill="auto" w:val="clear"/>
              <w:vertAlign w:val="baseline"/>
            </w:rPr>
          </w:pPr>
          <w:hyperlink w:anchor="_heading=h.g4nni6uthuze">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i w:val="0"/>
              <w:smallCaps w:val="0"/>
              <w:strike w:val="0"/>
              <w:color w:val="0d0d0d"/>
              <w:sz w:val="24"/>
              <w:szCs w:val="24"/>
              <w:u w:val="none"/>
              <w:shd w:fill="auto" w:val="clear"/>
              <w:vertAlign w:val="baseline"/>
            </w:rPr>
          </w:pPr>
          <w:hyperlink w:anchor="_heading=h.bscc84u008z3">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32">
          <w:pPr>
            <w:jc w:val="cente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spacing w:line="259" w:lineRule="auto"/>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jc w:val="both"/>
        <w:rPr>
          <w:rFonts w:ascii="Arial" w:cs="Arial" w:eastAsia="Arial" w:hAnsi="Arial"/>
        </w:rPr>
      </w:pPr>
      <w:bookmarkStart w:colFirst="0" w:colLast="0" w:name="_heading=h.opqn3fvjo3y2" w:id="0"/>
      <w:bookmarkEnd w:id="0"/>
      <w:r w:rsidDel="00000000" w:rsidR="00000000" w:rsidRPr="00000000">
        <w:rPr>
          <w:rFonts w:ascii="Arial" w:cs="Arial" w:eastAsia="Arial" w:hAnsi="Arial"/>
          <w:rtl w:val="0"/>
        </w:rPr>
        <w:t xml:space="preserve">Introduction</w:t>
      </w:r>
    </w:p>
    <w:p w:rsidR="00000000" w:rsidDel="00000000" w:rsidP="00000000" w:rsidRDefault="00000000" w:rsidRPr="00000000" w14:paraId="00000035">
      <w:pPr>
        <w:jc w:val="both"/>
        <w:rPr>
          <w:rFonts w:ascii="Arial" w:cs="Arial" w:eastAsia="Arial" w:hAnsi="Arial"/>
        </w:rPr>
      </w:pPr>
      <w:r w:rsidDel="00000000" w:rsidR="00000000" w:rsidRPr="00000000">
        <w:rPr>
          <w:rFonts w:ascii="Arial" w:cs="Arial" w:eastAsia="Arial" w:hAnsi="Arial"/>
          <w:rtl w:val="0"/>
        </w:rPr>
        <w:t xml:space="preserve">The report is a recap on my learning experience through the Academic Skills module. It is written to evaluate my personal and academic growth, and tell about significant experiences and activities. In doing so, I will particularly delve into how the in-class quiz and practical skills exercise and subsequent classroom discussions have shaped my development as a student. These experiences were formative in contributing to my approach to higher education by showing me the areas where I initially excelled and fell short, and what needed improving. The value that I get from this module is not the knowledge or training it has given me but the most basic building block skills you need to be a successful entrepreneur.</w:t>
      </w:r>
    </w:p>
    <w:p w:rsidR="00000000" w:rsidDel="00000000" w:rsidP="00000000" w:rsidRDefault="00000000" w:rsidRPr="00000000" w14:paraId="00000036">
      <w:pPr>
        <w:pStyle w:val="Heading1"/>
        <w:jc w:val="both"/>
        <w:rPr>
          <w:rFonts w:ascii="Arial" w:cs="Arial" w:eastAsia="Arial" w:hAnsi="Arial"/>
        </w:rPr>
      </w:pPr>
      <w:bookmarkStart w:colFirst="0" w:colLast="0" w:name="_heading=h.vslbdbkxz6um" w:id="1"/>
      <w:bookmarkEnd w:id="1"/>
      <w:r w:rsidDel="00000000" w:rsidR="00000000" w:rsidRPr="00000000">
        <w:rPr>
          <w:rFonts w:ascii="Arial" w:cs="Arial" w:eastAsia="Arial" w:hAnsi="Arial"/>
          <w:rtl w:val="0"/>
        </w:rPr>
        <w:t xml:space="preserve">Description of Experiences</w:t>
      </w:r>
    </w:p>
    <w:p w:rsidR="00000000" w:rsidDel="00000000" w:rsidP="00000000" w:rsidRDefault="00000000" w:rsidRPr="00000000" w14:paraId="00000037">
      <w:pPr>
        <w:jc w:val="both"/>
        <w:rPr>
          <w:rFonts w:ascii="Arial" w:cs="Arial" w:eastAsia="Arial" w:hAnsi="Arial"/>
        </w:rPr>
      </w:pPr>
      <w:r w:rsidDel="00000000" w:rsidR="00000000" w:rsidRPr="00000000">
        <w:rPr>
          <w:rFonts w:ascii="Arial" w:cs="Arial" w:eastAsia="Arial" w:hAnsi="Arial"/>
          <w:rtl w:val="0"/>
        </w:rPr>
        <w:t xml:space="preserve">I have chosen to focus my management of study time in the Academic Skills module with which I had a series of key learning experiences. The first of these was the ‘Academic Skills Test’ that occurred in week 5. The 45-minute, in-class assessment examined topics such as time management, note-taking abilities, academic misconduct and scholarly referencing. I specifically remember that my weakness was on the questions where I had to construct a reference in a format given the elements, which I had never test-timed before (Cheong et al., 2023). This quiz was a quick diagnostic into exactly where in the elements I was lacking in skills, offering a much needed reality check early on.</w:t>
      </w:r>
    </w:p>
    <w:p w:rsidR="00000000" w:rsidDel="00000000" w:rsidP="00000000" w:rsidRDefault="00000000" w:rsidRPr="00000000" w14:paraId="00000038">
      <w:pPr>
        <w:jc w:val="both"/>
        <w:rPr>
          <w:rFonts w:ascii="Arial" w:cs="Arial" w:eastAsia="Arial" w:hAnsi="Arial"/>
        </w:rPr>
      </w:pPr>
      <w:r w:rsidDel="00000000" w:rsidR="00000000" w:rsidRPr="00000000">
        <w:rPr>
          <w:rFonts w:ascii="Arial" w:cs="Arial" w:eastAsia="Arial" w:hAnsi="Arial"/>
          <w:rtl w:val="0"/>
        </w:rPr>
        <w:t xml:space="preserve">The second important session was ‘Application of Academic Skills Exercise' in week seven. Exercise: Practical exercise to practise note-taking from a short text and paraphrasing selected sentences. this material into one coherent paragraph using suitable academic conventions (90 minutes). This activity seemed highly work-oriented in that, it has directly imitated the type of academic tasks done in other modules (Chung, Chen and Olson, 2021). The subsequent classroom discussions were incredibly valuable; hearing my peers articulate their varied approaches to paraphrasing and structuring paragraphs provided alternative perspectives that significantly broadened my own understanding. These structured, hands-on activities were the most impactful classroom events for my learning.</w:t>
      </w:r>
    </w:p>
    <w:p w:rsidR="00000000" w:rsidDel="00000000" w:rsidP="00000000" w:rsidRDefault="00000000" w:rsidRPr="00000000" w14:paraId="00000039">
      <w:pPr>
        <w:pStyle w:val="Heading1"/>
        <w:jc w:val="both"/>
        <w:rPr>
          <w:rFonts w:ascii="Arial" w:cs="Arial" w:eastAsia="Arial" w:hAnsi="Arial"/>
        </w:rPr>
      </w:pPr>
      <w:bookmarkStart w:colFirst="0" w:colLast="0" w:name="_heading=h.d3aynnmzgovl" w:id="2"/>
      <w:bookmarkEnd w:id="2"/>
      <w:r w:rsidDel="00000000" w:rsidR="00000000" w:rsidRPr="00000000">
        <w:rPr>
          <w:rFonts w:ascii="Arial" w:cs="Arial" w:eastAsia="Arial" w:hAnsi="Arial"/>
          <w:rtl w:val="0"/>
        </w:rPr>
        <w:t xml:space="preserve">Analysis and Personal Reflection</w:t>
      </w:r>
    </w:p>
    <w:p w:rsidR="00000000" w:rsidDel="00000000" w:rsidP="00000000" w:rsidRDefault="00000000" w:rsidRPr="00000000" w14:paraId="0000003A">
      <w:pPr>
        <w:jc w:val="both"/>
        <w:rPr>
          <w:rFonts w:ascii="Arial" w:cs="Arial" w:eastAsia="Arial" w:hAnsi="Arial"/>
        </w:rPr>
      </w:pPr>
      <w:r w:rsidDel="00000000" w:rsidR="00000000" w:rsidRPr="00000000">
        <w:rPr>
          <w:rFonts w:ascii="Arial" w:cs="Arial" w:eastAsia="Arial" w:hAnsi="Arial"/>
          <w:rtl w:val="0"/>
        </w:rPr>
        <w:t xml:space="preserve">My analysis of these experiences reveals a significant and tangible development in my academic abilities, a journey from uncertainty to emerging confidence. The initial 'Academic Skills Quiz', for instance, served as an unflattering mirror, forcing me to confront my haphazard and deeply inefficient approach to time management. Before this module, I believed I was managing my workload simply because I was meeting most deadlines, albeit often at the last minute. My method was entirely reactive; I would lurch from one urgent task to the next, fuelled by caffeine and the anxiety of an impending submission. This approach left no room for reflective thinking or deep engagement with my subjects (Flournoy and Bauman, 2021). The quiz questions on strategic planning and prioritisation techniques highlighted this weakness starkly. This realisation prompted me to treat my own study habits as a personal project. I began to rigorously implement the strategies discussed in class, particularly time-blocking my weeks in a detailed calendar and using the Eisenhower Matrix to prioritise tasks.</w:t>
      </w:r>
    </w:p>
    <w:p w:rsidR="00000000" w:rsidDel="00000000" w:rsidP="00000000" w:rsidRDefault="00000000" w:rsidRPr="00000000" w14:paraId="0000003B">
      <w:pPr>
        <w:jc w:val="both"/>
        <w:rPr>
          <w:rFonts w:ascii="Arial" w:cs="Arial" w:eastAsia="Arial" w:hAnsi="Arial"/>
        </w:rPr>
      </w:pPr>
      <w:r w:rsidDel="00000000" w:rsidR="00000000" w:rsidRPr="00000000">
        <w:rPr>
          <w:rFonts w:ascii="Arial" w:cs="Arial" w:eastAsia="Arial" w:hAnsi="Arial"/>
          <w:rtl w:val="0"/>
        </w:rPr>
        <w:t xml:space="preserve">Evaluating this change, the impact has been overwhelmingly positive and transformative. The most immediate result was a dramatic reduction in my stress levels. The constant feeling of being behind has been replaced by a sense of control and purpose. More importantly, the quality of my preparatory work for all modules has improved. By scheduling specific blocks for research, reading, and drafting, I have created the necessary mental space for deep and considered learning (Meza, Rodríguez and Caviedes, 2021). I now understand that effective time management is not a bureaucratic exercise in scheduling; it is the foundational skill that enables genuine academic inquiry. It is the act of consciously protecting time from the urgent to dedicate it to the important, a lesson that has profoundly reshaped my entire approach to higher education.</w:t>
      </w:r>
    </w:p>
    <w:p w:rsidR="00000000" w:rsidDel="00000000" w:rsidP="00000000" w:rsidRDefault="00000000" w:rsidRPr="00000000" w14:paraId="0000003C">
      <w:pPr>
        <w:jc w:val="both"/>
        <w:rPr>
          <w:rFonts w:ascii="Arial" w:cs="Arial" w:eastAsia="Arial" w:hAnsi="Arial"/>
        </w:rPr>
      </w:pPr>
      <w:r w:rsidDel="00000000" w:rsidR="00000000" w:rsidRPr="00000000">
        <w:rPr>
          <w:rFonts w:ascii="Arial" w:cs="Arial" w:eastAsia="Arial" w:hAnsi="Arial"/>
          <w:rtl w:val="0"/>
        </w:rPr>
        <w:t xml:space="preserve">If the quiz was a lesson in logistics, the application exercise in week seven was a turning point for my intellectual craftsmanship, particularly in my academic writing. My initial attempt at paraphrasing during the timed exercise felt clumsy and dishonest. I struggled to change the structure of the source sentences sufficiently while retaining the original meaning, and I remember feeling that I was simply "re-dressing" the author's words on my own, a process that felt perilously close to plagiarism (Wind and Zólyomi, 2022). The feedback received on this task, combined with the subsequent peer discussion, was instrumental. I learned that true paraphrasing is a skill of interpretation and rearticulation, not just of synonym swapping. It is about deeply understanding an idea and then explaining it in your own voice, within your own argument.</w:t>
      </w:r>
    </w:p>
    <w:p w:rsidR="00000000" w:rsidDel="00000000" w:rsidP="00000000" w:rsidRDefault="00000000" w:rsidRPr="00000000" w14:paraId="0000003D">
      <w:pPr>
        <w:jc w:val="both"/>
        <w:rPr>
          <w:rFonts w:ascii="Arial" w:cs="Arial" w:eastAsia="Arial" w:hAnsi="Arial"/>
        </w:rPr>
      </w:pPr>
      <w:r w:rsidDel="00000000" w:rsidR="00000000" w:rsidRPr="00000000">
        <w:rPr>
          <w:rFonts w:ascii="Arial" w:cs="Arial" w:eastAsia="Arial" w:hAnsi="Arial"/>
          <w:rtl w:val="0"/>
        </w:rPr>
        <w:t xml:space="preserve">This experience directly deepened my understanding of academic integrity. It became vividly clear how easily unintentional plagiarism could occur through poor technique and reinforced the critical importance of careful, methodical note-taking from the outset. My strength and confidence in this area have grown immensely (Wei et al., 2024). I am now far more assured in my ability to synthesise information from multiple sources and integrate it ethically and effectively into my own arguments, using an author's work to build upon, not simply to report.</w:t>
      </w:r>
    </w:p>
    <w:p w:rsidR="00000000" w:rsidDel="00000000" w:rsidP="00000000" w:rsidRDefault="00000000" w:rsidRPr="00000000" w14:paraId="0000003E">
      <w:pPr>
        <w:jc w:val="both"/>
        <w:rPr>
          <w:rFonts w:ascii="Arial" w:cs="Arial" w:eastAsia="Arial" w:hAnsi="Arial"/>
        </w:rPr>
      </w:pPr>
      <w:r w:rsidDel="00000000" w:rsidR="00000000" w:rsidRPr="00000000">
        <w:rPr>
          <w:rFonts w:ascii="Arial" w:cs="Arial" w:eastAsia="Arial" w:hAnsi="Arial"/>
          <w:rtl w:val="0"/>
        </w:rPr>
        <w:t xml:space="preserve">Looking at a bigger picture of my growth, the module has changed my understanding of the student significantly. At the beginning of the year, I viewed the process of learning as the mere reception of information provided by specialists. I currently recognise it as a dynamic process of interaction, querying and thought building. A lesson highlighted by the module was an express response shifting from descriptive writing that just enumerates the information, to analytical writing which collaboratively questions the gathering of evidence and evolves a rational argument. Such a transition has not been so easy, and it is still hard for me to have a consistently critical voice.</w:t>
      </w:r>
    </w:p>
    <w:p w:rsidR="00000000" w:rsidDel="00000000" w:rsidP="00000000" w:rsidRDefault="00000000" w:rsidRPr="00000000" w14:paraId="0000003F">
      <w:pPr>
        <w:pStyle w:val="Heading1"/>
        <w:jc w:val="both"/>
        <w:rPr>
          <w:rFonts w:ascii="Arial" w:cs="Arial" w:eastAsia="Arial" w:hAnsi="Arial"/>
        </w:rPr>
      </w:pPr>
      <w:bookmarkStart w:colFirst="0" w:colLast="0" w:name="_heading=h.g4nni6uthuze" w:id="3"/>
      <w:bookmarkEnd w:id="3"/>
      <w:r w:rsidDel="00000000" w:rsidR="00000000" w:rsidRPr="00000000">
        <w:rPr>
          <w:rFonts w:ascii="Arial" w:cs="Arial" w:eastAsia="Arial" w:hAnsi="Arial"/>
          <w:rtl w:val="0"/>
        </w:rPr>
        <w:t xml:space="preserve">Conclusion</w:t>
      </w:r>
    </w:p>
    <w:p w:rsidR="00000000" w:rsidDel="00000000" w:rsidP="00000000" w:rsidRDefault="00000000" w:rsidRPr="00000000" w14:paraId="00000040">
      <w:pPr>
        <w:jc w:val="both"/>
        <w:rPr>
          <w:rFonts w:ascii="Arial" w:cs="Arial" w:eastAsia="Arial" w:hAnsi="Arial"/>
        </w:rPr>
      </w:pPr>
      <w:r w:rsidDel="00000000" w:rsidR="00000000" w:rsidRPr="00000000">
        <w:rPr>
          <w:rFonts w:ascii="Arial" w:cs="Arial" w:eastAsia="Arial" w:hAnsi="Arial"/>
          <w:rtl w:val="0"/>
        </w:rPr>
        <w:t xml:space="preserve">In conclusion, the Academic Skills module is a mandatory component that I have survived through in the first year. It has given me a considerable set of useful skills, time management, academic writing, and critical thinking, which I have already started to use in my overall studies. Looking back at my experience, the occasional confusion that was made apparent by my skills quiz to the increased confidence received due to experience gained in practice, the experience has been life-changing in general. Not only has the module boosted my grades, but it has essentially led me to a new way of thinking in terms of learning and has given me a sound basis on which to continue with the rest of my degree and professional life.</w:t>
      </w:r>
    </w:p>
    <w:p w:rsidR="00000000" w:rsidDel="00000000" w:rsidP="00000000" w:rsidRDefault="00000000" w:rsidRPr="00000000" w14:paraId="00000041">
      <w:pPr>
        <w:pStyle w:val="Heading1"/>
        <w:jc w:val="both"/>
        <w:rPr>
          <w:rFonts w:ascii="Arial" w:cs="Arial" w:eastAsia="Arial" w:hAnsi="Arial"/>
        </w:rPr>
      </w:pPr>
      <w:bookmarkStart w:colFirst="0" w:colLast="0" w:name="_heading=h.bscc84u008z3" w:id="4"/>
      <w:bookmarkEnd w:id="4"/>
      <w:r w:rsidDel="00000000" w:rsidR="00000000" w:rsidRPr="00000000">
        <w:rPr>
          <w:rFonts w:ascii="Arial" w:cs="Arial" w:eastAsia="Arial" w:hAnsi="Arial"/>
          <w:rtl w:val="0"/>
        </w:rPr>
        <w:t xml:space="preserve">References</w:t>
      </w:r>
    </w:p>
    <w:p w:rsidR="00000000" w:rsidDel="00000000" w:rsidP="00000000" w:rsidRDefault="00000000" w:rsidRPr="00000000" w14:paraId="00000042">
      <w:pPr>
        <w:jc w:val="both"/>
        <w:rPr>
          <w:rFonts w:ascii="Arial" w:cs="Arial" w:eastAsia="Arial" w:hAnsi="Arial"/>
        </w:rPr>
      </w:pPr>
      <w:r w:rsidDel="00000000" w:rsidR="00000000" w:rsidRPr="00000000">
        <w:rPr>
          <w:rFonts w:ascii="Arial" w:cs="Arial" w:eastAsia="Arial" w:hAnsi="Arial"/>
          <w:rtl w:val="0"/>
        </w:rPr>
        <w:t xml:space="preserve">Cheong, C.M., Luo, N., Zhu, X., Lu, Q. and Wei, W., 2023. Self-assessment complements peer assessment for undergraduate students in an academic writing task. </w:t>
      </w:r>
      <w:r w:rsidDel="00000000" w:rsidR="00000000" w:rsidRPr="00000000">
        <w:rPr>
          <w:rFonts w:ascii="Arial" w:cs="Arial" w:eastAsia="Arial" w:hAnsi="Arial"/>
          <w:i w:val="1"/>
          <w:rtl w:val="0"/>
        </w:rPr>
        <w:t xml:space="preserve">Assessment &amp; Evaluation in Higher Education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48</w:t>
      </w:r>
      <w:r w:rsidDel="00000000" w:rsidR="00000000" w:rsidRPr="00000000">
        <w:rPr>
          <w:rFonts w:ascii="Arial" w:cs="Arial" w:eastAsia="Arial" w:hAnsi="Arial"/>
          <w:rtl w:val="0"/>
        </w:rPr>
        <w:t xml:space="preserve">(1), pp.135-148.</w:t>
      </w:r>
    </w:p>
    <w:p w:rsidR="00000000" w:rsidDel="00000000" w:rsidP="00000000" w:rsidRDefault="00000000" w:rsidRPr="00000000" w14:paraId="00000043">
      <w:pPr>
        <w:jc w:val="both"/>
        <w:rPr>
          <w:rFonts w:ascii="Arial" w:cs="Arial" w:eastAsia="Arial" w:hAnsi="Arial"/>
        </w:rPr>
      </w:pPr>
      <w:r w:rsidDel="00000000" w:rsidR="00000000" w:rsidRPr="00000000">
        <w:rPr>
          <w:rFonts w:ascii="Arial" w:cs="Arial" w:eastAsia="Arial" w:hAnsi="Arial"/>
          <w:rtl w:val="0"/>
        </w:rPr>
        <w:t xml:space="preserve">Chung, H.Q., Chen, V. and Olson, C.B., 2021. The impact of self-assessment, planning and goal setting, and reflection before and after revision on student self-efficacy and writing performance. </w:t>
      </w:r>
      <w:r w:rsidDel="00000000" w:rsidR="00000000" w:rsidRPr="00000000">
        <w:rPr>
          <w:rFonts w:ascii="Arial" w:cs="Arial" w:eastAsia="Arial" w:hAnsi="Arial"/>
          <w:i w:val="1"/>
          <w:rtl w:val="0"/>
        </w:rPr>
        <w:t xml:space="preserve">Reading and Writing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34</w:t>
      </w:r>
      <w:r w:rsidDel="00000000" w:rsidR="00000000" w:rsidRPr="00000000">
        <w:rPr>
          <w:rFonts w:ascii="Arial" w:cs="Arial" w:eastAsia="Arial" w:hAnsi="Arial"/>
          <w:rtl w:val="0"/>
        </w:rPr>
        <w:t xml:space="preserve">(7), pp.1885-1913.</w:t>
      </w:r>
    </w:p>
    <w:p w:rsidR="00000000" w:rsidDel="00000000" w:rsidP="00000000" w:rsidRDefault="00000000" w:rsidRPr="00000000" w14:paraId="00000044">
      <w:pPr>
        <w:jc w:val="both"/>
        <w:rPr>
          <w:rFonts w:ascii="Arial" w:cs="Arial" w:eastAsia="Arial" w:hAnsi="Arial"/>
        </w:rPr>
      </w:pPr>
      <w:r w:rsidDel="00000000" w:rsidR="00000000" w:rsidRPr="00000000">
        <w:rPr>
          <w:rFonts w:ascii="Arial" w:cs="Arial" w:eastAsia="Arial" w:hAnsi="Arial"/>
          <w:rtl w:val="0"/>
        </w:rPr>
        <w:t xml:space="preserve">Flournoy, E.L. and Bauman, L.C., 2021. Collaborative Assessment: Using Self-Assessment and Reflection for Student Learning and Program Development. </w:t>
      </w:r>
      <w:r w:rsidDel="00000000" w:rsidR="00000000" w:rsidRPr="00000000">
        <w:rPr>
          <w:rFonts w:ascii="Arial" w:cs="Arial" w:eastAsia="Arial" w:hAnsi="Arial"/>
          <w:i w:val="1"/>
          <w:rtl w:val="0"/>
        </w:rPr>
        <w:t xml:space="preserve">Canadian journal for the scholarship of teaching and learning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12</w:t>
      </w:r>
      <w:r w:rsidDel="00000000" w:rsidR="00000000" w:rsidRPr="00000000">
        <w:rPr>
          <w:rFonts w:ascii="Arial" w:cs="Arial" w:eastAsia="Arial" w:hAnsi="Arial"/>
          <w:rtl w:val="0"/>
        </w:rPr>
        <w:t xml:space="preserve">(1), p.n1.</w:t>
      </w:r>
    </w:p>
    <w:p w:rsidR="00000000" w:rsidDel="00000000" w:rsidP="00000000" w:rsidRDefault="00000000" w:rsidRPr="00000000" w14:paraId="00000045">
      <w:pPr>
        <w:jc w:val="both"/>
        <w:rPr>
          <w:rFonts w:ascii="Arial" w:cs="Arial" w:eastAsia="Arial" w:hAnsi="Arial"/>
        </w:rPr>
      </w:pPr>
      <w:r w:rsidDel="00000000" w:rsidR="00000000" w:rsidRPr="00000000">
        <w:rPr>
          <w:rFonts w:ascii="Arial" w:cs="Arial" w:eastAsia="Arial" w:hAnsi="Arial"/>
          <w:rtl w:val="0"/>
        </w:rPr>
        <w:t xml:space="preserve">Meza, A., Rodríguez, I. and Caviedes, L., 2021. Fostering EFL preservice teachers’ academic writing skills through reflective learning. </w:t>
      </w:r>
      <w:r w:rsidDel="00000000" w:rsidR="00000000" w:rsidRPr="00000000">
        <w:rPr>
          <w:rFonts w:ascii="Arial" w:cs="Arial" w:eastAsia="Arial" w:hAnsi="Arial"/>
          <w:i w:val="1"/>
          <w:rtl w:val="0"/>
        </w:rPr>
        <w:t xml:space="preserve">Profile: Issues in Teachers' Professional Development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23</w:t>
      </w:r>
      <w:r w:rsidDel="00000000" w:rsidR="00000000" w:rsidRPr="00000000">
        <w:rPr>
          <w:rFonts w:ascii="Arial" w:cs="Arial" w:eastAsia="Arial" w:hAnsi="Arial"/>
          <w:rtl w:val="0"/>
        </w:rPr>
        <w:t xml:space="preserve">(1), pp.89-106.</w:t>
      </w:r>
    </w:p>
    <w:p w:rsidR="00000000" w:rsidDel="00000000" w:rsidP="00000000" w:rsidRDefault="00000000" w:rsidRPr="00000000" w14:paraId="00000046">
      <w:pPr>
        <w:jc w:val="both"/>
        <w:rPr>
          <w:rFonts w:ascii="Arial" w:cs="Arial" w:eastAsia="Arial" w:hAnsi="Arial"/>
        </w:rPr>
      </w:pPr>
      <w:r w:rsidDel="00000000" w:rsidR="00000000" w:rsidRPr="00000000">
        <w:rPr>
          <w:rFonts w:ascii="Arial" w:cs="Arial" w:eastAsia="Arial" w:hAnsi="Arial"/>
          <w:rtl w:val="0"/>
        </w:rPr>
        <w:t xml:space="preserve">Wei, W., Cheong, C.M., Zhu, X. and Lu, Q., 2024. Comparing self-reflection and peer feedback practices in an academic writing task: A student self-efficacy perspective. </w:t>
      </w:r>
      <w:r w:rsidDel="00000000" w:rsidR="00000000" w:rsidRPr="00000000">
        <w:rPr>
          <w:rFonts w:ascii="Arial" w:cs="Arial" w:eastAsia="Arial" w:hAnsi="Arial"/>
          <w:i w:val="1"/>
          <w:rtl w:val="0"/>
        </w:rPr>
        <w:t xml:space="preserve">Teaching in Higher Education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29</w:t>
      </w:r>
      <w:r w:rsidDel="00000000" w:rsidR="00000000" w:rsidRPr="00000000">
        <w:rPr>
          <w:rFonts w:ascii="Arial" w:cs="Arial" w:eastAsia="Arial" w:hAnsi="Arial"/>
          <w:rtl w:val="0"/>
        </w:rPr>
        <w:t xml:space="preserve">(4), pp.896-912.</w:t>
      </w:r>
    </w:p>
    <w:p w:rsidR="00000000" w:rsidDel="00000000" w:rsidP="00000000" w:rsidRDefault="00000000" w:rsidRPr="00000000" w14:paraId="00000047">
      <w:pPr>
        <w:jc w:val="both"/>
        <w:rPr>
          <w:rFonts w:ascii="Arial" w:cs="Arial" w:eastAsia="Arial" w:hAnsi="Arial"/>
        </w:rPr>
      </w:pPr>
      <w:r w:rsidDel="00000000" w:rsidR="00000000" w:rsidRPr="00000000">
        <w:rPr>
          <w:rFonts w:ascii="Arial" w:cs="Arial" w:eastAsia="Arial" w:hAnsi="Arial"/>
          <w:rtl w:val="0"/>
        </w:rPr>
        <w:t xml:space="preserve">Wind, A.M. and Zólyomi, A., 2022. The longitudinal development of self-assessment and academic writing: an advanced writing programme. </w:t>
      </w:r>
      <w:r w:rsidDel="00000000" w:rsidR="00000000" w:rsidRPr="00000000">
        <w:rPr>
          <w:rFonts w:ascii="Arial" w:cs="Arial" w:eastAsia="Arial" w:hAnsi="Arial"/>
          <w:i w:val="1"/>
          <w:rtl w:val="0"/>
        </w:rPr>
        <w:t xml:space="preserve">Language Learning in Higher Education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12</w:t>
      </w:r>
      <w:r w:rsidDel="00000000" w:rsidR="00000000" w:rsidRPr="00000000">
        <w:rPr>
          <w:rFonts w:ascii="Arial" w:cs="Arial" w:eastAsia="Arial" w:hAnsi="Arial"/>
          <w:rtl w:val="0"/>
        </w:rPr>
        <w:t xml:space="preserve">(1), pp.185-207.</w:t>
      </w:r>
    </w:p>
    <w:p w:rsidR="00000000" w:rsidDel="00000000" w:rsidP="00000000" w:rsidRDefault="00000000" w:rsidRPr="00000000" w14:paraId="00000048">
      <w:pPr>
        <w:jc w:val="both"/>
        <w:rPr>
          <w:rFonts w:ascii="Arial" w:cs="Arial" w:eastAsia="Arial" w:hAnsi="Arial"/>
        </w:rPr>
      </w:pPr>
      <w:r w:rsidDel="00000000" w:rsidR="00000000" w:rsidRPr="00000000">
        <w:rPr>
          <w:rtl w:val="0"/>
        </w:rPr>
      </w:r>
    </w:p>
    <w:sectPr>
      <w:footerReference r:id="rId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d0d0d"/>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d0d0d"/>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d0d0d"/>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0d0d0d"/>
        <w:sz w:val="24"/>
        <w:szCs w:val="24"/>
        <w:lang w:val="en_GB"/>
      </w:rPr>
    </w:rPrDefault>
    <w:pPrDefault>
      <w:pPr>
        <w:spacing w:after="160" w:line="36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b w:val="1"/>
      <w:color w:val="000000"/>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80" w:before="160" w:lineRule="auto"/>
    </w:pPr>
    <w:rPr>
      <w:rFonts w:ascii="Calibri" w:cs="Calibri" w:eastAsia="Calibri" w:hAnsi="Calibri"/>
      <w:color w:val="2e75b5"/>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e75b5"/>
    </w:rPr>
  </w:style>
  <w:style w:type="paragraph" w:styleId="Heading5">
    <w:name w:val="heading 5"/>
    <w:basedOn w:val="Normal"/>
    <w:next w:val="Normal"/>
    <w:pPr>
      <w:keepNext w:val="1"/>
      <w:keepLines w:val="1"/>
      <w:spacing w:after="40" w:before="80" w:lineRule="auto"/>
    </w:pPr>
    <w:rPr>
      <w:rFonts w:ascii="Calibri" w:cs="Calibri" w:eastAsia="Calibri" w:hAnsi="Calibri"/>
      <w:color w:val="2e75b5"/>
    </w:rPr>
  </w:style>
  <w:style w:type="paragraph" w:styleId="Heading6">
    <w:name w:val="heading 6"/>
    <w:basedOn w:val="Normal"/>
    <w:next w:val="Normal"/>
    <w:pPr>
      <w:keepNext w:val="1"/>
      <w:keepLines w:val="1"/>
      <w:spacing w:after="0"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color w:val="000000"/>
      <w:sz w:val="56"/>
      <w:szCs w:val="56"/>
    </w:rPr>
  </w:style>
  <w:style w:type="paragraph" w:styleId="Heading7">
    <w:name w:val="heading 7"/>
    <w:basedOn w:val="Normal"/>
    <w:next w:val="Normal"/>
    <w:link w:val="Heading7Char"/>
    <w:uiPriority w:val="9"/>
    <w:semiHidden w:val="1"/>
    <w:unhideWhenUsed w:val="1"/>
    <w:qFormat w:val="1"/>
    <w:rsid w:val="00D5733B"/>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D5733B"/>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5733B"/>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B5AEF"/>
    <w:rPr>
      <w:rFonts w:ascii="Times New Roman" w:hAnsi="Times New Roman" w:cstheme="majorBidi" w:eastAsiaTheme="majorEastAsia"/>
      <w:b w:val="1"/>
      <w:color w:val="000000" w:themeColor="text1"/>
      <w:sz w:val="24"/>
      <w:szCs w:val="32"/>
    </w:rPr>
  </w:style>
  <w:style w:type="character" w:styleId="Heading2Char" w:customStyle="1">
    <w:name w:val="Heading 2 Char"/>
    <w:basedOn w:val="DefaultParagraphFont"/>
    <w:link w:val="Heading2"/>
    <w:uiPriority w:val="9"/>
    <w:semiHidden w:val="1"/>
    <w:rsid w:val="004B5AEF"/>
    <w:rPr>
      <w:rFonts w:ascii="Times New Roman" w:hAnsi="Times New Roman" w:cstheme="majorBidi" w:eastAsiaTheme="majorEastAsia"/>
      <w:b w:val="1"/>
      <w:color w:val="0d0d0d" w:themeColor="text1" w:themeTint="0000F2"/>
      <w:sz w:val="24"/>
      <w:szCs w:val="26"/>
    </w:rPr>
  </w:style>
  <w:style w:type="character" w:styleId="Heading3Char" w:customStyle="1">
    <w:name w:val="Heading 3 Char"/>
    <w:basedOn w:val="DefaultParagraphFont"/>
    <w:link w:val="Heading3"/>
    <w:uiPriority w:val="9"/>
    <w:semiHidden w:val="1"/>
    <w:rsid w:val="00D5733B"/>
    <w:rPr>
      <w:rFonts w:cstheme="majorBidi" w:eastAsiaTheme="majorEastAsia"/>
      <w:color w:val="2e74b5" w:themeColor="accent1" w:themeShade="0000BF"/>
      <w:sz w:val="28"/>
      <w:szCs w:val="28"/>
    </w:rPr>
  </w:style>
  <w:style w:type="character" w:styleId="Heading4Char" w:customStyle="1">
    <w:name w:val="Heading 4 Char"/>
    <w:basedOn w:val="DefaultParagraphFont"/>
    <w:link w:val="Heading4"/>
    <w:uiPriority w:val="9"/>
    <w:semiHidden w:val="1"/>
    <w:rsid w:val="00D5733B"/>
    <w:rPr>
      <w:rFonts w:cstheme="majorBidi" w:eastAsiaTheme="majorEastAsia"/>
      <w:i w:val="1"/>
      <w:iCs w:val="1"/>
      <w:color w:val="2e74b5" w:themeColor="accent1" w:themeShade="0000BF"/>
      <w:sz w:val="24"/>
    </w:rPr>
  </w:style>
  <w:style w:type="character" w:styleId="Heading5Char" w:customStyle="1">
    <w:name w:val="Heading 5 Char"/>
    <w:basedOn w:val="DefaultParagraphFont"/>
    <w:link w:val="Heading5"/>
    <w:uiPriority w:val="9"/>
    <w:semiHidden w:val="1"/>
    <w:rsid w:val="00D5733B"/>
    <w:rPr>
      <w:rFonts w:cstheme="majorBidi" w:eastAsiaTheme="majorEastAsia"/>
      <w:color w:val="2e74b5" w:themeColor="accent1" w:themeShade="0000BF"/>
      <w:sz w:val="24"/>
    </w:rPr>
  </w:style>
  <w:style w:type="character" w:styleId="Heading6Char" w:customStyle="1">
    <w:name w:val="Heading 6 Char"/>
    <w:basedOn w:val="DefaultParagraphFont"/>
    <w:link w:val="Heading6"/>
    <w:uiPriority w:val="9"/>
    <w:semiHidden w:val="1"/>
    <w:rsid w:val="00D5733B"/>
    <w:rPr>
      <w:rFonts w:cstheme="majorBidi" w:eastAsiaTheme="majorEastAsia"/>
      <w:i w:val="1"/>
      <w:iCs w:val="1"/>
      <w:color w:val="595959" w:themeColor="text1" w:themeTint="0000A6"/>
      <w:sz w:val="24"/>
    </w:rPr>
  </w:style>
  <w:style w:type="character" w:styleId="Heading7Char" w:customStyle="1">
    <w:name w:val="Heading 7 Char"/>
    <w:basedOn w:val="DefaultParagraphFont"/>
    <w:link w:val="Heading7"/>
    <w:uiPriority w:val="9"/>
    <w:semiHidden w:val="1"/>
    <w:rsid w:val="00D5733B"/>
    <w:rPr>
      <w:rFonts w:cstheme="majorBidi" w:eastAsiaTheme="majorEastAsia"/>
      <w:color w:val="595959" w:themeColor="text1" w:themeTint="0000A6"/>
      <w:sz w:val="24"/>
    </w:rPr>
  </w:style>
  <w:style w:type="character" w:styleId="Heading8Char" w:customStyle="1">
    <w:name w:val="Heading 8 Char"/>
    <w:basedOn w:val="DefaultParagraphFont"/>
    <w:link w:val="Heading8"/>
    <w:uiPriority w:val="9"/>
    <w:semiHidden w:val="1"/>
    <w:rsid w:val="00D5733B"/>
    <w:rPr>
      <w:rFonts w:cstheme="majorBidi" w:eastAsiaTheme="majorEastAsia"/>
      <w:i w:val="1"/>
      <w:iCs w:val="1"/>
      <w:color w:val="272727" w:themeColor="text1" w:themeTint="0000D8"/>
      <w:sz w:val="24"/>
    </w:rPr>
  </w:style>
  <w:style w:type="character" w:styleId="Heading9Char" w:customStyle="1">
    <w:name w:val="Heading 9 Char"/>
    <w:basedOn w:val="DefaultParagraphFont"/>
    <w:link w:val="Heading9"/>
    <w:uiPriority w:val="9"/>
    <w:semiHidden w:val="1"/>
    <w:rsid w:val="00D5733B"/>
    <w:rPr>
      <w:rFonts w:cstheme="majorBidi" w:eastAsiaTheme="majorEastAsia"/>
      <w:color w:val="272727" w:themeColor="text1" w:themeTint="0000D8"/>
      <w:sz w:val="24"/>
    </w:rPr>
  </w:style>
  <w:style w:type="character" w:styleId="TitleChar" w:customStyle="1">
    <w:name w:val="Title Char"/>
    <w:basedOn w:val="DefaultParagraphFont"/>
    <w:link w:val="Title"/>
    <w:uiPriority w:val="10"/>
    <w:rsid w:val="00D5733B"/>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D5733B"/>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D5733B"/>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5733B"/>
    <w:rPr>
      <w:rFonts w:ascii="Times New Roman" w:hAnsi="Times New Roman"/>
      <w:i w:val="1"/>
      <w:iCs w:val="1"/>
      <w:color w:val="404040" w:themeColor="text1" w:themeTint="0000BF"/>
      <w:sz w:val="24"/>
    </w:rPr>
  </w:style>
  <w:style w:type="paragraph" w:styleId="ListParagraph">
    <w:name w:val="List Paragraph"/>
    <w:basedOn w:val="Normal"/>
    <w:uiPriority w:val="34"/>
    <w:qFormat w:val="1"/>
    <w:rsid w:val="00D5733B"/>
    <w:pPr>
      <w:ind w:left="720"/>
      <w:contextualSpacing w:val="1"/>
    </w:pPr>
  </w:style>
  <w:style w:type="character" w:styleId="IntenseEmphasis">
    <w:name w:val="Intense Emphasis"/>
    <w:basedOn w:val="DefaultParagraphFont"/>
    <w:uiPriority w:val="21"/>
    <w:qFormat w:val="1"/>
    <w:rsid w:val="00D5733B"/>
    <w:rPr>
      <w:i w:val="1"/>
      <w:iCs w:val="1"/>
      <w:color w:val="2e74b5" w:themeColor="accent1" w:themeShade="0000BF"/>
    </w:rPr>
  </w:style>
  <w:style w:type="paragraph" w:styleId="IntenseQuote">
    <w:name w:val="Intense Quote"/>
    <w:basedOn w:val="Normal"/>
    <w:next w:val="Normal"/>
    <w:link w:val="IntenseQuoteChar"/>
    <w:uiPriority w:val="30"/>
    <w:qFormat w:val="1"/>
    <w:rsid w:val="00D5733B"/>
    <w:pPr>
      <w:pBdr>
        <w:top w:color="2e74b5" w:space="10" w:sz="4" w:themeColor="accent1" w:themeShade="0000BF" w:val="single"/>
        <w:bottom w:color="2e74b5" w:space="10" w:sz="4" w:themeColor="accent1" w:themeShade="0000BF" w:val="single"/>
      </w:pBdr>
      <w:spacing w:after="360" w:before="360"/>
      <w:ind w:left="864" w:right="864"/>
      <w:jc w:val="center"/>
    </w:pPr>
    <w:rPr>
      <w:i w:val="1"/>
      <w:iCs w:val="1"/>
      <w:color w:val="2e74b5" w:themeColor="accent1" w:themeShade="0000BF"/>
    </w:rPr>
  </w:style>
  <w:style w:type="character" w:styleId="IntenseQuoteChar" w:customStyle="1">
    <w:name w:val="Intense Quote Char"/>
    <w:basedOn w:val="DefaultParagraphFont"/>
    <w:link w:val="IntenseQuote"/>
    <w:uiPriority w:val="30"/>
    <w:rsid w:val="00D5733B"/>
    <w:rPr>
      <w:rFonts w:ascii="Times New Roman" w:hAnsi="Times New Roman"/>
      <w:i w:val="1"/>
      <w:iCs w:val="1"/>
      <w:color w:val="2e74b5" w:themeColor="accent1" w:themeShade="0000BF"/>
      <w:sz w:val="24"/>
    </w:rPr>
  </w:style>
  <w:style w:type="character" w:styleId="IntenseReference">
    <w:name w:val="Intense Reference"/>
    <w:basedOn w:val="DefaultParagraphFont"/>
    <w:uiPriority w:val="32"/>
    <w:qFormat w:val="1"/>
    <w:rsid w:val="00D5733B"/>
    <w:rPr>
      <w:b w:val="1"/>
      <w:bCs w:val="1"/>
      <w:smallCaps w:val="1"/>
      <w:color w:val="2e74b5" w:themeColor="accent1" w:themeShade="0000BF"/>
      <w:spacing w:val="5"/>
    </w:rPr>
  </w:style>
  <w:style w:type="paragraph" w:styleId="Header">
    <w:name w:val="header"/>
    <w:basedOn w:val="Normal"/>
    <w:link w:val="HeaderChar"/>
    <w:uiPriority w:val="99"/>
    <w:unhideWhenUsed w:val="1"/>
    <w:rsid w:val="00186893"/>
    <w:pPr>
      <w:tabs>
        <w:tab w:val="center" w:pos="4680"/>
        <w:tab w:val="right" w:pos="9360"/>
      </w:tabs>
      <w:spacing w:after="0" w:line="240" w:lineRule="auto"/>
    </w:pPr>
  </w:style>
  <w:style w:type="character" w:styleId="HeaderChar" w:customStyle="1">
    <w:name w:val="Header Char"/>
    <w:basedOn w:val="DefaultParagraphFont"/>
    <w:link w:val="Header"/>
    <w:uiPriority w:val="99"/>
    <w:rsid w:val="00186893"/>
    <w:rPr>
      <w:rFonts w:ascii="Times New Roman" w:hAnsi="Times New Roman"/>
      <w:color w:val="0d0d0d" w:themeColor="text1" w:themeTint="0000F2"/>
      <w:sz w:val="24"/>
    </w:rPr>
  </w:style>
  <w:style w:type="paragraph" w:styleId="Footer">
    <w:name w:val="footer"/>
    <w:basedOn w:val="Normal"/>
    <w:link w:val="FooterChar"/>
    <w:uiPriority w:val="99"/>
    <w:unhideWhenUsed w:val="1"/>
    <w:rsid w:val="00186893"/>
    <w:pPr>
      <w:tabs>
        <w:tab w:val="center" w:pos="4680"/>
        <w:tab w:val="right" w:pos="9360"/>
      </w:tabs>
      <w:spacing w:after="0" w:line="240" w:lineRule="auto"/>
    </w:pPr>
  </w:style>
  <w:style w:type="character" w:styleId="FooterChar" w:customStyle="1">
    <w:name w:val="Footer Char"/>
    <w:basedOn w:val="DefaultParagraphFont"/>
    <w:link w:val="Footer"/>
    <w:uiPriority w:val="99"/>
    <w:rsid w:val="00186893"/>
    <w:rPr>
      <w:rFonts w:ascii="Times New Roman" w:hAnsi="Times New Roman"/>
      <w:color w:val="0d0d0d" w:themeColor="text1" w:themeTint="0000F2"/>
      <w:sz w:val="24"/>
    </w:rPr>
  </w:style>
  <w:style w:type="paragraph" w:styleId="TOCHeading">
    <w:name w:val="TOC Heading"/>
    <w:basedOn w:val="Heading1"/>
    <w:next w:val="Normal"/>
    <w:uiPriority w:val="39"/>
    <w:unhideWhenUsed w:val="1"/>
    <w:qFormat w:val="1"/>
    <w:rsid w:val="005F4897"/>
    <w:pPr>
      <w:spacing w:line="259" w:lineRule="auto"/>
      <w:outlineLvl w:val="9"/>
    </w:pPr>
    <w:rPr>
      <w:rFonts w:asciiTheme="majorHAnsi" w:hAnsiTheme="majorHAnsi"/>
      <w:b w:val="0"/>
      <w:color w:val="2e74b5" w:themeColor="accent1" w:themeShade="0000BF"/>
      <w:kern w:val="0"/>
      <w:sz w:val="32"/>
    </w:rPr>
  </w:style>
  <w:style w:type="paragraph" w:styleId="TOC1">
    <w:name w:val="toc 1"/>
    <w:basedOn w:val="Normal"/>
    <w:next w:val="Normal"/>
    <w:autoRedefine w:val="1"/>
    <w:uiPriority w:val="39"/>
    <w:unhideWhenUsed w:val="1"/>
    <w:rsid w:val="005F4897"/>
    <w:pPr>
      <w:spacing w:after="100"/>
    </w:pPr>
  </w:style>
  <w:style w:type="character" w:styleId="Hyperlink">
    <w:name w:val="Hyperlink"/>
    <w:basedOn w:val="DefaultParagraphFont"/>
    <w:uiPriority w:val="99"/>
    <w:unhideWhenUsed w:val="1"/>
    <w:rsid w:val="005F4897"/>
    <w:rPr>
      <w:color w:val="0563c1" w:themeColor="hyperlink"/>
      <w:u w:val="single"/>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idYNtnxNfoTUFaScWusALAmjig==">CgMxLjAyDmgub3BxbjNmdmpvM3kyMg5oLnZzbGJkYmt4ejZ1bTIOaC5kM2F5bm5temdvdmwyDmguZzRubmk2dXRodXplMg5oLmJzY2M4NHUwMDh6MzgAciExRjkxS1FjRGY3ZDVNb0Q0QTNydThZR2YzV2N4QWtLWkQ=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2025-08-14T12:42:00Z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6952db65-a585-4ecd-b51c-a24a7d9edf91</vt:lpwstr>
  </property>
</Properties>
</file>