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47A0D" w14:textId="77777777" w:rsidR="001302EA" w:rsidRDefault="00000000">
      <w:pPr>
        <w:spacing w:after="160" w:line="259" w:lineRule="auto"/>
        <w:rPr>
          <w:sz w:val="22"/>
          <w:szCs w:val="22"/>
        </w:rPr>
      </w:pPr>
      <w:r>
        <w:rPr>
          <w:rFonts w:ascii="Aptos" w:eastAsia="Aptos" w:hAnsi="Aptos" w:cs="Aptos"/>
          <w:sz w:val="22"/>
          <w:szCs w:val="22"/>
        </w:rPr>
        <w:t>Ian Freer</w:t>
      </w:r>
    </w:p>
    <w:p w14:paraId="494B2BAD" w14:textId="5386AE7E" w:rsidR="001302EA" w:rsidRPr="00EA5DC5" w:rsidRDefault="00000000">
      <w:pPr>
        <w:spacing w:after="160" w:line="259" w:lineRule="auto"/>
        <w:rPr>
          <w:i/>
          <w:iCs/>
          <w:sz w:val="22"/>
          <w:szCs w:val="22"/>
        </w:rPr>
      </w:pPr>
      <w:r w:rsidRPr="00EA5DC5">
        <w:rPr>
          <w:rFonts w:ascii="Aptos" w:eastAsia="Aptos" w:hAnsi="Aptos" w:cs="Aptos"/>
          <w:i/>
          <w:iCs/>
          <w:sz w:val="22"/>
          <w:szCs w:val="22"/>
        </w:rPr>
        <w:t>A multidisciplinary chronology incorporating palaeobotanical, religious, pottery, written, and DNA evidence from the Pentapolis and adjacent cultures can assess the changing religious nature of the Philistines. This approach offers some subtle insights into whether the Philistines were refugees or colonisers</w:t>
      </w:r>
      <w:r w:rsidR="00EA5DC5">
        <w:rPr>
          <w:rFonts w:ascii="Aptos" w:eastAsia="Aptos" w:hAnsi="Aptos" w:cs="Aptos"/>
          <w:i/>
          <w:iCs/>
          <w:sz w:val="22"/>
          <w:szCs w:val="22"/>
        </w:rPr>
        <w:t>;</w:t>
      </w:r>
      <w:r w:rsidR="00EA4E9A" w:rsidRPr="00EA5DC5">
        <w:rPr>
          <w:rFonts w:ascii="Aptos" w:eastAsia="Aptos" w:hAnsi="Aptos" w:cs="Aptos"/>
          <w:i/>
          <w:iCs/>
          <w:sz w:val="22"/>
          <w:szCs w:val="22"/>
        </w:rPr>
        <w:t xml:space="preserve"> and what their ethnicity might have been</w:t>
      </w:r>
      <w:r w:rsidRPr="00EA5DC5">
        <w:rPr>
          <w:rFonts w:ascii="Aptos" w:eastAsia="Aptos" w:hAnsi="Aptos" w:cs="Aptos"/>
          <w:i/>
          <w:iCs/>
          <w:sz w:val="22"/>
          <w:szCs w:val="22"/>
        </w:rPr>
        <w:t>.</w:t>
      </w:r>
    </w:p>
    <w:p w14:paraId="56F23ECD" w14:textId="48CFEA5F" w:rsidR="001302EA" w:rsidRPr="00AA1101" w:rsidRDefault="00000000">
      <w:pPr>
        <w:spacing w:after="160" w:line="259" w:lineRule="auto"/>
        <w:rPr>
          <w:rFonts w:ascii="Aptos" w:hAnsi="Aptos"/>
          <w:sz w:val="22"/>
          <w:szCs w:val="22"/>
        </w:rPr>
      </w:pPr>
      <w:r>
        <w:rPr>
          <w:rFonts w:ascii="Aptos" w:eastAsia="Aptos" w:hAnsi="Aptos" w:cs="Aptos"/>
          <w:sz w:val="22"/>
          <w:szCs w:val="22"/>
        </w:rPr>
        <w:t xml:space="preserve">Current scholarship strongly shows that the Peleset, later called Philistines in Biblical sources, were part of the Sea Peoples who appeared in the eastern Mediterranean during the Bronze Age collapse. One theory suggests they originated in Greek culture and established five cities, known as the Pentapolis, on the coastal plain of southern Canaan. </w:t>
      </w:r>
      <w:r w:rsidRPr="00AA1101">
        <w:rPr>
          <w:rFonts w:ascii="Aptos" w:hAnsi="Aptos"/>
          <w:sz w:val="22"/>
          <w:szCs w:val="22"/>
        </w:rPr>
        <w:t>Dr. Lawrence Stager concluded in an article in Biblical Archaeological Review</w:t>
      </w:r>
      <w:r w:rsidR="00235462">
        <w:rPr>
          <w:rFonts w:ascii="Aptos" w:hAnsi="Aptos"/>
          <w:sz w:val="22"/>
          <w:szCs w:val="22"/>
        </w:rPr>
        <w:t xml:space="preserve"> (2018)</w:t>
      </w:r>
      <w:r w:rsidRPr="00AA1101">
        <w:rPr>
          <w:rFonts w:ascii="Aptos" w:hAnsi="Aptos"/>
          <w:sz w:val="22"/>
          <w:szCs w:val="22"/>
        </w:rPr>
        <w:t xml:space="preserve">, “Throwing caution to the wind, I am willing to state flatly that the Sea Peoples, including the Philistines, were Mycenaean Greeks.” </w:t>
      </w:r>
      <w:r w:rsidRPr="00AA1101">
        <w:rPr>
          <w:rFonts w:ascii="Aptos" w:eastAsia="Aptos" w:hAnsi="Aptos" w:cs="Aptos"/>
          <w:sz w:val="22"/>
          <w:szCs w:val="22"/>
        </w:rPr>
        <w:t>If so, these Greek migrants arrived around 1175 BCE (Ben Zion, 2022) and intermingled with many native Canaanites, resulting in complex identity dynamics.</w:t>
      </w:r>
    </w:p>
    <w:p w14:paraId="266027E6" w14:textId="2EAACFF1" w:rsidR="001302EA" w:rsidRDefault="00EA4E9A">
      <w:pPr>
        <w:spacing w:after="160" w:line="259" w:lineRule="auto"/>
        <w:rPr>
          <w:sz w:val="22"/>
          <w:szCs w:val="22"/>
        </w:rPr>
      </w:pPr>
      <w:r>
        <w:rPr>
          <w:rFonts w:ascii="Aptos" w:eastAsia="Aptos" w:hAnsi="Aptos" w:cs="Aptos"/>
          <w:sz w:val="22"/>
          <w:szCs w:val="22"/>
        </w:rPr>
        <w:t xml:space="preserve">We can see the </w:t>
      </w:r>
      <w:r w:rsidR="00EA5DC5">
        <w:rPr>
          <w:rFonts w:ascii="Aptos" w:eastAsia="Aptos" w:hAnsi="Aptos" w:cs="Aptos"/>
          <w:sz w:val="22"/>
          <w:szCs w:val="22"/>
        </w:rPr>
        <w:t xml:space="preserve">inland </w:t>
      </w:r>
      <w:r>
        <w:rPr>
          <w:rFonts w:ascii="Aptos" w:eastAsia="Aptos" w:hAnsi="Aptos" w:cs="Aptos"/>
          <w:sz w:val="22"/>
          <w:szCs w:val="22"/>
        </w:rPr>
        <w:t>Israelite/Judean perspective from the names: the Hebrew term Plishtim (plural) may derive from Plishtah, invader. They were seen as powerful opponents for some centuries</w:t>
      </w:r>
      <w:r w:rsidR="00EA5DC5">
        <w:rPr>
          <w:rFonts w:ascii="Aptos" w:eastAsia="Aptos" w:hAnsi="Aptos" w:cs="Aptos"/>
          <w:sz w:val="22"/>
          <w:szCs w:val="22"/>
        </w:rPr>
        <w:t>,</w:t>
      </w:r>
      <w:r>
        <w:rPr>
          <w:rFonts w:ascii="Aptos" w:eastAsia="Aptos" w:hAnsi="Aptos" w:cs="Aptos"/>
          <w:sz w:val="22"/>
          <w:szCs w:val="22"/>
        </w:rPr>
        <w:t xml:space="preserve"> in a variety of Biblical texts. The Philistines' ultimate weakness is clear, in their fall under Assyrian rule and destruction by Babylonia. In c.604 BCE (Stager, 1996), Nebuchadnezzar II of the Neo-Babylonian Empire vanquished the Philistines; some of their cities were destroyed.</w:t>
      </w:r>
    </w:p>
    <w:p w14:paraId="51E76BD5" w14:textId="4CDA5AC5" w:rsidR="001302EA" w:rsidRDefault="00000000">
      <w:pPr>
        <w:spacing w:after="160" w:line="259" w:lineRule="auto"/>
        <w:rPr>
          <w:sz w:val="22"/>
          <w:szCs w:val="22"/>
        </w:rPr>
      </w:pPr>
      <w:r>
        <w:rPr>
          <w:rFonts w:ascii="Aptos" w:eastAsia="Aptos" w:hAnsi="Aptos" w:cs="Aptos"/>
          <w:sz w:val="22"/>
          <w:szCs w:val="22"/>
        </w:rPr>
        <w:t xml:space="preserve">Identifying a private individual with a city, rather than a nation, ethnicity, or religion, is a strong characteristic of Greeks in this period. </w:t>
      </w:r>
      <w:r w:rsidR="00EA4E9A">
        <w:rPr>
          <w:rFonts w:ascii="Aptos" w:eastAsia="Aptos" w:hAnsi="Aptos" w:cs="Aptos"/>
          <w:sz w:val="22"/>
          <w:szCs w:val="22"/>
        </w:rPr>
        <w:t xml:space="preserve">This is shown by </w:t>
      </w:r>
      <w:r>
        <w:rPr>
          <w:rFonts w:ascii="Aptos" w:eastAsia="Aptos" w:hAnsi="Aptos" w:cs="Aptos"/>
          <w:sz w:val="22"/>
          <w:szCs w:val="22"/>
        </w:rPr>
        <w:t xml:space="preserve">Herring (2013) </w:t>
      </w:r>
      <w:r w:rsidR="00EA4E9A">
        <w:rPr>
          <w:rFonts w:ascii="Aptos" w:eastAsia="Aptos" w:hAnsi="Aptos" w:cs="Aptos"/>
          <w:sz w:val="22"/>
          <w:szCs w:val="22"/>
        </w:rPr>
        <w:t xml:space="preserve">who </w:t>
      </w:r>
      <w:r>
        <w:rPr>
          <w:rFonts w:ascii="Aptos" w:eastAsia="Aptos" w:hAnsi="Aptos" w:cs="Aptos"/>
          <w:sz w:val="22"/>
          <w:szCs w:val="22"/>
        </w:rPr>
        <w:t xml:space="preserve">at p.128 states that “the group identity that was of utmost importance in the minds of the Classical Greeks was the sense of belonging to a particular </w:t>
      </w:r>
      <w:r>
        <w:rPr>
          <w:rFonts w:ascii="Aptos" w:eastAsia="Aptos" w:hAnsi="Aptos" w:cs="Aptos"/>
          <w:i/>
          <w:iCs/>
          <w:sz w:val="22"/>
          <w:szCs w:val="22"/>
        </w:rPr>
        <w:t>polis</w:t>
      </w:r>
      <w:r>
        <w:rPr>
          <w:rFonts w:ascii="Aptos" w:eastAsia="Aptos" w:hAnsi="Aptos" w:cs="Aptos"/>
          <w:sz w:val="22"/>
          <w:szCs w:val="22"/>
        </w:rPr>
        <w:t xml:space="preserve">” and “many early colonies, in fact, seem to have been very mixed enterprises, not only involving settlers from numerous Greek places but also </w:t>
      </w:r>
      <w:r>
        <w:rPr>
          <w:rFonts w:ascii="Aptos" w:eastAsia="Aptos" w:hAnsi="Aptos" w:cs="Aptos"/>
          <w:i/>
          <w:iCs/>
          <w:sz w:val="22"/>
          <w:szCs w:val="22"/>
        </w:rPr>
        <w:t>local peoples and settlers from other Mediterranean cultures</w:t>
      </w:r>
      <w:r>
        <w:rPr>
          <w:rFonts w:ascii="Aptos" w:eastAsia="Aptos" w:hAnsi="Aptos" w:cs="Aptos"/>
          <w:sz w:val="22"/>
          <w:szCs w:val="22"/>
        </w:rPr>
        <w:t xml:space="preserve"> [my emphasis added]”. </w:t>
      </w:r>
    </w:p>
    <w:p w14:paraId="3620BCF2" w14:textId="0DE1FCC1" w:rsidR="001302EA" w:rsidRDefault="00000000">
      <w:pPr>
        <w:spacing w:after="160" w:line="259" w:lineRule="auto"/>
        <w:rPr>
          <w:sz w:val="22"/>
          <w:szCs w:val="22"/>
        </w:rPr>
      </w:pPr>
      <w:r>
        <w:rPr>
          <w:rFonts w:ascii="Aptos" w:eastAsia="Aptos" w:hAnsi="Aptos" w:cs="Aptos"/>
          <w:sz w:val="22"/>
          <w:szCs w:val="22"/>
        </w:rPr>
        <w:t>The confederation of the Pentapolis has</w:t>
      </w:r>
      <w:r w:rsidR="00EA5DC5">
        <w:rPr>
          <w:rFonts w:ascii="Aptos" w:eastAsia="Aptos" w:hAnsi="Aptos" w:cs="Aptos"/>
          <w:sz w:val="22"/>
          <w:szCs w:val="22"/>
        </w:rPr>
        <w:t xml:space="preserve"> city</w:t>
      </w:r>
      <w:r>
        <w:rPr>
          <w:rFonts w:ascii="Aptos" w:eastAsia="Aptos" w:hAnsi="Aptos" w:cs="Aptos"/>
          <w:sz w:val="22"/>
          <w:szCs w:val="22"/>
        </w:rPr>
        <w:t xml:space="preserve"> names to review. However, Shai (2009) notes at least four cities had Semitic names, and Gaza's origin is unknown. The Philistines may have moved into small pre-existing Canaanite settlements and expanded them into cities</w:t>
      </w:r>
      <w:r w:rsidR="00EA4E9A">
        <w:rPr>
          <w:rFonts w:ascii="Aptos" w:eastAsia="Aptos" w:hAnsi="Aptos" w:cs="Aptos"/>
          <w:sz w:val="22"/>
          <w:szCs w:val="22"/>
        </w:rPr>
        <w:t>; I argue this is likely from the ethnic balance, shown by DNA research cited later</w:t>
      </w:r>
      <w:r>
        <w:rPr>
          <w:rFonts w:ascii="Aptos" w:eastAsia="Aptos" w:hAnsi="Aptos" w:cs="Aptos"/>
          <w:sz w:val="22"/>
          <w:szCs w:val="22"/>
        </w:rPr>
        <w:t>. The Peleset name was constructed in the Linear B style identified by Michael Ventris in Chadwick (1956) as Mycenaean Greek, with syllables set as “consonant plus vowel”.</w:t>
      </w:r>
    </w:p>
    <w:p w14:paraId="20FD5F57" w14:textId="77777777" w:rsidR="001302EA" w:rsidRDefault="00000000">
      <w:pPr>
        <w:spacing w:after="160" w:line="259" w:lineRule="auto"/>
        <w:rPr>
          <w:sz w:val="22"/>
          <w:szCs w:val="22"/>
        </w:rPr>
      </w:pPr>
      <w:r>
        <w:rPr>
          <w:rFonts w:ascii="Aptos" w:eastAsia="Aptos" w:hAnsi="Aptos" w:cs="Aptos"/>
          <w:sz w:val="22"/>
          <w:szCs w:val="22"/>
        </w:rPr>
        <w:t>Bichrome pottery ware, previously known from Greece and Cyprus, was also produced in Philistia and made there with local clays. As this may indicate either settlement by the earliest producers or the transfer of ceramic skills, it is not a decisive point.</w:t>
      </w:r>
    </w:p>
    <w:p w14:paraId="333F54C3" w14:textId="77777777" w:rsidR="001302EA" w:rsidRDefault="00000000">
      <w:pPr>
        <w:spacing w:after="160" w:line="259" w:lineRule="auto"/>
        <w:rPr>
          <w:sz w:val="22"/>
          <w:szCs w:val="22"/>
        </w:rPr>
      </w:pPr>
      <w:r>
        <w:rPr>
          <w:rFonts w:ascii="Aptos" w:eastAsia="Aptos" w:hAnsi="Aptos" w:cs="Aptos"/>
          <w:sz w:val="22"/>
          <w:szCs w:val="22"/>
        </w:rPr>
        <w:t>The debate regarding the earliest language of the Philistines has not advanced as rapidly as other areas of research. Given the high levels of intermarriage and shared settlements, the settlers may have been bilingual from the outset or soon thereafter. Again, this does not seem determinative.</w:t>
      </w:r>
    </w:p>
    <w:p w14:paraId="1FA3939C" w14:textId="3207485B" w:rsidR="001302EA" w:rsidRDefault="00000000">
      <w:pPr>
        <w:spacing w:after="160" w:line="259" w:lineRule="auto"/>
        <w:rPr>
          <w:sz w:val="22"/>
          <w:szCs w:val="22"/>
        </w:rPr>
      </w:pPr>
      <w:r>
        <w:rPr>
          <w:rFonts w:ascii="Aptos" w:eastAsia="Aptos" w:hAnsi="Aptos" w:cs="Aptos"/>
          <w:sz w:val="22"/>
          <w:szCs w:val="22"/>
        </w:rPr>
        <w:t xml:space="preserve">Art from Medinet Habu in Egypt, specifically the mortuary temple of Rameses III (1186-1155 BCE), provides visual evidence of the Peleset's appearance. To oppose the prevailing view of Greek/Anatolian, etc. Sea Peoples origins, alternative evidence of a non-Greek appearance would be required. </w:t>
      </w:r>
      <w:r w:rsidR="00EA4E9A">
        <w:rPr>
          <w:rFonts w:ascii="Aptos" w:eastAsia="Aptos" w:hAnsi="Aptos" w:cs="Aptos"/>
          <w:sz w:val="22"/>
          <w:szCs w:val="22"/>
        </w:rPr>
        <w:t>On this question, s</w:t>
      </w:r>
      <w:r>
        <w:rPr>
          <w:rFonts w:ascii="Aptos" w:eastAsia="Aptos" w:hAnsi="Aptos" w:cs="Aptos"/>
          <w:sz w:val="22"/>
          <w:szCs w:val="22"/>
        </w:rPr>
        <w:t>ee most recently</w:t>
      </w:r>
      <w:r w:rsidR="00EA4E9A">
        <w:rPr>
          <w:rFonts w:ascii="Aptos" w:eastAsia="Aptos" w:hAnsi="Aptos" w:cs="Aptos"/>
          <w:sz w:val="22"/>
          <w:szCs w:val="22"/>
        </w:rPr>
        <w:t>:</w:t>
      </w:r>
      <w:r>
        <w:rPr>
          <w:rFonts w:ascii="Aptos" w:eastAsia="Aptos" w:hAnsi="Aptos" w:cs="Aptos"/>
          <w:sz w:val="22"/>
          <w:szCs w:val="22"/>
        </w:rPr>
        <w:t xml:space="preserve"> Ben-Dor Evian (2016) and Redford (2017).</w:t>
      </w:r>
    </w:p>
    <w:p w14:paraId="6162882F" w14:textId="1D7A622B" w:rsidR="001302EA" w:rsidRDefault="00000000">
      <w:pPr>
        <w:spacing w:after="160" w:line="259" w:lineRule="auto"/>
        <w:rPr>
          <w:sz w:val="22"/>
          <w:szCs w:val="22"/>
        </w:rPr>
      </w:pPr>
      <w:r>
        <w:rPr>
          <w:rFonts w:ascii="Aptos" w:eastAsia="Aptos" w:hAnsi="Aptos" w:cs="Aptos"/>
          <w:sz w:val="22"/>
          <w:szCs w:val="22"/>
        </w:rPr>
        <w:lastRenderedPageBreak/>
        <w:t xml:space="preserve">Given the historical precedent of </w:t>
      </w:r>
      <w:r w:rsidR="00EA4E9A">
        <w:rPr>
          <w:rFonts w:ascii="Aptos" w:eastAsia="Aptos" w:hAnsi="Aptos" w:cs="Aptos"/>
          <w:sz w:val="22"/>
          <w:szCs w:val="22"/>
        </w:rPr>
        <w:t xml:space="preserve">massive </w:t>
      </w:r>
      <w:r>
        <w:rPr>
          <w:rFonts w:ascii="Aptos" w:eastAsia="Aptos" w:hAnsi="Aptos" w:cs="Aptos"/>
          <w:sz w:val="22"/>
          <w:szCs w:val="22"/>
        </w:rPr>
        <w:t xml:space="preserve">Greek maritime </w:t>
      </w:r>
      <w:r w:rsidR="00EA5DC5">
        <w:rPr>
          <w:rFonts w:ascii="Aptos" w:eastAsia="Aptos" w:hAnsi="Aptos" w:cs="Aptos"/>
          <w:sz w:val="22"/>
          <w:szCs w:val="22"/>
        </w:rPr>
        <w:t>colonization by mother cities</w:t>
      </w:r>
      <w:r>
        <w:rPr>
          <w:rFonts w:ascii="Aptos" w:eastAsia="Aptos" w:hAnsi="Aptos" w:cs="Aptos"/>
          <w:sz w:val="22"/>
          <w:szCs w:val="22"/>
        </w:rPr>
        <w:t>,</w:t>
      </w:r>
      <w:r w:rsidR="00EA5DC5">
        <w:rPr>
          <w:rFonts w:ascii="Aptos" w:eastAsia="Aptos" w:hAnsi="Aptos" w:cs="Aptos"/>
          <w:sz w:val="22"/>
          <w:szCs w:val="22"/>
        </w:rPr>
        <w:t xml:space="preserve"> mainly done a few centuries later,</w:t>
      </w:r>
      <w:r>
        <w:rPr>
          <w:rFonts w:ascii="Aptos" w:eastAsia="Aptos" w:hAnsi="Aptos" w:cs="Aptos"/>
          <w:sz w:val="22"/>
          <w:szCs w:val="22"/>
        </w:rPr>
        <w:t xml:space="preserve"> scholars often interpret the Peleset as Greek colonisers. In southern Italy and Sicily, </w:t>
      </w:r>
      <w:r w:rsidR="00EA5DC5">
        <w:rPr>
          <w:rFonts w:ascii="Aptos" w:eastAsia="Aptos" w:hAnsi="Aptos" w:cs="Aptos"/>
          <w:sz w:val="22"/>
          <w:szCs w:val="22"/>
        </w:rPr>
        <w:t xml:space="preserve">it was so successful that </w:t>
      </w:r>
      <w:r>
        <w:rPr>
          <w:rFonts w:ascii="Aptos" w:eastAsia="Aptos" w:hAnsi="Aptos" w:cs="Aptos"/>
          <w:sz w:val="22"/>
          <w:szCs w:val="22"/>
        </w:rPr>
        <w:t>Greek identity remained robust for nearly two millennia</w:t>
      </w:r>
      <w:r w:rsidR="00EA4E9A">
        <w:rPr>
          <w:rFonts w:ascii="Aptos" w:eastAsia="Aptos" w:hAnsi="Aptos" w:cs="Aptos"/>
          <w:sz w:val="22"/>
          <w:szCs w:val="22"/>
        </w:rPr>
        <w:t xml:space="preserve"> until Latin (and from that, Italian) became normative</w:t>
      </w:r>
      <w:r>
        <w:rPr>
          <w:rFonts w:ascii="Aptos" w:eastAsia="Aptos" w:hAnsi="Aptos" w:cs="Aptos"/>
          <w:sz w:val="22"/>
          <w:szCs w:val="22"/>
        </w:rPr>
        <w:t>. In contrast, assimilation in Canaan occurred much more rapidly. Comparative research indicates ethnic separation in Philistia lasted no more than two centuries (Faust and Levtov, 2011).</w:t>
      </w:r>
    </w:p>
    <w:p w14:paraId="1C0F5BFA" w14:textId="2496C9A6" w:rsidR="001302EA" w:rsidRDefault="00000000">
      <w:pPr>
        <w:spacing w:after="160" w:line="259" w:lineRule="auto"/>
        <w:rPr>
          <w:sz w:val="22"/>
          <w:szCs w:val="22"/>
        </w:rPr>
      </w:pPr>
      <w:r>
        <w:rPr>
          <w:rFonts w:ascii="Aptos" w:eastAsia="Aptos" w:hAnsi="Aptos" w:cs="Aptos"/>
          <w:sz w:val="22"/>
          <w:szCs w:val="22"/>
        </w:rPr>
        <w:t xml:space="preserve">Prior trade with the region would have informed newcomers that competing empires frequently contested it. Consequently, the area was neither an ideal refuge nor a prime target for </w:t>
      </w:r>
      <w:r w:rsidR="00EA4E9A">
        <w:rPr>
          <w:rFonts w:ascii="Aptos" w:eastAsia="Aptos" w:hAnsi="Aptos" w:cs="Aptos"/>
          <w:sz w:val="22"/>
          <w:szCs w:val="22"/>
        </w:rPr>
        <w:t>colonization, but there were only very limited options due to the resource collapse of the period</w:t>
      </w:r>
      <w:r>
        <w:rPr>
          <w:rFonts w:ascii="Aptos" w:eastAsia="Aptos" w:hAnsi="Aptos" w:cs="Aptos"/>
          <w:sz w:val="22"/>
          <w:szCs w:val="22"/>
        </w:rPr>
        <w:t xml:space="preserve">. </w:t>
      </w:r>
    </w:p>
    <w:p w14:paraId="2C72743D" w14:textId="77777777" w:rsidR="00773E53" w:rsidRDefault="00773E53">
      <w:pPr>
        <w:spacing w:after="160" w:line="259" w:lineRule="auto"/>
        <w:rPr>
          <w:rFonts w:ascii="Aptos" w:eastAsia="Aptos" w:hAnsi="Aptos" w:cs="Aptos"/>
          <w:i/>
          <w:iCs/>
          <w:sz w:val="22"/>
          <w:szCs w:val="22"/>
        </w:rPr>
      </w:pPr>
      <w:r>
        <w:rPr>
          <w:rFonts w:ascii="Aptos" w:eastAsia="Aptos" w:hAnsi="Aptos" w:cs="Aptos"/>
          <w:i/>
          <w:iCs/>
          <w:sz w:val="22"/>
          <w:szCs w:val="22"/>
        </w:rPr>
        <w:t>Religious approaches</w:t>
      </w:r>
    </w:p>
    <w:p w14:paraId="144844B0" w14:textId="23EF1C41" w:rsidR="001302EA" w:rsidRDefault="00000000">
      <w:pPr>
        <w:spacing w:after="160" w:line="259" w:lineRule="auto"/>
        <w:rPr>
          <w:rFonts w:ascii="Aptos" w:eastAsia="Aptos" w:hAnsi="Aptos" w:cs="Aptos"/>
          <w:sz w:val="22"/>
          <w:szCs w:val="22"/>
        </w:rPr>
      </w:pPr>
      <w:r>
        <w:rPr>
          <w:rFonts w:ascii="Aptos" w:eastAsia="Aptos" w:hAnsi="Aptos" w:cs="Aptos"/>
          <w:sz w:val="22"/>
          <w:szCs w:val="22"/>
        </w:rPr>
        <w:t xml:space="preserve">Archaeological evidence </w:t>
      </w:r>
      <w:r w:rsidR="00773E53">
        <w:rPr>
          <w:rFonts w:ascii="Aptos" w:eastAsia="Aptos" w:hAnsi="Aptos" w:cs="Aptos"/>
          <w:sz w:val="22"/>
          <w:szCs w:val="22"/>
        </w:rPr>
        <w:t xml:space="preserve">from </w:t>
      </w:r>
      <w:r w:rsidR="00EA5DC5">
        <w:rPr>
          <w:rFonts w:ascii="Aptos" w:eastAsia="Aptos" w:hAnsi="Aptos" w:cs="Aptos"/>
          <w:sz w:val="22"/>
          <w:szCs w:val="22"/>
        </w:rPr>
        <w:t xml:space="preserve">the major city </w:t>
      </w:r>
      <w:r w:rsidR="00773E53">
        <w:rPr>
          <w:rFonts w:ascii="Aptos" w:eastAsia="Aptos" w:hAnsi="Aptos" w:cs="Aptos"/>
          <w:sz w:val="22"/>
          <w:szCs w:val="22"/>
        </w:rPr>
        <w:t xml:space="preserve">Gath (see below) now </w:t>
      </w:r>
      <w:r>
        <w:rPr>
          <w:rFonts w:ascii="Aptos" w:eastAsia="Aptos" w:hAnsi="Aptos" w:cs="Aptos"/>
          <w:sz w:val="22"/>
          <w:szCs w:val="22"/>
        </w:rPr>
        <w:t xml:space="preserve">shows that the Peleset in Canaan at first worshipped various Greek goddesses and one god. Later evidence, including Biblical sources, reveals the worship of local Canaanite deities such as Dagon. Dating relevant Biblical texts, such as Joshua, Chronicles, and Samuel, is important to appraising these sources. Modern scholarship dates their composition to between 630 and 540 BCE (see Knight 1995, Mays and others 1995, Jones 2001, and Barton and Muddiman 2007), well after the initial period of Philistine settlement, and </w:t>
      </w:r>
      <w:r w:rsidR="00EA5DC5">
        <w:rPr>
          <w:rFonts w:ascii="Aptos" w:eastAsia="Aptos" w:hAnsi="Aptos" w:cs="Aptos"/>
          <w:sz w:val="22"/>
          <w:szCs w:val="22"/>
        </w:rPr>
        <w:t xml:space="preserve">so the texts as we have them </w:t>
      </w:r>
      <w:r>
        <w:rPr>
          <w:rFonts w:ascii="Aptos" w:eastAsia="Aptos" w:hAnsi="Aptos" w:cs="Aptos"/>
          <w:sz w:val="22"/>
          <w:szCs w:val="22"/>
        </w:rPr>
        <w:t>may not reflect the earliest phases of occupation.</w:t>
      </w:r>
    </w:p>
    <w:p w14:paraId="5A284744" w14:textId="11610A27" w:rsidR="00773E53" w:rsidRDefault="00773E53" w:rsidP="00773E53">
      <w:pPr>
        <w:spacing w:after="160" w:line="259" w:lineRule="auto"/>
        <w:rPr>
          <w:sz w:val="22"/>
          <w:szCs w:val="22"/>
        </w:rPr>
      </w:pPr>
      <w:r>
        <w:rPr>
          <w:rFonts w:ascii="Aptos" w:eastAsia="Aptos" w:hAnsi="Aptos" w:cs="Aptos"/>
          <w:sz w:val="22"/>
          <w:szCs w:val="22"/>
        </w:rPr>
        <w:t xml:space="preserve">Early research was hampered by misattributions based on Biblical references to the god Dagon or Dagan, so he was probably not a fish-god (Roskoski, 2008). The Philistines viewed Dagan as their chief </w:t>
      </w:r>
      <w:r w:rsidR="00414118">
        <w:rPr>
          <w:rFonts w:ascii="Aptos" w:eastAsia="Aptos" w:hAnsi="Aptos" w:cs="Aptos"/>
          <w:sz w:val="22"/>
          <w:szCs w:val="22"/>
        </w:rPr>
        <w:t>god but</w:t>
      </w:r>
      <w:r w:rsidR="00EA4E9A">
        <w:rPr>
          <w:rFonts w:ascii="Aptos" w:eastAsia="Aptos" w:hAnsi="Aptos" w:cs="Aptos"/>
          <w:sz w:val="22"/>
          <w:szCs w:val="22"/>
        </w:rPr>
        <w:t xml:space="preserve"> </w:t>
      </w:r>
      <w:r>
        <w:rPr>
          <w:rFonts w:ascii="Aptos" w:eastAsia="Aptos" w:hAnsi="Aptos" w:cs="Aptos"/>
          <w:sz w:val="22"/>
          <w:szCs w:val="22"/>
        </w:rPr>
        <w:t>likely associated with grain rather than fish (Ben-Shlomo, 2019).  The Bible references Dagon three times as the head god of the Philistines. In c.604 BCE (Stager, 1996), the Babylonian armies destroyed Ashkelon and Ekron, leaving Gaza, Ashdod, and Gath intact. Sources often name him as the father of the widely worshipped Baal but provide no further details. No Greek god bore a name like Dagan. This firmly places Dagan within Canaanite religion.</w:t>
      </w:r>
    </w:p>
    <w:p w14:paraId="337FD6A0" w14:textId="77777777" w:rsidR="001302EA" w:rsidRDefault="00000000">
      <w:pPr>
        <w:spacing w:after="160" w:line="259" w:lineRule="auto"/>
        <w:rPr>
          <w:sz w:val="22"/>
          <w:szCs w:val="22"/>
        </w:rPr>
      </w:pPr>
      <w:r>
        <w:rPr>
          <w:rFonts w:ascii="Aptos" w:eastAsia="Aptos" w:hAnsi="Aptos" w:cs="Aptos"/>
          <w:i/>
          <w:iCs/>
          <w:sz w:val="22"/>
          <w:szCs w:val="22"/>
        </w:rPr>
        <w:t>Gath ritual plant evidence</w:t>
      </w:r>
    </w:p>
    <w:p w14:paraId="4A5984ED" w14:textId="5CD6358A" w:rsidR="001302EA" w:rsidRDefault="00000000">
      <w:pPr>
        <w:spacing w:after="160" w:line="259" w:lineRule="auto"/>
        <w:rPr>
          <w:sz w:val="22"/>
          <w:szCs w:val="22"/>
        </w:rPr>
      </w:pPr>
      <w:r>
        <w:rPr>
          <w:rFonts w:ascii="Aptos" w:eastAsia="Aptos" w:hAnsi="Aptos" w:cs="Aptos"/>
          <w:sz w:val="22"/>
          <w:szCs w:val="22"/>
        </w:rPr>
        <w:t>Bar-Ilan University’s Suembikya Frumin and others, in numerous journal articles (</w:t>
      </w:r>
      <w:r w:rsidR="00AA1101">
        <w:rPr>
          <w:rFonts w:ascii="Aptos" w:eastAsia="Aptos" w:hAnsi="Aptos" w:cs="Aptos"/>
          <w:sz w:val="22"/>
          <w:szCs w:val="22"/>
        </w:rPr>
        <w:t xml:space="preserve">esp. in </w:t>
      </w:r>
      <w:r>
        <w:rPr>
          <w:rFonts w:ascii="Aptos" w:eastAsia="Aptos" w:hAnsi="Aptos" w:cs="Aptos"/>
          <w:sz w:val="22"/>
          <w:szCs w:val="22"/>
        </w:rPr>
        <w:t xml:space="preserve">2024, etc.), produced palaeobotanical evidence from excavations at two successive Philistine temples in the lower city of Gath (Tell-es-Safi). This was the largest Philistine settlement of the Pentapolis (Frumin). Researchers have found traces of wild, useful plants (Frumin, 2024), such as bay tree, coriander, and henbane, </w:t>
      </w:r>
      <w:r w:rsidR="00414118">
        <w:rPr>
          <w:rFonts w:ascii="Aptos" w:eastAsia="Aptos" w:hAnsi="Aptos" w:cs="Aptos"/>
          <w:sz w:val="22"/>
          <w:szCs w:val="22"/>
        </w:rPr>
        <w:t>which</w:t>
      </w:r>
      <w:r>
        <w:rPr>
          <w:rFonts w:ascii="Aptos" w:eastAsia="Aptos" w:hAnsi="Aptos" w:cs="Aptos"/>
          <w:sz w:val="22"/>
          <w:szCs w:val="22"/>
        </w:rPr>
        <w:t xml:space="preserve"> are unknown in Israeli archaeobotanical data for the earlier Bronze Age (Frumin 2015). These were likely introduced from further north.</w:t>
      </w:r>
    </w:p>
    <w:p w14:paraId="674D58E7" w14:textId="1571212C" w:rsidR="001302EA" w:rsidRDefault="00000000">
      <w:pPr>
        <w:spacing w:after="160" w:line="259" w:lineRule="auto"/>
        <w:rPr>
          <w:sz w:val="22"/>
          <w:szCs w:val="22"/>
        </w:rPr>
      </w:pPr>
      <w:r>
        <w:rPr>
          <w:rFonts w:ascii="Aptos" w:eastAsia="Aptos" w:hAnsi="Aptos" w:cs="Aptos"/>
          <w:sz w:val="22"/>
          <w:szCs w:val="22"/>
        </w:rPr>
        <w:t xml:space="preserve">The temples were mostly dedicated to Greek goddesses, and numerous loom weights have been found there. Frumin links the loom weights to the </w:t>
      </w:r>
      <w:r w:rsidR="00EA5DC5">
        <w:rPr>
          <w:rFonts w:ascii="Aptos" w:eastAsia="Aptos" w:hAnsi="Aptos" w:cs="Aptos"/>
          <w:sz w:val="22"/>
          <w:szCs w:val="22"/>
        </w:rPr>
        <w:t xml:space="preserve">chief </w:t>
      </w:r>
      <w:r>
        <w:rPr>
          <w:rFonts w:ascii="Aptos" w:eastAsia="Aptos" w:hAnsi="Aptos" w:cs="Aptos"/>
          <w:sz w:val="22"/>
          <w:szCs w:val="22"/>
        </w:rPr>
        <w:t xml:space="preserve">local Canaanite goddess Asherah (II Kings 23:7), suggesting many women were active as worshippers and workers in the temple complex. My argument is that women priestesses likely held leadership roles there. This argument derives from necessary exclusion and weaving evidence. Some goddess cults and rites were forbidden to male worshippers. Many goddess cults likely existed in Gath. Burkert (1995, p. 98) notes that priestesses commonly officiated for goddesses, while priests officiated for gods. In contrast, the Bible </w:t>
      </w:r>
      <w:r w:rsidR="00EA5DC5">
        <w:rPr>
          <w:rFonts w:ascii="Aptos" w:eastAsia="Aptos" w:hAnsi="Aptos" w:cs="Aptos"/>
          <w:sz w:val="22"/>
          <w:szCs w:val="22"/>
        </w:rPr>
        <w:t xml:space="preserve">with its focus on Yahweh and El </w:t>
      </w:r>
      <w:r>
        <w:rPr>
          <w:rFonts w:ascii="Aptos" w:eastAsia="Aptos" w:hAnsi="Aptos" w:cs="Aptos"/>
          <w:sz w:val="22"/>
          <w:szCs w:val="22"/>
        </w:rPr>
        <w:t>contains no Israelite priestesses</w:t>
      </w:r>
      <w:r w:rsidR="00EA5DC5">
        <w:rPr>
          <w:rFonts w:ascii="Aptos" w:eastAsia="Aptos" w:hAnsi="Aptos" w:cs="Aptos"/>
          <w:sz w:val="22"/>
          <w:szCs w:val="22"/>
        </w:rPr>
        <w:t>, except for pagan religions</w:t>
      </w:r>
      <w:r>
        <w:rPr>
          <w:rFonts w:ascii="Aptos" w:eastAsia="Aptos" w:hAnsi="Aptos" w:cs="Aptos"/>
          <w:sz w:val="22"/>
          <w:szCs w:val="22"/>
        </w:rPr>
        <w:t>.</w:t>
      </w:r>
    </w:p>
    <w:p w14:paraId="1D5889D6" w14:textId="3E397F47" w:rsidR="001302EA" w:rsidRDefault="00000000">
      <w:pPr>
        <w:spacing w:after="160" w:line="259" w:lineRule="auto"/>
        <w:rPr>
          <w:sz w:val="22"/>
          <w:szCs w:val="22"/>
        </w:rPr>
      </w:pPr>
      <w:r>
        <w:rPr>
          <w:rFonts w:ascii="Aptos" w:eastAsia="Aptos" w:hAnsi="Aptos" w:cs="Aptos"/>
          <w:sz w:val="22"/>
          <w:szCs w:val="22"/>
        </w:rPr>
        <w:lastRenderedPageBreak/>
        <w:t>Frumin (2024) stresses the importance of about 100 chaste tree (Vitex Agnus-castus) fruits found among votive offerings in the D3 temple, indicating Greek cultic practices. The symbolic use of the chaste tree is otherwise limited to ancient Greece. The Thesmophoria, a three-day festival with secret rites honouring Demeter and Persephone, was celebrated exclusively by adult women and included pig sacrifice. The chaste tree was also symbolically associated with Artemis and Asclepios in Sparta, and Hera on Samos</w:t>
      </w:r>
      <w:r w:rsidR="00EA4E9A">
        <w:rPr>
          <w:rStyle w:val="FootnoteReference"/>
          <w:rFonts w:ascii="Aptos" w:eastAsia="Aptos" w:hAnsi="Aptos" w:cs="Aptos"/>
          <w:sz w:val="22"/>
          <w:szCs w:val="22"/>
        </w:rPr>
        <w:footnoteReference w:id="1"/>
      </w:r>
      <w:r>
        <w:rPr>
          <w:rFonts w:ascii="Aptos" w:eastAsia="Aptos" w:hAnsi="Aptos" w:cs="Aptos"/>
          <w:sz w:val="22"/>
          <w:szCs w:val="22"/>
        </w:rPr>
        <w:t>. According to Frumin, a votive assemblage of the fruit is known only from the Heraion in Samos and the Gath temple.</w:t>
      </w:r>
    </w:p>
    <w:p w14:paraId="68AC8A24" w14:textId="77777777" w:rsidR="001302EA" w:rsidRDefault="00000000" w:rsidP="0017556F">
      <w:pPr>
        <w:spacing w:line="259" w:lineRule="auto"/>
        <w:rPr>
          <w:rFonts w:ascii="Aptos" w:eastAsia="Aptos" w:hAnsi="Aptos" w:cs="Aptos"/>
          <w:sz w:val="22"/>
          <w:szCs w:val="22"/>
        </w:rPr>
      </w:pPr>
      <w:r>
        <w:rPr>
          <w:rFonts w:ascii="Aptos" w:eastAsia="Aptos" w:hAnsi="Aptos" w:cs="Aptos"/>
          <w:sz w:val="22"/>
          <w:szCs w:val="22"/>
        </w:rPr>
        <w:t>Frumin’s tabular analysis in Table 3 (2024) shows when it appears in the seed count (always less than 1%) in the Bronze and Iron Ages of the southern Levant. For Gath, she dates it to 1310-1250 BCE in a large public building. One earlier find is noted in Gath in the 25</w:t>
      </w:r>
      <w:r>
        <w:rPr>
          <w:rFonts w:ascii="Aptos" w:eastAsia="Aptos" w:hAnsi="Aptos" w:cs="Aptos"/>
          <w:sz w:val="26"/>
          <w:szCs w:val="26"/>
          <w:vertAlign w:val="superscript"/>
        </w:rPr>
        <w:t>th</w:t>
      </w:r>
      <w:r>
        <w:rPr>
          <w:rFonts w:ascii="Aptos" w:eastAsia="Aptos" w:hAnsi="Aptos" w:cs="Aptos"/>
          <w:sz w:val="22"/>
          <w:szCs w:val="22"/>
        </w:rPr>
        <w:t xml:space="preserve"> century BCE but in a different context. Three finds are noted in Aphek in the 13</w:t>
      </w:r>
      <w:r>
        <w:rPr>
          <w:rFonts w:ascii="Aptos" w:eastAsia="Aptos" w:hAnsi="Aptos" w:cs="Aptos"/>
          <w:sz w:val="26"/>
          <w:szCs w:val="26"/>
          <w:vertAlign w:val="superscript"/>
        </w:rPr>
        <w:t>th</w:t>
      </w:r>
      <w:r>
        <w:rPr>
          <w:rFonts w:ascii="Aptos" w:eastAsia="Aptos" w:hAnsi="Aptos" w:cs="Aptos"/>
          <w:sz w:val="22"/>
          <w:szCs w:val="22"/>
        </w:rPr>
        <w:t>, 11</w:t>
      </w:r>
      <w:r>
        <w:rPr>
          <w:rFonts w:ascii="Aptos" w:eastAsia="Aptos" w:hAnsi="Aptos" w:cs="Aptos"/>
          <w:sz w:val="26"/>
          <w:szCs w:val="26"/>
          <w:vertAlign w:val="superscript"/>
        </w:rPr>
        <w:t>th,</w:t>
      </w:r>
      <w:r>
        <w:rPr>
          <w:rFonts w:ascii="Aptos" w:eastAsia="Aptos" w:hAnsi="Aptos" w:cs="Aptos"/>
          <w:sz w:val="22"/>
          <w:szCs w:val="22"/>
        </w:rPr>
        <w:t xml:space="preserve"> and 10</w:t>
      </w:r>
      <w:r>
        <w:rPr>
          <w:rFonts w:ascii="Aptos" w:eastAsia="Aptos" w:hAnsi="Aptos" w:cs="Aptos"/>
          <w:sz w:val="26"/>
          <w:szCs w:val="26"/>
          <w:vertAlign w:val="superscript"/>
        </w:rPr>
        <w:t>th</w:t>
      </w:r>
      <w:r>
        <w:rPr>
          <w:rFonts w:ascii="Aptos" w:eastAsia="Aptos" w:hAnsi="Aptos" w:cs="Aptos"/>
          <w:sz w:val="22"/>
          <w:szCs w:val="22"/>
        </w:rPr>
        <w:t xml:space="preserve"> centuries BCE. The most recent is in Ashkelon (604 BCE).</w:t>
      </w:r>
    </w:p>
    <w:p w14:paraId="0D7885FB" w14:textId="77777777" w:rsidR="0017556F" w:rsidRDefault="0017556F" w:rsidP="0017556F">
      <w:pPr>
        <w:spacing w:line="259" w:lineRule="auto"/>
        <w:rPr>
          <w:sz w:val="22"/>
          <w:szCs w:val="22"/>
        </w:rPr>
      </w:pPr>
    </w:p>
    <w:p w14:paraId="3E3C7825" w14:textId="2E7EAED3" w:rsidR="001302EA" w:rsidRDefault="00000000">
      <w:pPr>
        <w:spacing w:after="160" w:line="259" w:lineRule="auto"/>
        <w:rPr>
          <w:sz w:val="22"/>
          <w:szCs w:val="22"/>
        </w:rPr>
      </w:pPr>
      <w:r>
        <w:rPr>
          <w:rFonts w:ascii="Aptos" w:eastAsia="Aptos" w:hAnsi="Aptos" w:cs="Aptos"/>
          <w:sz w:val="22"/>
          <w:szCs w:val="22"/>
        </w:rPr>
        <w:t>Frumin notes that the crown daisy (Glebionis coronaria) may have formed the basis of rosette designs in Levantine and Mesopotamian architecture. Dioscorides</w:t>
      </w:r>
      <w:r w:rsidR="009677C6">
        <w:rPr>
          <w:rStyle w:val="FootnoteReference"/>
          <w:rFonts w:ascii="Aptos" w:eastAsia="Aptos" w:hAnsi="Aptos" w:cs="Aptos"/>
          <w:sz w:val="22"/>
          <w:szCs w:val="22"/>
        </w:rPr>
        <w:footnoteReference w:id="2"/>
      </w:r>
      <w:r>
        <w:rPr>
          <w:rFonts w:ascii="Aptos" w:eastAsia="Aptos" w:hAnsi="Aptos" w:cs="Aptos"/>
          <w:sz w:val="22"/>
          <w:szCs w:val="22"/>
        </w:rPr>
        <w:t xml:space="preserve"> noted such garlands crowned statues of Artemis and protected people from witches and magic (Frumin quotes sources from the 1990s).</w:t>
      </w:r>
    </w:p>
    <w:p w14:paraId="30DA00F4" w14:textId="77777777" w:rsidR="001302EA" w:rsidRDefault="00000000">
      <w:pPr>
        <w:spacing w:after="160" w:line="259" w:lineRule="auto"/>
        <w:rPr>
          <w:sz w:val="22"/>
          <w:szCs w:val="22"/>
        </w:rPr>
      </w:pPr>
      <w:r>
        <w:rPr>
          <w:rFonts w:ascii="Aptos" w:eastAsia="Aptos" w:hAnsi="Aptos" w:cs="Aptos"/>
          <w:sz w:val="22"/>
          <w:szCs w:val="22"/>
        </w:rPr>
        <w:t>Frumin notes poison darnel (Lolium temulentum) as a natural source of ergot fungi, with sources ascribing its use to the Eleusinian Mysteries, a goddess cult. Wild plants with medicinal properties are therefore especially non-Canaanite, argues Frumin, but the examples given here have Greek referents. Frumin suggests Hera may have manifested as a floral deity, possibly originating in the Argolid (Peloponnese). Hera and Artemis developed from the Mycenaean period Potnia (O’Brien, 1993).</w:t>
      </w:r>
    </w:p>
    <w:p w14:paraId="36635E7E" w14:textId="77777777" w:rsidR="001302EA" w:rsidRDefault="00000000">
      <w:pPr>
        <w:spacing w:after="160" w:line="259" w:lineRule="auto"/>
        <w:rPr>
          <w:rFonts w:ascii="Aptos" w:eastAsia="Aptos" w:hAnsi="Aptos" w:cs="Aptos"/>
          <w:sz w:val="22"/>
          <w:szCs w:val="22"/>
        </w:rPr>
      </w:pPr>
      <w:r>
        <w:rPr>
          <w:rFonts w:ascii="Aptos" w:eastAsia="Aptos" w:hAnsi="Aptos" w:cs="Aptos"/>
          <w:sz w:val="22"/>
          <w:szCs w:val="22"/>
        </w:rPr>
        <w:t>This study surveyed the period 1310-1250 BCE and Iron Ages I, II, and IIA. According to Frumin, these Philistine temples provide the first known connection of the crown daisy and scabious to cultic deposits, as well as the earliest example of the chaste tree’s cultic use. Frumin concludes that Philistine culture clearly connects to Aegean traditions.</w:t>
      </w:r>
    </w:p>
    <w:p w14:paraId="7AFC2106" w14:textId="4490EBD6" w:rsidR="0078627F" w:rsidRDefault="00194943">
      <w:pPr>
        <w:spacing w:after="160" w:line="259" w:lineRule="auto"/>
        <w:rPr>
          <w:sz w:val="22"/>
          <w:szCs w:val="22"/>
        </w:rPr>
      </w:pPr>
      <w:r>
        <w:rPr>
          <w:rFonts w:ascii="Aptos" w:hAnsi="Aptos"/>
          <w:sz w:val="22"/>
          <w:szCs w:val="22"/>
        </w:rPr>
        <w:t xml:space="preserve">Following Adler </w:t>
      </w:r>
      <w:r w:rsidR="009677C6">
        <w:rPr>
          <w:rFonts w:ascii="Aptos" w:hAnsi="Aptos"/>
          <w:sz w:val="22"/>
          <w:szCs w:val="22"/>
        </w:rPr>
        <w:t xml:space="preserve">(at </w:t>
      </w:r>
      <w:r>
        <w:rPr>
          <w:rFonts w:ascii="Aptos" w:hAnsi="Aptos"/>
          <w:sz w:val="22"/>
          <w:szCs w:val="22"/>
        </w:rPr>
        <w:t>Chapter 1</w:t>
      </w:r>
      <w:r w:rsidR="00F9725E">
        <w:rPr>
          <w:rFonts w:ascii="Aptos" w:hAnsi="Aptos"/>
          <w:sz w:val="22"/>
          <w:szCs w:val="22"/>
        </w:rPr>
        <w:t xml:space="preserve"> </w:t>
      </w:r>
      <w:r w:rsidR="00F9725E" w:rsidRPr="00F9725E">
        <w:rPr>
          <w:rFonts w:ascii="Aptos" w:hAnsi="Aptos"/>
          <w:i/>
          <w:iCs/>
          <w:sz w:val="22"/>
          <w:szCs w:val="22"/>
        </w:rPr>
        <w:t>Dietary Laws</w:t>
      </w:r>
      <w:r w:rsidR="009677C6">
        <w:rPr>
          <w:rFonts w:ascii="Aptos" w:hAnsi="Aptos"/>
          <w:sz w:val="22"/>
          <w:szCs w:val="22"/>
        </w:rPr>
        <w:t>)</w:t>
      </w:r>
      <w:r>
        <w:rPr>
          <w:rFonts w:ascii="Aptos" w:hAnsi="Aptos"/>
          <w:sz w:val="22"/>
          <w:szCs w:val="22"/>
        </w:rPr>
        <w:t xml:space="preserve"> (2022),</w:t>
      </w:r>
      <w:r>
        <w:rPr>
          <w:rFonts w:ascii="Aptos" w:eastAsia="Aptos" w:hAnsi="Aptos" w:cs="Aptos"/>
          <w:sz w:val="22"/>
          <w:szCs w:val="22"/>
        </w:rPr>
        <w:t xml:space="preserve"> I </w:t>
      </w:r>
      <w:r w:rsidR="009677C6">
        <w:rPr>
          <w:rFonts w:ascii="Aptos" w:eastAsia="Aptos" w:hAnsi="Aptos" w:cs="Aptos"/>
          <w:sz w:val="22"/>
          <w:szCs w:val="22"/>
        </w:rPr>
        <w:t xml:space="preserve">have </w:t>
      </w:r>
      <w:r>
        <w:rPr>
          <w:rFonts w:ascii="Aptos" w:hAnsi="Aptos"/>
          <w:sz w:val="22"/>
          <w:szCs w:val="22"/>
        </w:rPr>
        <w:t>also</w:t>
      </w:r>
      <w:r>
        <w:rPr>
          <w:rFonts w:ascii="Aptos" w:eastAsia="Aptos" w:hAnsi="Aptos" w:cs="Aptos"/>
          <w:sz w:val="22"/>
          <w:szCs w:val="22"/>
        </w:rPr>
        <w:t xml:space="preserve"> consider</w:t>
      </w:r>
      <w:r w:rsidR="009677C6">
        <w:rPr>
          <w:rFonts w:ascii="Aptos" w:eastAsia="Aptos" w:hAnsi="Aptos" w:cs="Aptos"/>
          <w:sz w:val="22"/>
          <w:szCs w:val="22"/>
        </w:rPr>
        <w:t>ed</w:t>
      </w:r>
      <w:r>
        <w:rPr>
          <w:rFonts w:ascii="Aptos" w:eastAsia="Aptos" w:hAnsi="Aptos" w:cs="Aptos"/>
          <w:sz w:val="22"/>
          <w:szCs w:val="22"/>
        </w:rPr>
        <w:t xml:space="preserve"> pig</w:t>
      </w:r>
      <w:r>
        <w:rPr>
          <w:rFonts w:ascii="Aptos" w:hAnsi="Aptos"/>
          <w:sz w:val="22"/>
          <w:szCs w:val="22"/>
        </w:rPr>
        <w:t>-</w:t>
      </w:r>
      <w:r>
        <w:rPr>
          <w:rFonts w:ascii="Aptos" w:eastAsia="Aptos" w:hAnsi="Aptos" w:cs="Aptos"/>
          <w:sz w:val="22"/>
          <w:szCs w:val="22"/>
        </w:rPr>
        <w:t>bone evidence</w:t>
      </w:r>
      <w:r w:rsidR="009677C6">
        <w:rPr>
          <w:rFonts w:ascii="Aptos" w:eastAsia="Aptos" w:hAnsi="Aptos" w:cs="Aptos"/>
          <w:sz w:val="22"/>
          <w:szCs w:val="22"/>
        </w:rPr>
        <w:t>,</w:t>
      </w:r>
      <w:r>
        <w:rPr>
          <w:rFonts w:ascii="Aptos" w:eastAsia="Aptos" w:hAnsi="Aptos" w:cs="Aptos"/>
          <w:sz w:val="22"/>
          <w:szCs w:val="22"/>
        </w:rPr>
        <w:t xml:space="preserve"> </w:t>
      </w:r>
      <w:r>
        <w:rPr>
          <w:rFonts w:ascii="Aptos" w:hAnsi="Aptos"/>
          <w:sz w:val="22"/>
          <w:szCs w:val="22"/>
        </w:rPr>
        <w:t xml:space="preserve">in light of </w:t>
      </w:r>
      <w:r>
        <w:rPr>
          <w:rFonts w:ascii="Aptos" w:eastAsia="Aptos" w:hAnsi="Aptos" w:cs="Aptos"/>
          <w:sz w:val="22"/>
          <w:szCs w:val="22"/>
        </w:rPr>
        <w:t xml:space="preserve">the longstanding Israelite </w:t>
      </w:r>
      <w:r>
        <w:rPr>
          <w:rFonts w:ascii="Aptos" w:hAnsi="Aptos"/>
          <w:sz w:val="22"/>
          <w:szCs w:val="22"/>
        </w:rPr>
        <w:t>prohibition</w:t>
      </w:r>
      <w:r>
        <w:rPr>
          <w:rFonts w:ascii="Aptos" w:eastAsia="Aptos" w:hAnsi="Aptos" w:cs="Aptos"/>
          <w:sz w:val="22"/>
          <w:szCs w:val="22"/>
        </w:rPr>
        <w:t xml:space="preserve"> on pork. Sapir-Hen and others (2013) </w:t>
      </w:r>
      <w:r>
        <w:rPr>
          <w:rFonts w:ascii="Aptos" w:hAnsi="Aptos"/>
          <w:sz w:val="22"/>
          <w:szCs w:val="22"/>
        </w:rPr>
        <w:t>found</w:t>
      </w:r>
      <w:r>
        <w:rPr>
          <w:rFonts w:ascii="Aptos" w:eastAsia="Aptos" w:hAnsi="Aptos" w:cs="Aptos"/>
          <w:sz w:val="22"/>
          <w:szCs w:val="22"/>
        </w:rPr>
        <w:t xml:space="preserve"> substantially higher </w:t>
      </w:r>
      <w:r>
        <w:rPr>
          <w:rFonts w:ascii="Aptos" w:hAnsi="Aptos"/>
          <w:sz w:val="22"/>
          <w:szCs w:val="22"/>
        </w:rPr>
        <w:t xml:space="preserve">frequencies of pig bones </w:t>
      </w:r>
      <w:r>
        <w:rPr>
          <w:rFonts w:ascii="Aptos" w:eastAsia="Aptos" w:hAnsi="Aptos" w:cs="Aptos"/>
          <w:sz w:val="22"/>
          <w:szCs w:val="22"/>
        </w:rPr>
        <w:t xml:space="preserve">at Philistine Iron Age sites than at other </w:t>
      </w:r>
      <w:r>
        <w:rPr>
          <w:rFonts w:ascii="Aptos" w:hAnsi="Aptos"/>
          <w:sz w:val="22"/>
          <w:szCs w:val="22"/>
        </w:rPr>
        <w:t xml:space="preserve">locations in the </w:t>
      </w:r>
      <w:r>
        <w:rPr>
          <w:rFonts w:ascii="Aptos" w:eastAsia="Aptos" w:hAnsi="Aptos" w:cs="Aptos"/>
          <w:sz w:val="22"/>
          <w:szCs w:val="22"/>
        </w:rPr>
        <w:t>southern Levant</w:t>
      </w:r>
      <w:r>
        <w:rPr>
          <w:rFonts w:ascii="Aptos" w:hAnsi="Aptos"/>
          <w:sz w:val="22"/>
          <w:szCs w:val="22"/>
        </w:rPr>
        <w:t>.</w:t>
      </w:r>
      <w:r>
        <w:rPr>
          <w:rFonts w:ascii="Aptos" w:eastAsia="Aptos" w:hAnsi="Aptos" w:cs="Aptos"/>
          <w:sz w:val="22"/>
          <w:szCs w:val="22"/>
        </w:rPr>
        <w:t xml:space="preserve"> My argument is that this is strongly consistent with the invasion theory, and sympathetic to a strong Greek element within the invasion, not least because of annual pig sacrifice in widespread Greek Goddess festivals.</w:t>
      </w:r>
      <w:r w:rsidR="009677C6">
        <w:rPr>
          <w:rFonts w:ascii="Aptos" w:eastAsia="Aptos" w:hAnsi="Aptos" w:cs="Aptos"/>
          <w:sz w:val="22"/>
          <w:szCs w:val="22"/>
        </w:rPr>
        <w:t xml:space="preserve"> The Thesmophoria, for example, lasted three days each year.</w:t>
      </w:r>
    </w:p>
    <w:p w14:paraId="1D2CD70D" w14:textId="367ECBC8" w:rsidR="001302EA" w:rsidRDefault="00000000">
      <w:pPr>
        <w:spacing w:after="160" w:line="259" w:lineRule="auto"/>
        <w:rPr>
          <w:sz w:val="22"/>
          <w:szCs w:val="22"/>
        </w:rPr>
      </w:pPr>
      <w:r>
        <w:rPr>
          <w:rFonts w:ascii="Aptos" w:eastAsia="Aptos" w:hAnsi="Aptos" w:cs="Aptos"/>
          <w:i/>
          <w:iCs/>
          <w:sz w:val="22"/>
          <w:szCs w:val="22"/>
        </w:rPr>
        <w:t xml:space="preserve">The Ekron case for survival of </w:t>
      </w:r>
      <w:r w:rsidR="009677C6">
        <w:rPr>
          <w:rFonts w:ascii="Aptos" w:eastAsia="Aptos" w:hAnsi="Aptos" w:cs="Aptos"/>
          <w:i/>
          <w:iCs/>
          <w:sz w:val="22"/>
          <w:szCs w:val="22"/>
        </w:rPr>
        <w:t xml:space="preserve">Mycenaean Greek term </w:t>
      </w:r>
      <w:r>
        <w:rPr>
          <w:rFonts w:ascii="Aptos" w:eastAsia="Aptos" w:hAnsi="Aptos" w:cs="Aptos"/>
          <w:i/>
          <w:iCs/>
          <w:sz w:val="22"/>
          <w:szCs w:val="22"/>
        </w:rPr>
        <w:t>Potnia as Goddess</w:t>
      </w:r>
    </w:p>
    <w:p w14:paraId="5C42C7F1" w14:textId="77777777" w:rsidR="001302EA" w:rsidRDefault="00000000">
      <w:pPr>
        <w:spacing w:after="160" w:line="259" w:lineRule="auto"/>
        <w:rPr>
          <w:sz w:val="22"/>
          <w:szCs w:val="22"/>
        </w:rPr>
      </w:pPr>
      <w:r>
        <w:rPr>
          <w:rFonts w:ascii="Aptos" w:eastAsia="Aptos" w:hAnsi="Aptos" w:cs="Aptos"/>
          <w:sz w:val="22"/>
          <w:szCs w:val="22"/>
        </w:rPr>
        <w:lastRenderedPageBreak/>
        <w:t>Potnia (see above) has been suggested by Demsky (1997) as a title in line 3 of the Dedicatory Royal Ekron inscription (Callev, 2004). It was found in 1996 and dates to the 7</w:t>
      </w:r>
      <w:r>
        <w:rPr>
          <w:rFonts w:ascii="Aptos" w:eastAsia="Aptos" w:hAnsi="Aptos" w:cs="Aptos"/>
          <w:sz w:val="26"/>
          <w:szCs w:val="26"/>
          <w:vertAlign w:val="superscript"/>
        </w:rPr>
        <w:t>th</w:t>
      </w:r>
      <w:r>
        <w:rPr>
          <w:rFonts w:ascii="Aptos" w:eastAsia="Aptos" w:hAnsi="Aptos" w:cs="Aptos"/>
          <w:sz w:val="22"/>
          <w:szCs w:val="22"/>
        </w:rPr>
        <w:t xml:space="preserve"> century BCE, long after the Gath temples. This is from the inner shrine of an Iron Age II temple.</w:t>
      </w:r>
    </w:p>
    <w:p w14:paraId="08FD4790" w14:textId="07F6A4E3" w:rsidR="001302EA" w:rsidRDefault="00000000">
      <w:pPr>
        <w:spacing w:after="160" w:line="259" w:lineRule="auto"/>
        <w:rPr>
          <w:sz w:val="22"/>
          <w:szCs w:val="22"/>
        </w:rPr>
      </w:pPr>
      <w:r>
        <w:rPr>
          <w:rFonts w:ascii="Aptos" w:eastAsia="Aptos" w:hAnsi="Aptos" w:cs="Aptos"/>
          <w:sz w:val="22"/>
          <w:szCs w:val="22"/>
        </w:rPr>
        <w:t xml:space="preserve">Callev states: “Demsky suggests reading the sign (lpt(g/n)y.h - for-pt(g/n)y.h ) as an aborted </w:t>
      </w:r>
      <w:r>
        <w:rPr>
          <w:rFonts w:ascii="Aptos" w:eastAsia="Aptos" w:hAnsi="Aptos" w:cs="Aptos"/>
          <w:i/>
          <w:iCs/>
          <w:sz w:val="22"/>
          <w:szCs w:val="22"/>
        </w:rPr>
        <w:t>nun</w:t>
      </w:r>
      <w:r>
        <w:rPr>
          <w:rFonts w:ascii="Aptos" w:eastAsia="Aptos" w:hAnsi="Aptos" w:cs="Aptos"/>
          <w:sz w:val="22"/>
          <w:szCs w:val="22"/>
        </w:rPr>
        <w:t xml:space="preserve">, giving "ptnyh", which he relates to Greek "ποτνια" (mistress, lady) "the formal title of various deities in Minoan, Mycenæan and archaic Greek writings." </w:t>
      </w:r>
      <w:r w:rsidR="00414118">
        <w:rPr>
          <w:rFonts w:ascii="Aptos" w:eastAsia="Aptos" w:hAnsi="Aptos" w:cs="Aptos"/>
          <w:sz w:val="22"/>
          <w:szCs w:val="22"/>
        </w:rPr>
        <w:t>“This</w:t>
      </w:r>
      <w:r>
        <w:rPr>
          <w:rFonts w:ascii="Aptos" w:eastAsia="Aptos" w:hAnsi="Aptos" w:cs="Aptos"/>
          <w:sz w:val="22"/>
          <w:szCs w:val="22"/>
        </w:rPr>
        <w:t xml:space="preserve"> is an attempt to read the inscription in accordance with Canaanite dialect, which, if correct, suggests </w:t>
      </w:r>
      <w:r w:rsidR="009677C6">
        <w:rPr>
          <w:rFonts w:ascii="Aptos" w:eastAsia="Aptos" w:hAnsi="Aptos" w:cs="Aptos"/>
          <w:sz w:val="22"/>
          <w:szCs w:val="22"/>
        </w:rPr>
        <w:t xml:space="preserve">at the very least </w:t>
      </w:r>
      <w:r>
        <w:rPr>
          <w:rFonts w:ascii="Aptos" w:eastAsia="Aptos" w:hAnsi="Aptos" w:cs="Aptos"/>
          <w:sz w:val="22"/>
          <w:szCs w:val="22"/>
        </w:rPr>
        <w:t>an important Greek loan word for the Goddess.</w:t>
      </w:r>
    </w:p>
    <w:p w14:paraId="77AF1F13" w14:textId="77777777" w:rsidR="001302EA" w:rsidRDefault="00000000">
      <w:pPr>
        <w:spacing w:after="160" w:line="259" w:lineRule="auto"/>
        <w:rPr>
          <w:sz w:val="22"/>
          <w:szCs w:val="22"/>
        </w:rPr>
      </w:pPr>
      <w:r>
        <w:rPr>
          <w:rFonts w:ascii="Aptos" w:eastAsia="Aptos" w:hAnsi="Aptos" w:cs="Aptos"/>
          <w:i/>
          <w:iCs/>
          <w:sz w:val="22"/>
          <w:szCs w:val="22"/>
        </w:rPr>
        <w:t>DNA evidence from Ashkelon</w:t>
      </w:r>
    </w:p>
    <w:p w14:paraId="14480BD9" w14:textId="77777777" w:rsidR="001302EA" w:rsidRDefault="00000000">
      <w:pPr>
        <w:spacing w:after="160" w:line="259" w:lineRule="auto"/>
        <w:rPr>
          <w:sz w:val="22"/>
          <w:szCs w:val="22"/>
        </w:rPr>
      </w:pPr>
      <w:r>
        <w:rPr>
          <w:rFonts w:ascii="Aptos" w:eastAsia="Aptos" w:hAnsi="Aptos" w:cs="Aptos"/>
          <w:sz w:val="22"/>
          <w:szCs w:val="22"/>
        </w:rPr>
        <w:t>Feldman and others (2019) report: “Recent DNA from Ashkelon graves, dated to the 12th century BCE, reveals foreign ancestry, which hints at a migration from Europe. The results reinterpret the Philistines not as local tribes but as seafaring newcomers. Genomic data reveal distinct genetic markers in early Philistine individuals that closely match those of populations from Greece, Crete, and Sardinia. These markers indicate a migration wave from southern Europe into the Levant around the 12th century B.C. It coincides with archaeological and textual records of Philistine settlement in the Levant.”</w:t>
      </w:r>
    </w:p>
    <w:p w14:paraId="2AFB45B2" w14:textId="488BBFCC" w:rsidR="001302EA" w:rsidRDefault="00000000">
      <w:pPr>
        <w:spacing w:after="160" w:line="259" w:lineRule="auto"/>
        <w:rPr>
          <w:sz w:val="22"/>
          <w:szCs w:val="22"/>
        </w:rPr>
      </w:pPr>
      <w:r>
        <w:rPr>
          <w:rFonts w:ascii="Aptos" w:eastAsia="Aptos" w:hAnsi="Aptos" w:cs="Aptos"/>
          <w:sz w:val="22"/>
          <w:szCs w:val="22"/>
        </w:rPr>
        <w:t>This separation did not last. Intermarriage changed the DNA composition from the 10</w:t>
      </w:r>
      <w:r>
        <w:rPr>
          <w:rFonts w:ascii="Aptos" w:eastAsia="Aptos" w:hAnsi="Aptos" w:cs="Aptos"/>
          <w:sz w:val="26"/>
          <w:szCs w:val="26"/>
          <w:vertAlign w:val="superscript"/>
        </w:rPr>
        <w:t>th</w:t>
      </w:r>
      <w:r>
        <w:rPr>
          <w:rFonts w:ascii="Aptos" w:eastAsia="Aptos" w:hAnsi="Aptos" w:cs="Aptos"/>
          <w:sz w:val="22"/>
          <w:szCs w:val="22"/>
        </w:rPr>
        <w:t xml:space="preserve"> century BCE, two centuries after the newcomers arrived, so much that </w:t>
      </w:r>
      <w:r w:rsidR="00AA1101">
        <w:rPr>
          <w:rFonts w:ascii="Aptos" w:eastAsia="Aptos" w:hAnsi="Aptos" w:cs="Aptos"/>
          <w:sz w:val="22"/>
          <w:szCs w:val="22"/>
        </w:rPr>
        <w:t xml:space="preserve">southern European </w:t>
      </w:r>
      <w:r>
        <w:rPr>
          <w:rFonts w:ascii="Aptos" w:eastAsia="Aptos" w:hAnsi="Aptos" w:cs="Aptos"/>
          <w:sz w:val="22"/>
          <w:szCs w:val="22"/>
        </w:rPr>
        <w:t>DNA was no longer detectable in the later Iron Age population</w:t>
      </w:r>
      <w:r w:rsidR="00E450CD">
        <w:rPr>
          <w:rFonts w:ascii="Aptos" w:eastAsia="Aptos" w:hAnsi="Aptos" w:cs="Aptos"/>
          <w:sz w:val="22"/>
          <w:szCs w:val="22"/>
        </w:rPr>
        <w:t xml:space="preserve"> (see Feldman)</w:t>
      </w:r>
      <w:r>
        <w:rPr>
          <w:rFonts w:ascii="Aptos" w:eastAsia="Aptos" w:hAnsi="Aptos" w:cs="Aptos"/>
          <w:sz w:val="22"/>
          <w:szCs w:val="22"/>
        </w:rPr>
        <w:t>.</w:t>
      </w:r>
    </w:p>
    <w:p w14:paraId="04AD8A8B" w14:textId="77777777" w:rsidR="001302EA" w:rsidRDefault="00000000">
      <w:pPr>
        <w:spacing w:after="160" w:line="259" w:lineRule="auto"/>
        <w:rPr>
          <w:sz w:val="22"/>
          <w:szCs w:val="22"/>
        </w:rPr>
      </w:pPr>
      <w:r>
        <w:rPr>
          <w:rFonts w:ascii="Aptos" w:eastAsia="Aptos" w:hAnsi="Aptos" w:cs="Aptos"/>
          <w:i/>
          <w:iCs/>
          <w:sz w:val="22"/>
          <w:szCs w:val="22"/>
        </w:rPr>
        <w:t>Conclusions regarding colonisation of the coastal strip</w:t>
      </w:r>
    </w:p>
    <w:p w14:paraId="10A8B7E9" w14:textId="2D429573" w:rsidR="001302EA" w:rsidRDefault="00000000">
      <w:pPr>
        <w:spacing w:after="160" w:line="259" w:lineRule="auto"/>
        <w:rPr>
          <w:sz w:val="22"/>
          <w:szCs w:val="22"/>
        </w:rPr>
      </w:pPr>
      <w:r>
        <w:rPr>
          <w:rFonts w:ascii="Aptos" w:eastAsia="Aptos" w:hAnsi="Aptos" w:cs="Aptos"/>
          <w:sz w:val="22"/>
          <w:szCs w:val="22"/>
        </w:rPr>
        <w:t xml:space="preserve">A “coloniser” may also be viewed as a “refugee”. Evidence suggests both elements, especially given prior attacks on Egypt. The establishment of five </w:t>
      </w:r>
      <w:r w:rsidR="0017556F">
        <w:rPr>
          <w:rFonts w:ascii="Aptos" w:eastAsia="Aptos" w:hAnsi="Aptos" w:cs="Aptos"/>
          <w:sz w:val="22"/>
          <w:szCs w:val="22"/>
        </w:rPr>
        <w:t xml:space="preserve">possibly </w:t>
      </w:r>
      <w:r>
        <w:rPr>
          <w:rFonts w:ascii="Aptos" w:eastAsia="Aptos" w:hAnsi="Aptos" w:cs="Aptos"/>
          <w:sz w:val="22"/>
          <w:szCs w:val="22"/>
        </w:rPr>
        <w:t>Greek-style poleis seems like colonisation, though far less effective than in Magna Graecia. The coastal strip’s critical location, controlling sea access and the coastal road, made it a frequent target for major empires seeking these advantages.</w:t>
      </w:r>
    </w:p>
    <w:p w14:paraId="33A42F13" w14:textId="77777777" w:rsidR="001302EA" w:rsidRDefault="00000000">
      <w:pPr>
        <w:spacing w:after="160" w:line="259" w:lineRule="auto"/>
        <w:rPr>
          <w:sz w:val="22"/>
          <w:szCs w:val="22"/>
        </w:rPr>
      </w:pPr>
      <w:r>
        <w:rPr>
          <w:rFonts w:ascii="Aptos" w:eastAsia="Aptos" w:hAnsi="Aptos" w:cs="Aptos"/>
          <w:i/>
          <w:iCs/>
          <w:sz w:val="22"/>
          <w:szCs w:val="22"/>
        </w:rPr>
        <w:t>Conclusions about religion and ethnicity</w:t>
      </w:r>
    </w:p>
    <w:p w14:paraId="3CAEC60B" w14:textId="6FDD125B" w:rsidR="001302EA" w:rsidRDefault="00000000">
      <w:pPr>
        <w:spacing w:after="160" w:line="259" w:lineRule="auto"/>
        <w:rPr>
          <w:sz w:val="22"/>
          <w:szCs w:val="22"/>
        </w:rPr>
      </w:pPr>
      <w:r>
        <w:rPr>
          <w:rFonts w:ascii="Aptos" w:eastAsia="Aptos" w:hAnsi="Aptos" w:cs="Aptos"/>
          <w:sz w:val="22"/>
          <w:szCs w:val="22"/>
        </w:rPr>
        <w:t xml:space="preserve">Language issues are not strongly probative, because bilingualism </w:t>
      </w:r>
      <w:r w:rsidR="009677C6">
        <w:rPr>
          <w:rFonts w:ascii="Aptos" w:eastAsia="Aptos" w:hAnsi="Aptos" w:cs="Aptos"/>
          <w:sz w:val="22"/>
          <w:szCs w:val="22"/>
        </w:rPr>
        <w:t>wa</w:t>
      </w:r>
      <w:r>
        <w:rPr>
          <w:rFonts w:ascii="Aptos" w:eastAsia="Aptos" w:hAnsi="Aptos" w:cs="Aptos"/>
          <w:sz w:val="22"/>
          <w:szCs w:val="22"/>
        </w:rPr>
        <w:t>s</w:t>
      </w:r>
      <w:r w:rsidR="009677C6">
        <w:rPr>
          <w:rFonts w:ascii="Aptos" w:eastAsia="Aptos" w:hAnsi="Aptos" w:cs="Aptos"/>
          <w:sz w:val="22"/>
          <w:szCs w:val="22"/>
        </w:rPr>
        <w:t xml:space="preserve"> possibly</w:t>
      </w:r>
      <w:r>
        <w:rPr>
          <w:rFonts w:ascii="Aptos" w:eastAsia="Aptos" w:hAnsi="Aptos" w:cs="Aptos"/>
          <w:sz w:val="22"/>
          <w:szCs w:val="22"/>
        </w:rPr>
        <w:t xml:space="preserve"> normal</w:t>
      </w:r>
      <w:r w:rsidR="009677C6">
        <w:rPr>
          <w:rFonts w:ascii="Aptos" w:eastAsia="Aptos" w:hAnsi="Aptos" w:cs="Aptos"/>
          <w:sz w:val="22"/>
          <w:szCs w:val="22"/>
        </w:rPr>
        <w:t>,</w:t>
      </w:r>
      <w:r>
        <w:rPr>
          <w:rFonts w:ascii="Aptos" w:eastAsia="Aptos" w:hAnsi="Aptos" w:cs="Aptos"/>
          <w:sz w:val="22"/>
          <w:szCs w:val="22"/>
        </w:rPr>
        <w:t xml:space="preserve"> in such a complex, trade-rich, well-travelled region. The intermarriage shown by DNA at Ashkelon likely means bilingualism developed rapidly (Feldman et al., 2019)</w:t>
      </w:r>
      <w:r w:rsidR="0017556F">
        <w:rPr>
          <w:rFonts w:ascii="Aptos" w:eastAsia="Aptos" w:hAnsi="Aptos" w:cs="Aptos"/>
          <w:sz w:val="22"/>
          <w:szCs w:val="22"/>
        </w:rPr>
        <w:t>.</w:t>
      </w:r>
      <w:r w:rsidR="009677C6">
        <w:rPr>
          <w:rFonts w:ascii="Aptos" w:eastAsia="Aptos" w:hAnsi="Aptos" w:cs="Aptos"/>
          <w:sz w:val="22"/>
          <w:szCs w:val="22"/>
        </w:rPr>
        <w:t xml:space="preserve"> Further, it is not clearly established that newcomers were ever the majority population in the coastal region. The now proven rate of assimilation could be used to argue rationally that this was a minority population from the outset. Power is not dependent on numerical supremacy alone.</w:t>
      </w:r>
    </w:p>
    <w:p w14:paraId="11552D20" w14:textId="77777777" w:rsidR="00842236" w:rsidRDefault="00000000">
      <w:pPr>
        <w:spacing w:after="160" w:line="259" w:lineRule="auto"/>
        <w:rPr>
          <w:rFonts w:ascii="Aptos" w:eastAsia="Aptos" w:hAnsi="Aptos" w:cs="Aptos"/>
          <w:sz w:val="22"/>
          <w:szCs w:val="22"/>
        </w:rPr>
      </w:pPr>
      <w:r>
        <w:rPr>
          <w:rFonts w:ascii="Aptos" w:eastAsia="Aptos" w:hAnsi="Aptos" w:cs="Aptos"/>
          <w:sz w:val="22"/>
          <w:szCs w:val="22"/>
        </w:rPr>
        <w:t xml:space="preserve">Multiple lines of evidence indicate </w:t>
      </w:r>
      <w:r w:rsidR="00AA1101">
        <w:rPr>
          <w:rFonts w:ascii="Aptos" w:eastAsia="Aptos" w:hAnsi="Aptos" w:cs="Aptos"/>
          <w:sz w:val="22"/>
          <w:szCs w:val="22"/>
        </w:rPr>
        <w:t>southern European, including ethnic Greek,</w:t>
      </w:r>
      <w:r>
        <w:rPr>
          <w:rFonts w:ascii="Aptos" w:eastAsia="Aptos" w:hAnsi="Aptos" w:cs="Aptos"/>
          <w:sz w:val="22"/>
          <w:szCs w:val="22"/>
        </w:rPr>
        <w:t xml:space="preserve"> origins for the </w:t>
      </w:r>
      <w:r w:rsidR="00CD49C0">
        <w:rPr>
          <w:rFonts w:ascii="Aptos" w:eastAsia="Aptos" w:hAnsi="Aptos" w:cs="Aptos"/>
          <w:sz w:val="22"/>
          <w:szCs w:val="22"/>
        </w:rPr>
        <w:t xml:space="preserve">settling </w:t>
      </w:r>
      <w:r>
        <w:rPr>
          <w:rFonts w:ascii="Aptos" w:eastAsia="Aptos" w:hAnsi="Aptos" w:cs="Aptos"/>
          <w:sz w:val="22"/>
          <w:szCs w:val="22"/>
        </w:rPr>
        <w:t xml:space="preserve">Philistines. Within two centuries, they assimilated into Canaanite culture. </w:t>
      </w:r>
      <w:r w:rsidR="009677C6">
        <w:rPr>
          <w:rFonts w:ascii="Aptos" w:eastAsia="Aptos" w:hAnsi="Aptos" w:cs="Aptos"/>
          <w:sz w:val="22"/>
          <w:szCs w:val="22"/>
        </w:rPr>
        <w:t>Much l</w:t>
      </w:r>
      <w:r w:rsidR="0017556F">
        <w:rPr>
          <w:rFonts w:ascii="Aptos" w:eastAsia="Aptos" w:hAnsi="Aptos" w:cs="Aptos"/>
          <w:sz w:val="22"/>
          <w:szCs w:val="22"/>
        </w:rPr>
        <w:t xml:space="preserve">ater </w:t>
      </w:r>
      <w:r>
        <w:rPr>
          <w:rFonts w:ascii="Aptos" w:eastAsia="Aptos" w:hAnsi="Aptos" w:cs="Aptos"/>
          <w:sz w:val="22"/>
          <w:szCs w:val="22"/>
        </w:rPr>
        <w:t xml:space="preserve">Biblical references to Dagan worship do not contradict this interpretation. </w:t>
      </w:r>
    </w:p>
    <w:p w14:paraId="17F05B2E" w14:textId="745F5D5C" w:rsidR="001302EA" w:rsidRDefault="00842236">
      <w:pPr>
        <w:spacing w:after="160" w:line="259" w:lineRule="auto"/>
        <w:rPr>
          <w:sz w:val="22"/>
          <w:szCs w:val="22"/>
        </w:rPr>
      </w:pPr>
      <w:r>
        <w:rPr>
          <w:rFonts w:ascii="Aptos" w:eastAsia="Aptos" w:hAnsi="Aptos" w:cs="Aptos"/>
          <w:sz w:val="22"/>
          <w:szCs w:val="22"/>
        </w:rPr>
        <w:t xml:space="preserve">Frumin’s 2024 study has been widely applauded in the literature, indicating its fresh and well supported collection of new types of evidence. Botanical evidence from the Gath excavations seems to be accepted as showing the prevalence of distinctive Greek cultic practices during the </w:t>
      </w:r>
      <w:r>
        <w:rPr>
          <w:rFonts w:ascii="Aptos" w:eastAsia="Aptos" w:hAnsi="Aptos" w:cs="Aptos"/>
          <w:sz w:val="22"/>
          <w:szCs w:val="22"/>
        </w:rPr>
        <w:lastRenderedPageBreak/>
        <w:t>initial settlement period. It shows Greek, not Canaanite, cultural patterns. I posit that this is especially true for women’s religious roles</w:t>
      </w:r>
      <w:r w:rsidR="0017556F">
        <w:rPr>
          <w:rFonts w:ascii="Aptos" w:eastAsia="Aptos" w:hAnsi="Aptos" w:cs="Aptos"/>
          <w:sz w:val="22"/>
          <w:szCs w:val="22"/>
        </w:rPr>
        <w:t xml:space="preserve">, which do not match known </w:t>
      </w:r>
      <w:r w:rsidR="00357E15">
        <w:rPr>
          <w:rFonts w:ascii="Aptos" w:eastAsia="Aptos" w:hAnsi="Aptos" w:cs="Aptos"/>
          <w:sz w:val="22"/>
          <w:szCs w:val="22"/>
        </w:rPr>
        <w:t>Yahwist</w:t>
      </w:r>
      <w:r w:rsidR="0017556F">
        <w:rPr>
          <w:rFonts w:ascii="Aptos" w:eastAsia="Aptos" w:hAnsi="Aptos" w:cs="Aptos"/>
          <w:sz w:val="22"/>
          <w:szCs w:val="22"/>
        </w:rPr>
        <w:t xml:space="preserve"> practice</w:t>
      </w:r>
      <w:r>
        <w:rPr>
          <w:rFonts w:ascii="Aptos" w:eastAsia="Aptos" w:hAnsi="Aptos" w:cs="Aptos"/>
          <w:sz w:val="22"/>
          <w:szCs w:val="22"/>
        </w:rPr>
        <w:t xml:space="preserve">. </w:t>
      </w:r>
      <w:r w:rsidR="009677C6">
        <w:rPr>
          <w:rFonts w:ascii="Aptos" w:eastAsia="Aptos" w:hAnsi="Aptos" w:cs="Aptos"/>
          <w:sz w:val="22"/>
          <w:szCs w:val="22"/>
        </w:rPr>
        <w:t>We should however be careful not to over-extrapolate from Gath to the other four Philistine cities, in case of divergent ethnicities and/or religious practices in them, which are open questions.</w:t>
      </w:r>
    </w:p>
    <w:p w14:paraId="7AE6BC9D" w14:textId="77777777" w:rsidR="001302EA" w:rsidRDefault="001302EA">
      <w:pPr>
        <w:spacing w:after="160" w:line="259" w:lineRule="auto"/>
        <w:rPr>
          <w:sz w:val="22"/>
          <w:szCs w:val="22"/>
        </w:rPr>
      </w:pPr>
    </w:p>
    <w:p w14:paraId="00DEC920" w14:textId="77777777" w:rsidR="001302EA" w:rsidRDefault="001302EA">
      <w:pPr>
        <w:spacing w:before="110" w:after="110" w:line="259" w:lineRule="auto"/>
        <w:rPr>
          <w:sz w:val="22"/>
          <w:szCs w:val="22"/>
        </w:rPr>
      </w:pPr>
    </w:p>
    <w:p w14:paraId="7DD68E4A" w14:textId="77777777" w:rsidR="001302EA" w:rsidRDefault="001302EA">
      <w:pPr>
        <w:spacing w:after="160" w:line="259" w:lineRule="auto"/>
        <w:rPr>
          <w:sz w:val="22"/>
          <w:szCs w:val="22"/>
        </w:rPr>
      </w:pPr>
    </w:p>
    <w:p w14:paraId="2B1D9988" w14:textId="77777777" w:rsidR="001302EA" w:rsidRDefault="001302EA">
      <w:pPr>
        <w:spacing w:before="110" w:after="110" w:line="259" w:lineRule="auto"/>
        <w:rPr>
          <w:sz w:val="22"/>
          <w:szCs w:val="22"/>
        </w:rPr>
      </w:pPr>
    </w:p>
    <w:p w14:paraId="2997C3F5" w14:textId="77777777" w:rsidR="001302EA" w:rsidRDefault="00000000">
      <w:pPr>
        <w:spacing w:after="160" w:line="259" w:lineRule="auto"/>
        <w:rPr>
          <w:sz w:val="22"/>
          <w:szCs w:val="22"/>
        </w:rPr>
      </w:pPr>
      <w:r>
        <w:rPr>
          <w:rFonts w:ascii="Aptos" w:eastAsia="Aptos" w:hAnsi="Aptos" w:cs="Aptos"/>
          <w:i/>
          <w:iCs/>
          <w:sz w:val="22"/>
          <w:szCs w:val="22"/>
        </w:rPr>
        <w:t>Sources cited (excluded from word count)</w:t>
      </w:r>
    </w:p>
    <w:p w14:paraId="6B095261" w14:textId="6F54465B" w:rsidR="00773E53" w:rsidRDefault="00773E53">
      <w:pPr>
        <w:spacing w:after="160" w:line="259" w:lineRule="auto"/>
        <w:rPr>
          <w:rFonts w:ascii="Aptos" w:eastAsia="Aptos" w:hAnsi="Aptos" w:cs="Aptos"/>
          <w:sz w:val="22"/>
          <w:szCs w:val="22"/>
        </w:rPr>
      </w:pPr>
      <w:r>
        <w:rPr>
          <w:rFonts w:ascii="Aptos" w:eastAsia="Aptos" w:hAnsi="Aptos" w:cs="Aptos"/>
          <w:sz w:val="22"/>
          <w:szCs w:val="22"/>
        </w:rPr>
        <w:t>Adler, Yonatan, The Origins of Judaism (2022) Yale.</w:t>
      </w:r>
    </w:p>
    <w:p w14:paraId="3E4567C5" w14:textId="120BD57A" w:rsidR="001302EA" w:rsidRDefault="00000000">
      <w:pPr>
        <w:spacing w:after="160" w:line="259" w:lineRule="auto"/>
        <w:rPr>
          <w:sz w:val="22"/>
          <w:szCs w:val="22"/>
        </w:rPr>
      </w:pPr>
      <w:r>
        <w:rPr>
          <w:rFonts w:ascii="Aptos" w:eastAsia="Aptos" w:hAnsi="Aptos" w:cs="Aptos"/>
          <w:sz w:val="22"/>
          <w:szCs w:val="22"/>
        </w:rPr>
        <w:t>John Barton and John Muddiman (ed.). The Oxford Bible Commentary, 2007.</w:t>
      </w:r>
      <w:r>
        <w:rPr>
          <w:rFonts w:ascii="Aptos" w:eastAsia="Aptos" w:hAnsi="Aptos" w:cs="Aptos"/>
          <w:i/>
          <w:iCs/>
          <w:sz w:val="22"/>
          <w:szCs w:val="22"/>
        </w:rPr>
        <w:t xml:space="preserve"> Oxford University Press. </w:t>
      </w:r>
      <w:hyperlink r:id="rId7" w:history="1">
        <w:r w:rsidR="001302EA">
          <w:rPr>
            <w:rFonts w:ascii="Aptos" w:eastAsia="Aptos" w:hAnsi="Aptos" w:cs="Aptos"/>
            <w:color w:val="0000EE"/>
            <w:sz w:val="22"/>
            <w:szCs w:val="22"/>
            <w:u w:val="single" w:color="0000EE"/>
          </w:rPr>
          <w:t>ISBN</w:t>
        </w:r>
      </w:hyperlink>
      <w:hyperlink r:id="rId8" w:history="1">
        <w:r w:rsidR="001302EA">
          <w:rPr>
            <w:rFonts w:ascii="Aptos" w:eastAsia="Aptos" w:hAnsi="Aptos" w:cs="Aptos"/>
            <w:color w:val="0000EE"/>
            <w:sz w:val="22"/>
            <w:szCs w:val="22"/>
            <w:u w:val="single" w:color="0000EE"/>
          </w:rPr>
          <w:t>9780198755005</w:t>
        </w:r>
      </w:hyperlink>
      <w:r>
        <w:rPr>
          <w:rFonts w:ascii="Aptos" w:eastAsia="Aptos" w:hAnsi="Aptos" w:cs="Aptos"/>
          <w:i/>
          <w:iCs/>
          <w:sz w:val="22"/>
          <w:szCs w:val="22"/>
        </w:rPr>
        <w:t>.</w:t>
      </w:r>
    </w:p>
    <w:p w14:paraId="07AABB46" w14:textId="77777777" w:rsidR="001302EA" w:rsidRPr="00AA1101" w:rsidRDefault="00000000">
      <w:pPr>
        <w:spacing w:after="160" w:line="259" w:lineRule="auto"/>
        <w:rPr>
          <w:rFonts w:ascii="Aptos" w:hAnsi="Aptos"/>
          <w:sz w:val="22"/>
          <w:szCs w:val="22"/>
          <w:lang w:val="de-DE"/>
        </w:rPr>
      </w:pPr>
      <w:r>
        <w:rPr>
          <w:rFonts w:ascii="Aptos" w:eastAsia="Aptos" w:hAnsi="Aptos" w:cs="Aptos"/>
          <w:sz w:val="22"/>
          <w:szCs w:val="22"/>
        </w:rPr>
        <w:t xml:space="preserve">Ben-Dor Evian, Shirly, "The Battles between Ramesses III and the “Sea-Peoples”: When, Where and Who? </w:t>
      </w:r>
      <w:r w:rsidRPr="00AA1101">
        <w:rPr>
          <w:rFonts w:ascii="Aptos" w:eastAsia="Aptos" w:hAnsi="Aptos" w:cs="Aptos"/>
          <w:sz w:val="22"/>
          <w:szCs w:val="22"/>
          <w:lang w:val="de-DE"/>
        </w:rPr>
        <w:t>An Iconic Analysis of the Egyptian Reliefs", Zeitschrift für Ägyptische Sprache und Altertumskunde, vol. 143, no. 2, pp. 151-168, 2016</w:t>
      </w:r>
    </w:p>
    <w:p w14:paraId="3BDF2394" w14:textId="77777777" w:rsidR="001302EA" w:rsidRPr="00AA1101" w:rsidRDefault="00000000">
      <w:pPr>
        <w:spacing w:before="120" w:after="120"/>
        <w:rPr>
          <w:rFonts w:ascii="Aptos" w:hAnsi="Aptos"/>
          <w:sz w:val="22"/>
          <w:szCs w:val="22"/>
        </w:rPr>
      </w:pPr>
      <w:r w:rsidRPr="00AA1101">
        <w:rPr>
          <w:rFonts w:ascii="Aptos" w:hAnsi="Aptos"/>
          <w:sz w:val="22"/>
          <w:szCs w:val="22"/>
        </w:rPr>
        <w:t xml:space="preserve">Ben-Shlomo, D. (2019). </w:t>
      </w:r>
      <w:r w:rsidRPr="00AA1101">
        <w:rPr>
          <w:rFonts w:ascii="Aptos" w:hAnsi="Aptos"/>
          <w:i/>
          <w:iCs/>
          <w:sz w:val="22"/>
          <w:szCs w:val="22"/>
        </w:rPr>
        <w:t>Philistine Cult and Religion According to Archaeological Evidence</w:t>
      </w:r>
      <w:r w:rsidRPr="00AA1101">
        <w:rPr>
          <w:rFonts w:ascii="Aptos" w:hAnsi="Aptos"/>
          <w:sz w:val="22"/>
          <w:szCs w:val="22"/>
        </w:rPr>
        <w:t>. Religions 10(2). https://doi.org/10.3390/rel10020074</w:t>
      </w:r>
    </w:p>
    <w:p w14:paraId="7A64B29D" w14:textId="48780912" w:rsidR="001302EA" w:rsidRPr="00AA1101" w:rsidRDefault="00000000">
      <w:pPr>
        <w:spacing w:before="120" w:after="120"/>
        <w:rPr>
          <w:rFonts w:ascii="Aptos" w:hAnsi="Aptos"/>
          <w:sz w:val="22"/>
          <w:szCs w:val="22"/>
        </w:rPr>
      </w:pPr>
      <w:r w:rsidRPr="00AA1101">
        <w:rPr>
          <w:rFonts w:ascii="Aptos" w:hAnsi="Aptos"/>
          <w:sz w:val="22"/>
          <w:szCs w:val="22"/>
        </w:rPr>
        <w:t>Ben Zion</w:t>
      </w:r>
      <w:r w:rsidR="00CD49C0">
        <w:rPr>
          <w:rFonts w:ascii="Aptos" w:hAnsi="Aptos"/>
          <w:sz w:val="22"/>
          <w:szCs w:val="22"/>
        </w:rPr>
        <w:t xml:space="preserve"> I.</w:t>
      </w:r>
      <w:r w:rsidRPr="00AA1101">
        <w:rPr>
          <w:rFonts w:ascii="Aptos" w:hAnsi="Aptos"/>
          <w:sz w:val="22"/>
          <w:szCs w:val="22"/>
        </w:rPr>
        <w:t>, Archaeology Magazine, July-August 2022</w:t>
      </w:r>
    </w:p>
    <w:p w14:paraId="042526AD" w14:textId="77777777" w:rsidR="001302EA" w:rsidRPr="00AA1101" w:rsidRDefault="00000000">
      <w:pPr>
        <w:spacing w:after="160" w:line="259" w:lineRule="auto"/>
        <w:rPr>
          <w:rFonts w:ascii="Aptos" w:hAnsi="Aptos"/>
          <w:sz w:val="22"/>
          <w:szCs w:val="22"/>
        </w:rPr>
      </w:pPr>
      <w:r w:rsidRPr="00AA1101">
        <w:rPr>
          <w:rFonts w:ascii="Aptos" w:eastAsia="Aptos" w:hAnsi="Aptos" w:cs="Aptos"/>
          <w:sz w:val="22"/>
          <w:szCs w:val="22"/>
        </w:rPr>
        <w:t xml:space="preserve">Burkert W. </w:t>
      </w:r>
      <w:r w:rsidRPr="00AA1101">
        <w:rPr>
          <w:rFonts w:ascii="Aptos" w:eastAsia="Aptos" w:hAnsi="Aptos" w:cs="Aptos"/>
          <w:i/>
          <w:iCs/>
          <w:sz w:val="22"/>
          <w:szCs w:val="22"/>
        </w:rPr>
        <w:t>Greek Religion</w:t>
      </w:r>
      <w:r w:rsidRPr="00AA1101">
        <w:rPr>
          <w:rFonts w:ascii="Aptos" w:eastAsia="Aptos" w:hAnsi="Aptos" w:cs="Aptos"/>
          <w:sz w:val="22"/>
          <w:szCs w:val="22"/>
        </w:rPr>
        <w:t xml:space="preserve"> (1995 at p.98) Harvard UP </w:t>
      </w:r>
    </w:p>
    <w:p w14:paraId="20497538" w14:textId="77777777" w:rsidR="001302EA" w:rsidRDefault="00000000">
      <w:pPr>
        <w:spacing w:after="160" w:line="259" w:lineRule="auto"/>
        <w:rPr>
          <w:sz w:val="22"/>
          <w:szCs w:val="22"/>
        </w:rPr>
      </w:pPr>
      <w:r>
        <w:rPr>
          <w:rFonts w:ascii="Aptos" w:eastAsia="Aptos" w:hAnsi="Aptos" w:cs="Aptos"/>
          <w:sz w:val="22"/>
          <w:szCs w:val="22"/>
        </w:rPr>
        <w:t xml:space="preserve">Callev, Jaacov 2004 </w:t>
      </w:r>
      <w:hyperlink r:id="rId9" w:history="1">
        <w:r w:rsidR="001302EA">
          <w:rPr>
            <w:rFonts w:ascii="Aptos" w:eastAsia="Aptos" w:hAnsi="Aptos" w:cs="Aptos"/>
            <w:color w:val="0000EE"/>
            <w:sz w:val="22"/>
            <w:szCs w:val="22"/>
            <w:u w:val="single" w:color="0000EE"/>
          </w:rPr>
          <w:t>http://femto.tau.ac.il/~oyd11/tau/ekron.html</w:t>
        </w:r>
      </w:hyperlink>
      <w:r>
        <w:rPr>
          <w:rFonts w:ascii="Aptos" w:eastAsia="Aptos" w:hAnsi="Aptos" w:cs="Aptos"/>
          <w:sz w:val="22"/>
          <w:szCs w:val="22"/>
        </w:rPr>
        <w:t xml:space="preserve"> accessed 8 October 2026.</w:t>
      </w:r>
    </w:p>
    <w:p w14:paraId="3D22ABED" w14:textId="77777777" w:rsidR="001302EA" w:rsidRDefault="00000000">
      <w:pPr>
        <w:spacing w:after="160" w:line="259" w:lineRule="auto"/>
        <w:rPr>
          <w:sz w:val="22"/>
          <w:szCs w:val="22"/>
        </w:rPr>
      </w:pPr>
      <w:r>
        <w:rPr>
          <w:rFonts w:ascii="Aptos" w:eastAsia="Aptos" w:hAnsi="Aptos" w:cs="Aptos"/>
          <w:sz w:val="22"/>
          <w:szCs w:val="22"/>
        </w:rPr>
        <w:t xml:space="preserve">Chadwick, John (1956). </w:t>
      </w:r>
      <w:r>
        <w:rPr>
          <w:rFonts w:ascii="Aptos" w:eastAsia="Aptos" w:hAnsi="Aptos" w:cs="Aptos"/>
          <w:i/>
          <w:iCs/>
          <w:sz w:val="22"/>
          <w:szCs w:val="22"/>
        </w:rPr>
        <w:t>Documents in Mycenaean Greek</w:t>
      </w:r>
      <w:r>
        <w:rPr>
          <w:rFonts w:ascii="Aptos" w:eastAsia="Aptos" w:hAnsi="Aptos" w:cs="Aptos"/>
          <w:sz w:val="22"/>
          <w:szCs w:val="22"/>
        </w:rPr>
        <w:t>. Cambridge: Second edition (1974).</w:t>
      </w:r>
    </w:p>
    <w:p w14:paraId="762A80FB" w14:textId="77777777" w:rsidR="001302EA" w:rsidRDefault="00000000">
      <w:pPr>
        <w:spacing w:after="160" w:line="259" w:lineRule="auto"/>
        <w:rPr>
          <w:sz w:val="22"/>
          <w:szCs w:val="22"/>
        </w:rPr>
      </w:pPr>
      <w:r>
        <w:rPr>
          <w:rFonts w:ascii="Aptos" w:eastAsia="Aptos" w:hAnsi="Aptos" w:cs="Aptos"/>
          <w:sz w:val="22"/>
          <w:szCs w:val="22"/>
        </w:rPr>
        <w:t xml:space="preserve">Aaron Demsky, “The Name of the Goddess of Ekron: A New Reading”. </w:t>
      </w:r>
      <w:r>
        <w:rPr>
          <w:rFonts w:ascii="Aptos" w:eastAsia="Aptos" w:hAnsi="Aptos" w:cs="Aptos"/>
          <w:i/>
          <w:iCs/>
          <w:sz w:val="22"/>
          <w:szCs w:val="22"/>
        </w:rPr>
        <w:t>Journal of the Ancient Near Eastern Society</w:t>
      </w:r>
      <w:r>
        <w:rPr>
          <w:rFonts w:ascii="Aptos" w:eastAsia="Aptos" w:hAnsi="Aptos" w:cs="Aptos"/>
          <w:sz w:val="22"/>
          <w:szCs w:val="22"/>
        </w:rPr>
        <w:t xml:space="preserve"> 25, (1997), pp. 1–5. David Ben-Shlomo, Philistine Cult and Religion According to Archaeological Evidence, January 2019 Religions 10(2):74, DOI: 10.3390/rel10020074.</w:t>
      </w:r>
    </w:p>
    <w:p w14:paraId="57A30DE0" w14:textId="57862494" w:rsidR="001302EA" w:rsidRDefault="00000000">
      <w:pPr>
        <w:spacing w:after="160" w:line="259" w:lineRule="auto"/>
        <w:rPr>
          <w:sz w:val="22"/>
          <w:szCs w:val="22"/>
        </w:rPr>
      </w:pPr>
      <w:r>
        <w:rPr>
          <w:rFonts w:ascii="Aptos" w:eastAsia="Aptos" w:hAnsi="Aptos" w:cs="Aptos"/>
          <w:sz w:val="22"/>
          <w:szCs w:val="22"/>
        </w:rPr>
        <w:t xml:space="preserve">Faust, Avraham and Lev-tov, Justin: The Constitution </w:t>
      </w:r>
      <w:r w:rsidR="00414118">
        <w:rPr>
          <w:rFonts w:ascii="Aptos" w:eastAsia="Aptos" w:hAnsi="Aptos" w:cs="Aptos"/>
          <w:sz w:val="22"/>
          <w:szCs w:val="22"/>
        </w:rPr>
        <w:t>o</w:t>
      </w:r>
      <w:r>
        <w:rPr>
          <w:rFonts w:ascii="Aptos" w:eastAsia="Aptos" w:hAnsi="Aptos" w:cs="Aptos"/>
          <w:sz w:val="22"/>
          <w:szCs w:val="22"/>
        </w:rPr>
        <w:t xml:space="preserve">f Philistine Identity: Ethnic Dynamics In Twelfth To Tenth Century Philistia; Oxford Journal </w:t>
      </w:r>
      <w:r w:rsidR="00414118">
        <w:rPr>
          <w:rFonts w:ascii="Aptos" w:eastAsia="Aptos" w:hAnsi="Aptos" w:cs="Aptos"/>
          <w:sz w:val="22"/>
          <w:szCs w:val="22"/>
        </w:rPr>
        <w:t>o</w:t>
      </w:r>
      <w:r>
        <w:rPr>
          <w:rFonts w:ascii="Aptos" w:eastAsia="Aptos" w:hAnsi="Aptos" w:cs="Aptos"/>
          <w:sz w:val="22"/>
          <w:szCs w:val="22"/>
        </w:rPr>
        <w:t>f Archaeology, 2011-02, Vol.30 (1), p.13-31</w:t>
      </w:r>
    </w:p>
    <w:p w14:paraId="25582B69" w14:textId="77777777" w:rsidR="001302EA" w:rsidRDefault="00000000">
      <w:pPr>
        <w:spacing w:after="160" w:line="259" w:lineRule="auto"/>
        <w:rPr>
          <w:sz w:val="22"/>
          <w:szCs w:val="22"/>
        </w:rPr>
      </w:pPr>
      <w:r>
        <w:rPr>
          <w:rFonts w:ascii="Aptos" w:eastAsia="Aptos" w:hAnsi="Aptos" w:cs="Aptos"/>
          <w:sz w:val="22"/>
          <w:szCs w:val="22"/>
        </w:rPr>
        <w:t xml:space="preserve">Feldman and others, 2019 cited in </w:t>
      </w:r>
      <w:hyperlink r:id="rId10" w:history="1">
        <w:r w:rsidR="001302EA">
          <w:rPr>
            <w:rFonts w:ascii="Aptos" w:eastAsia="Aptos" w:hAnsi="Aptos" w:cs="Aptos"/>
            <w:color w:val="0000EE"/>
            <w:sz w:val="22"/>
            <w:szCs w:val="22"/>
            <w:u w:val="single" w:color="0000EE"/>
          </w:rPr>
          <w:t>https://housely.com/tracing-ancient-philistines-roots-genetic-clues/</w:t>
        </w:r>
      </w:hyperlink>
      <w:r>
        <w:rPr>
          <w:rFonts w:ascii="Aptos" w:eastAsia="Aptos" w:hAnsi="Aptos" w:cs="Aptos"/>
          <w:sz w:val="22"/>
          <w:szCs w:val="22"/>
        </w:rPr>
        <w:t xml:space="preserve">and sourced at </w:t>
      </w:r>
      <w:hyperlink r:id="rId11" w:history="1">
        <w:r w:rsidR="001302EA">
          <w:rPr>
            <w:rFonts w:ascii="Aptos" w:eastAsia="Aptos" w:hAnsi="Aptos" w:cs="Aptos"/>
            <w:color w:val="0000EE"/>
            <w:sz w:val="22"/>
            <w:szCs w:val="22"/>
            <w:u w:val="single" w:color="0000EE"/>
          </w:rPr>
          <w:t>https://www.science.org/doi/10.1126/sciadv.aax0061</w:t>
        </w:r>
      </w:hyperlink>
      <w:r>
        <w:rPr>
          <w:rFonts w:ascii="Aptos" w:eastAsia="Aptos" w:hAnsi="Aptos" w:cs="Aptos"/>
          <w:sz w:val="22"/>
          <w:szCs w:val="22"/>
        </w:rPr>
        <w:t xml:space="preserve">Ancient DNA sheds light on the genetic origins of early Iron Age Philistines - Science Advances vol 5 issue 7. Written by Michal Feldman, Daniel M. Master, Raffaela A. Bianco, Marta Burri, Philipp W. Stockhammer, Alissa Mittnik, Adam J. Aja, Choongwon Jeong and Johannes Krause. </w:t>
      </w:r>
    </w:p>
    <w:p w14:paraId="4286173D" w14:textId="77777777" w:rsidR="001302EA" w:rsidRDefault="00000000">
      <w:pPr>
        <w:spacing w:after="160" w:line="259" w:lineRule="auto"/>
        <w:rPr>
          <w:sz w:val="22"/>
          <w:szCs w:val="22"/>
        </w:rPr>
      </w:pPr>
      <w:r>
        <w:rPr>
          <w:rFonts w:ascii="Aptos" w:eastAsia="Aptos" w:hAnsi="Aptos" w:cs="Aptos"/>
          <w:sz w:val="22"/>
          <w:szCs w:val="22"/>
        </w:rPr>
        <w:t>Plant</w:t>
      </w:r>
      <w:r>
        <w:rPr>
          <w:rFonts w:ascii="Aptos" w:eastAsia="Aptos" w:hAnsi="Aptos" w:cs="Aptos"/>
          <w:sz w:val="22"/>
          <w:szCs w:val="22"/>
        </w:rPr>
        <w:noBreakHyphen/>
        <w:t xml:space="preserve">related Philistine ritual practices at biblical </w:t>
      </w:r>
      <w:r>
        <w:rPr>
          <w:rFonts w:ascii="Aptos" w:eastAsia="Aptos" w:hAnsi="Aptos" w:cs="Aptos"/>
          <w:i/>
          <w:iCs/>
          <w:sz w:val="22"/>
          <w:szCs w:val="22"/>
        </w:rPr>
        <w:t xml:space="preserve">Gath - </w:t>
      </w:r>
      <w:r>
        <w:rPr>
          <w:rFonts w:ascii="Aptos" w:eastAsia="Aptos" w:hAnsi="Aptos" w:cs="Aptos"/>
          <w:sz w:val="22"/>
          <w:szCs w:val="22"/>
        </w:rPr>
        <w:t>Suembikya Frumin 1,2, Aren M. Maeir 2,3, Maria Eniukhina 2,3, Amit Dagan 2,3 &amp; Ehud Weiss, 2024 Nature.com/Scientific Reports (2024) 14:3513 | https://doi.org/10.1038/s41598-024-52974-9</w:t>
      </w:r>
    </w:p>
    <w:p w14:paraId="2D364C90" w14:textId="77777777" w:rsidR="001302EA" w:rsidRDefault="00000000">
      <w:pPr>
        <w:spacing w:after="160" w:line="259" w:lineRule="auto"/>
        <w:rPr>
          <w:sz w:val="22"/>
          <w:szCs w:val="22"/>
        </w:rPr>
      </w:pPr>
      <w:r>
        <w:rPr>
          <w:rFonts w:ascii="Aptos" w:eastAsia="Aptos" w:hAnsi="Aptos" w:cs="Aptos"/>
          <w:sz w:val="22"/>
          <w:szCs w:val="22"/>
        </w:rPr>
        <w:lastRenderedPageBreak/>
        <w:t xml:space="preserve">Frumin, S. </w:t>
      </w:r>
      <w:r>
        <w:rPr>
          <w:rFonts w:ascii="Aptos" w:eastAsia="Aptos" w:hAnsi="Aptos" w:cs="Aptos"/>
          <w:i/>
          <w:iCs/>
          <w:sz w:val="22"/>
          <w:szCs w:val="22"/>
        </w:rPr>
        <w:t xml:space="preserve">Invasion Biology Analysis in Archaeobotany: Philistine Culture at Tell es-Safi/Gath as a Case Study </w:t>
      </w:r>
      <w:r>
        <w:rPr>
          <w:rFonts w:ascii="Aptos" w:eastAsia="Aptos" w:hAnsi="Aptos" w:cs="Aptos"/>
          <w:sz w:val="22"/>
          <w:szCs w:val="22"/>
        </w:rPr>
        <w:t>(Bar-Ilan University, Ramat-Gan, 2017)</w:t>
      </w:r>
    </w:p>
    <w:p w14:paraId="1723FC25" w14:textId="77777777" w:rsidR="001302EA" w:rsidRDefault="00000000">
      <w:pPr>
        <w:spacing w:after="160" w:line="259" w:lineRule="auto"/>
        <w:rPr>
          <w:sz w:val="22"/>
          <w:szCs w:val="22"/>
        </w:rPr>
      </w:pPr>
      <w:r>
        <w:rPr>
          <w:rFonts w:ascii="Aptos" w:eastAsia="Aptos" w:hAnsi="Aptos" w:cs="Aptos"/>
          <w:sz w:val="22"/>
          <w:szCs w:val="22"/>
        </w:rPr>
        <w:t xml:space="preserve">Frumin, S. Cereal and Fruit Plants of the Philistines – Signs of Territorial Identity and Regional Involvement, Journal of Eastern Mediterranean Archaeology and Heritage Studies. </w:t>
      </w:r>
      <w:r>
        <w:rPr>
          <w:rFonts w:ascii="Aptos" w:eastAsia="Aptos" w:hAnsi="Aptos" w:cs="Aptos"/>
          <w:i/>
          <w:iCs/>
          <w:sz w:val="22"/>
          <w:szCs w:val="22"/>
        </w:rPr>
        <w:t xml:space="preserve">JEMAHS </w:t>
      </w:r>
      <w:r>
        <w:rPr>
          <w:rFonts w:ascii="Aptos" w:eastAsia="Aptos" w:hAnsi="Aptos" w:cs="Aptos"/>
          <w:sz w:val="22"/>
          <w:szCs w:val="22"/>
        </w:rPr>
        <w:t>10(3–4), 259–286 (2022)</w:t>
      </w:r>
    </w:p>
    <w:p w14:paraId="5A8CC406" w14:textId="77777777" w:rsidR="001302EA" w:rsidRDefault="00000000">
      <w:pPr>
        <w:spacing w:after="160" w:line="259" w:lineRule="auto"/>
        <w:rPr>
          <w:sz w:val="22"/>
          <w:szCs w:val="22"/>
        </w:rPr>
      </w:pPr>
      <w:r>
        <w:rPr>
          <w:rFonts w:ascii="Aptos" w:eastAsia="Aptos" w:hAnsi="Aptos" w:cs="Aptos"/>
          <w:sz w:val="22"/>
          <w:szCs w:val="22"/>
        </w:rPr>
        <w:t xml:space="preserve">Frumin, S., Maeir, A. M., Horwitz, L. K. &amp; Weiss, E. Studying ancient anthropogenic impacts on current floral biodiversity in the Southern Levant as reflected by the Philistine migration. </w:t>
      </w:r>
      <w:r>
        <w:rPr>
          <w:rFonts w:ascii="Aptos" w:eastAsia="Aptos" w:hAnsi="Aptos" w:cs="Aptos"/>
          <w:i/>
          <w:iCs/>
          <w:sz w:val="22"/>
          <w:szCs w:val="22"/>
        </w:rPr>
        <w:t xml:space="preserve">Sci. Rep. </w:t>
      </w:r>
      <w:r>
        <w:rPr>
          <w:rFonts w:ascii="Aptos" w:eastAsia="Aptos" w:hAnsi="Aptos" w:cs="Aptos"/>
          <w:sz w:val="22"/>
          <w:szCs w:val="22"/>
        </w:rPr>
        <w:t>5, 13308 (2015)</w:t>
      </w:r>
    </w:p>
    <w:p w14:paraId="6548F6F0" w14:textId="77777777" w:rsidR="001302EA" w:rsidRDefault="00000000">
      <w:pPr>
        <w:spacing w:after="160" w:line="259" w:lineRule="auto"/>
        <w:rPr>
          <w:sz w:val="22"/>
          <w:szCs w:val="22"/>
        </w:rPr>
      </w:pPr>
      <w:r>
        <w:rPr>
          <w:rFonts w:ascii="Aptos" w:eastAsia="Aptos" w:hAnsi="Aptos" w:cs="Aptos"/>
          <w:sz w:val="22"/>
          <w:szCs w:val="22"/>
        </w:rPr>
        <w:t xml:space="preserve">Frumin, S. &amp; Weiss, E. Plant use in the bronze and iron ages at Tell eṣ-Ṣâfī/Gath. </w:t>
      </w:r>
      <w:r>
        <w:rPr>
          <w:rFonts w:ascii="Aptos" w:eastAsia="Aptos" w:hAnsi="Aptos" w:cs="Aptos"/>
          <w:i/>
          <w:iCs/>
          <w:sz w:val="22"/>
          <w:szCs w:val="22"/>
        </w:rPr>
        <w:t xml:space="preserve">NEA </w:t>
      </w:r>
      <w:r>
        <w:rPr>
          <w:rFonts w:ascii="Aptos" w:eastAsia="Aptos" w:hAnsi="Aptos" w:cs="Aptos"/>
          <w:sz w:val="22"/>
          <w:szCs w:val="22"/>
        </w:rPr>
        <w:t xml:space="preserve">81, 77–80 (2018). 111. Frumin, S., Melamed, Y. &amp; Weiss, E. Current vegetation of Tel Tzafit. In </w:t>
      </w:r>
      <w:r>
        <w:rPr>
          <w:rFonts w:ascii="Aptos" w:eastAsia="Aptos" w:hAnsi="Aptos" w:cs="Aptos"/>
          <w:i/>
          <w:iCs/>
          <w:sz w:val="22"/>
          <w:szCs w:val="22"/>
        </w:rPr>
        <w:t>Tell it in Gath. Studies in the History and Archaeology of</w:t>
      </w:r>
    </w:p>
    <w:p w14:paraId="3B365072" w14:textId="77777777" w:rsidR="001302EA" w:rsidRDefault="00000000">
      <w:pPr>
        <w:spacing w:after="160" w:line="259" w:lineRule="auto"/>
        <w:rPr>
          <w:sz w:val="22"/>
          <w:szCs w:val="22"/>
        </w:rPr>
      </w:pPr>
      <w:r>
        <w:rPr>
          <w:rFonts w:ascii="Aptos" w:eastAsia="Aptos" w:hAnsi="Aptos" w:cs="Aptos"/>
          <w:sz w:val="22"/>
          <w:szCs w:val="22"/>
        </w:rPr>
        <w:t xml:space="preserve">Frumin S. in </w:t>
      </w:r>
      <w:r>
        <w:rPr>
          <w:rFonts w:ascii="Aptos" w:eastAsia="Aptos" w:hAnsi="Aptos" w:cs="Aptos"/>
          <w:i/>
          <w:iCs/>
          <w:sz w:val="22"/>
          <w:szCs w:val="22"/>
        </w:rPr>
        <w:t xml:space="preserve">Israel Essays in Honor of Aren M. Maeir on the Occasion of his Sixtieth Birthday </w:t>
      </w:r>
      <w:r>
        <w:rPr>
          <w:rFonts w:ascii="Aptos" w:eastAsia="Aptos" w:hAnsi="Aptos" w:cs="Aptos"/>
          <w:sz w:val="22"/>
          <w:szCs w:val="22"/>
        </w:rPr>
        <w:t>(ed. Shai, I. et al.) 386–413 (Zaphon, 2018).</w:t>
      </w:r>
    </w:p>
    <w:p w14:paraId="2DB8F789" w14:textId="77777777" w:rsidR="001302EA" w:rsidRDefault="00000000">
      <w:pPr>
        <w:spacing w:after="160" w:line="259" w:lineRule="auto"/>
        <w:rPr>
          <w:sz w:val="22"/>
          <w:szCs w:val="22"/>
        </w:rPr>
      </w:pPr>
      <w:r>
        <w:rPr>
          <w:rFonts w:ascii="Aptos" w:eastAsia="Aptos" w:hAnsi="Aptos" w:cs="Aptos"/>
          <w:sz w:val="22"/>
          <w:szCs w:val="22"/>
        </w:rPr>
        <w:t xml:space="preserve">Frumin, S., Melamed, Y., Maeir, A. M., Greenfield, H. J. &amp; Weiss, E. Agricultural subsistence, land use and long-distance mobility within the Early Bronze Age southern Levant: Archaeobotanical evidence from the urban site of Tell eṣ-Ṣâfī/ Gath. </w:t>
      </w:r>
      <w:r>
        <w:rPr>
          <w:rFonts w:ascii="Aptos" w:eastAsia="Aptos" w:hAnsi="Aptos" w:cs="Aptos"/>
          <w:i/>
          <w:iCs/>
          <w:sz w:val="22"/>
          <w:szCs w:val="22"/>
        </w:rPr>
        <w:t xml:space="preserve">J. Archaeol. Sci. Rep. </w:t>
      </w:r>
      <w:r>
        <w:rPr>
          <w:rFonts w:ascii="Aptos" w:eastAsia="Aptos" w:hAnsi="Aptos" w:cs="Aptos"/>
          <w:sz w:val="22"/>
          <w:szCs w:val="22"/>
        </w:rPr>
        <w:t>37C, 102873 (2021).</w:t>
      </w:r>
    </w:p>
    <w:p w14:paraId="2BFD1F9B" w14:textId="77777777" w:rsidR="001302EA" w:rsidRDefault="00000000">
      <w:pPr>
        <w:spacing w:after="160" w:line="259" w:lineRule="auto"/>
        <w:rPr>
          <w:sz w:val="22"/>
          <w:szCs w:val="22"/>
        </w:rPr>
      </w:pPr>
      <w:r>
        <w:rPr>
          <w:rFonts w:ascii="Aptos" w:eastAsia="Aptos" w:hAnsi="Aptos" w:cs="Aptos"/>
          <w:sz w:val="22"/>
          <w:szCs w:val="22"/>
        </w:rPr>
        <w:t xml:space="preserve">Frumin, S., Melamed, Y. &amp; Weiss, E. Canaan’s staples, seasonal vegetables and luxury fruits: finds from stratum E4 in </w:t>
      </w:r>
      <w:r>
        <w:rPr>
          <w:rFonts w:ascii="Aptos" w:eastAsia="Aptos" w:hAnsi="Aptos" w:cs="Aptos"/>
          <w:i/>
          <w:iCs/>
          <w:sz w:val="22"/>
          <w:szCs w:val="22"/>
        </w:rPr>
        <w:t xml:space="preserve">Tell eṣ-Ṣafī/Gath, II, Excavations and Studies </w:t>
      </w:r>
      <w:r>
        <w:rPr>
          <w:rFonts w:ascii="Aptos" w:eastAsia="Aptos" w:hAnsi="Aptos" w:cs="Aptos"/>
          <w:sz w:val="22"/>
          <w:szCs w:val="22"/>
        </w:rPr>
        <w:t>(ed. Maeir, A. M. &amp; Uziel, J.) 459–488 (Zaphon, 2020).</w:t>
      </w:r>
    </w:p>
    <w:p w14:paraId="28B2592C" w14:textId="77777777" w:rsidR="001302EA" w:rsidRDefault="00000000">
      <w:pPr>
        <w:spacing w:after="160" w:line="259" w:lineRule="auto"/>
        <w:rPr>
          <w:sz w:val="22"/>
          <w:szCs w:val="22"/>
        </w:rPr>
      </w:pPr>
      <w:r>
        <w:rPr>
          <w:rFonts w:ascii="Aptos" w:eastAsia="Aptos" w:hAnsi="Aptos" w:cs="Aptos"/>
          <w:sz w:val="22"/>
          <w:szCs w:val="22"/>
        </w:rPr>
        <w:t>Herring, E (2013) at p.128 of A Companion to Ancient History ed. Erskine A. Wiley-Blackwell.</w:t>
      </w:r>
    </w:p>
    <w:p w14:paraId="5D13BAFC" w14:textId="77777777" w:rsidR="001302EA" w:rsidRDefault="001302EA">
      <w:pPr>
        <w:spacing w:after="160" w:line="259" w:lineRule="auto"/>
        <w:rPr>
          <w:sz w:val="22"/>
          <w:szCs w:val="22"/>
        </w:rPr>
      </w:pPr>
      <w:hyperlink r:id="rId12" w:anchor="CITEREFJones2001" w:history="1">
        <w:r>
          <w:rPr>
            <w:rFonts w:ascii="Aptos" w:eastAsia="Aptos" w:hAnsi="Aptos" w:cs="Aptos"/>
            <w:color w:val="0000EE"/>
            <w:sz w:val="22"/>
            <w:szCs w:val="22"/>
            <w:u w:val="single" w:color="0000EE"/>
          </w:rPr>
          <w:t>Jones 2001</w:t>
        </w:r>
      </w:hyperlink>
      <w:r>
        <w:rPr>
          <w:rFonts w:ascii="Aptos" w:eastAsia="Aptos" w:hAnsi="Aptos" w:cs="Aptos"/>
          <w:sz w:val="22"/>
          <w:szCs w:val="22"/>
        </w:rPr>
        <w:t xml:space="preserve">, p.197. </w:t>
      </w:r>
      <w:r>
        <w:rPr>
          <w:rFonts w:ascii="Aptos" w:eastAsia="Aptos" w:hAnsi="Aptos" w:cs="Aptos"/>
          <w:i/>
          <w:iCs/>
          <w:sz w:val="22"/>
          <w:szCs w:val="22"/>
        </w:rPr>
        <w:t xml:space="preserve">Jones, Gwilym H (2001). </w:t>
      </w:r>
      <w:hyperlink r:id="rId13" w:history="1">
        <w:r>
          <w:rPr>
            <w:rFonts w:ascii="Aptos" w:eastAsia="Aptos" w:hAnsi="Aptos" w:cs="Aptos"/>
            <w:color w:val="0000EE"/>
            <w:sz w:val="22"/>
            <w:szCs w:val="22"/>
            <w:u w:val="single" w:color="0000EE"/>
          </w:rPr>
          <w:t>"1 and 2 Samuel"</w:t>
        </w:r>
      </w:hyperlink>
      <w:r>
        <w:rPr>
          <w:rFonts w:ascii="Aptos" w:eastAsia="Aptos" w:hAnsi="Aptos" w:cs="Aptos"/>
          <w:i/>
          <w:iCs/>
          <w:sz w:val="22"/>
          <w:szCs w:val="22"/>
        </w:rPr>
        <w:t xml:space="preserve">. In John Barton and John Muddiman (ed.). The Oxford Bible Commentary. Oxford University Press. </w:t>
      </w:r>
      <w:hyperlink r:id="rId14" w:history="1">
        <w:r>
          <w:rPr>
            <w:rFonts w:ascii="Aptos" w:eastAsia="Aptos" w:hAnsi="Aptos" w:cs="Aptos"/>
            <w:color w:val="0000EE"/>
            <w:sz w:val="22"/>
            <w:szCs w:val="22"/>
            <w:u w:val="single" w:color="0000EE"/>
          </w:rPr>
          <w:t>ISBN</w:t>
        </w:r>
      </w:hyperlink>
      <w:hyperlink r:id="rId15" w:history="1">
        <w:r>
          <w:rPr>
            <w:rFonts w:ascii="Aptos" w:eastAsia="Aptos" w:hAnsi="Aptos" w:cs="Aptos"/>
            <w:color w:val="0000EE"/>
            <w:sz w:val="22"/>
            <w:szCs w:val="22"/>
            <w:u w:val="single" w:color="0000EE"/>
          </w:rPr>
          <w:t>9780198755005</w:t>
        </w:r>
      </w:hyperlink>
      <w:r>
        <w:rPr>
          <w:rFonts w:ascii="Aptos" w:eastAsia="Aptos" w:hAnsi="Aptos" w:cs="Aptos"/>
          <w:i/>
          <w:iCs/>
          <w:sz w:val="22"/>
          <w:szCs w:val="22"/>
        </w:rPr>
        <w:t>.</w:t>
      </w:r>
    </w:p>
    <w:p w14:paraId="58F932C2" w14:textId="77777777" w:rsidR="001302EA" w:rsidRDefault="001302EA">
      <w:pPr>
        <w:spacing w:after="160" w:line="259" w:lineRule="auto"/>
        <w:rPr>
          <w:sz w:val="22"/>
          <w:szCs w:val="22"/>
        </w:rPr>
      </w:pPr>
      <w:hyperlink r:id="rId16" w:anchor="CITEREFKnight1995" w:history="1">
        <w:r>
          <w:rPr>
            <w:rFonts w:ascii="Aptos" w:eastAsia="Aptos" w:hAnsi="Aptos" w:cs="Aptos"/>
            <w:color w:val="0000EE"/>
            <w:sz w:val="22"/>
            <w:szCs w:val="22"/>
            <w:u w:val="single" w:color="0000EE"/>
          </w:rPr>
          <w:t>Knight 1995</w:t>
        </w:r>
      </w:hyperlink>
      <w:r>
        <w:rPr>
          <w:rFonts w:ascii="Aptos" w:eastAsia="Aptos" w:hAnsi="Aptos" w:cs="Aptos"/>
          <w:sz w:val="22"/>
          <w:szCs w:val="22"/>
        </w:rPr>
        <w:t xml:space="preserve">, p.62. </w:t>
      </w:r>
      <w:r>
        <w:rPr>
          <w:rFonts w:ascii="Aptos" w:eastAsia="Aptos" w:hAnsi="Aptos" w:cs="Aptos"/>
          <w:i/>
          <w:iCs/>
          <w:sz w:val="22"/>
          <w:szCs w:val="22"/>
        </w:rPr>
        <w:t xml:space="preserve">Knight, Douglas A (1995). </w:t>
      </w:r>
      <w:hyperlink r:id="rId17" w:history="1">
        <w:r>
          <w:rPr>
            <w:rFonts w:ascii="Aptos" w:eastAsia="Aptos" w:hAnsi="Aptos" w:cs="Aptos"/>
            <w:color w:val="0000EE"/>
            <w:sz w:val="22"/>
            <w:szCs w:val="22"/>
            <w:u w:val="single" w:color="0000EE"/>
          </w:rPr>
          <w:t>"Chapter 4 Deuteronomy and the Deuteronomists"</w:t>
        </w:r>
      </w:hyperlink>
      <w:r>
        <w:rPr>
          <w:rFonts w:ascii="Aptos" w:eastAsia="Aptos" w:hAnsi="Aptos" w:cs="Aptos"/>
          <w:i/>
          <w:iCs/>
          <w:sz w:val="22"/>
          <w:szCs w:val="22"/>
        </w:rPr>
        <w:t xml:space="preserve">. </w:t>
      </w:r>
    </w:p>
    <w:p w14:paraId="6B1D14D1" w14:textId="77777777" w:rsidR="001302EA" w:rsidRDefault="00000000">
      <w:pPr>
        <w:spacing w:after="160" w:line="259" w:lineRule="auto"/>
        <w:rPr>
          <w:sz w:val="22"/>
          <w:szCs w:val="22"/>
        </w:rPr>
      </w:pPr>
      <w:r>
        <w:rPr>
          <w:rFonts w:ascii="Aptos" w:eastAsia="Aptos" w:hAnsi="Aptos" w:cs="Aptos"/>
          <w:sz w:val="22"/>
          <w:szCs w:val="22"/>
        </w:rPr>
        <w:t>James Luther Mays, David L. Petersen and Kent Harold Richards (ed.). Old Testament Interpretation. 1995.</w:t>
      </w:r>
      <w:r>
        <w:rPr>
          <w:rFonts w:ascii="Aptos" w:eastAsia="Aptos" w:hAnsi="Aptos" w:cs="Aptos"/>
          <w:i/>
          <w:iCs/>
          <w:sz w:val="22"/>
          <w:szCs w:val="22"/>
        </w:rPr>
        <w:t xml:space="preserve"> T&amp;T Clark. p.62. </w:t>
      </w:r>
      <w:hyperlink r:id="rId18" w:history="1">
        <w:r w:rsidR="001302EA">
          <w:rPr>
            <w:rFonts w:ascii="Aptos" w:eastAsia="Aptos" w:hAnsi="Aptos" w:cs="Aptos"/>
            <w:color w:val="0000EE"/>
            <w:sz w:val="22"/>
            <w:szCs w:val="22"/>
            <w:u w:val="single" w:color="0000EE"/>
          </w:rPr>
          <w:t>ISBN</w:t>
        </w:r>
      </w:hyperlink>
      <w:hyperlink r:id="rId19" w:history="1">
        <w:r w:rsidR="001302EA">
          <w:rPr>
            <w:rFonts w:ascii="Aptos" w:eastAsia="Aptos" w:hAnsi="Aptos" w:cs="Aptos"/>
            <w:color w:val="0000EE"/>
            <w:sz w:val="22"/>
            <w:szCs w:val="22"/>
            <w:u w:val="single" w:color="0000EE"/>
          </w:rPr>
          <w:t>9780567292896</w:t>
        </w:r>
      </w:hyperlink>
      <w:r>
        <w:rPr>
          <w:rFonts w:ascii="Aptos" w:eastAsia="Aptos" w:hAnsi="Aptos" w:cs="Aptos"/>
          <w:i/>
          <w:iCs/>
          <w:sz w:val="22"/>
          <w:szCs w:val="22"/>
        </w:rPr>
        <w:t>.</w:t>
      </w:r>
    </w:p>
    <w:p w14:paraId="55B475AF" w14:textId="77777777" w:rsidR="001302EA" w:rsidRDefault="00000000">
      <w:pPr>
        <w:spacing w:after="160" w:line="259" w:lineRule="auto"/>
        <w:rPr>
          <w:rFonts w:ascii="Aptos" w:eastAsia="Aptos" w:hAnsi="Aptos" w:cs="Aptos"/>
          <w:sz w:val="22"/>
          <w:szCs w:val="22"/>
        </w:rPr>
      </w:pPr>
      <w:r>
        <w:rPr>
          <w:rFonts w:ascii="Aptos" w:eastAsia="Aptos" w:hAnsi="Aptos" w:cs="Aptos"/>
          <w:sz w:val="22"/>
          <w:szCs w:val="22"/>
        </w:rPr>
        <w:t xml:space="preserve">Niesiołowski-Spanò, Ł., 2015. Food or Drink? Pork or Wine? The Philistines and their “Ethnic” Markers. </w:t>
      </w:r>
      <w:r>
        <w:rPr>
          <w:rFonts w:ascii="Aptos" w:eastAsia="Aptos" w:hAnsi="Aptos" w:cs="Aptos"/>
          <w:i/>
          <w:iCs/>
          <w:sz w:val="22"/>
          <w:szCs w:val="22"/>
        </w:rPr>
        <w:t>Scandinavian Journal of the Old Testament</w:t>
      </w:r>
      <w:r>
        <w:rPr>
          <w:rFonts w:ascii="Aptos" w:eastAsia="Aptos" w:hAnsi="Aptos" w:cs="Aptos"/>
          <w:sz w:val="22"/>
          <w:szCs w:val="22"/>
        </w:rPr>
        <w:t xml:space="preserve">, </w:t>
      </w:r>
      <w:r>
        <w:rPr>
          <w:rFonts w:ascii="Aptos" w:eastAsia="Aptos" w:hAnsi="Aptos" w:cs="Aptos"/>
          <w:i/>
          <w:iCs/>
          <w:sz w:val="22"/>
          <w:szCs w:val="22"/>
        </w:rPr>
        <w:t>29</w:t>
      </w:r>
      <w:r>
        <w:rPr>
          <w:rFonts w:ascii="Aptos" w:eastAsia="Aptos" w:hAnsi="Aptos" w:cs="Aptos"/>
          <w:sz w:val="22"/>
          <w:szCs w:val="22"/>
        </w:rPr>
        <w:t xml:space="preserve">(1), pp.110-116. </w:t>
      </w:r>
    </w:p>
    <w:p w14:paraId="6A85F102" w14:textId="418F26A6" w:rsidR="00235462" w:rsidRPr="00235462" w:rsidRDefault="00235462">
      <w:pPr>
        <w:spacing w:after="160" w:line="259" w:lineRule="auto"/>
        <w:rPr>
          <w:rFonts w:ascii="Aptos" w:hAnsi="Aptos"/>
          <w:sz w:val="22"/>
          <w:szCs w:val="22"/>
        </w:rPr>
      </w:pPr>
      <w:hyperlink r:id="rId20" w:history="1">
        <w:r w:rsidRPr="00235462">
          <w:rPr>
            <w:rStyle w:val="Hyperlink"/>
            <w:rFonts w:ascii="Aptos" w:hAnsi="Aptos"/>
            <w:sz w:val="22"/>
            <w:szCs w:val="22"/>
          </w:rPr>
          <w:t>The Aegean (Mycenean) origin of the Philistines – Novo Scriptorium</w:t>
        </w:r>
      </w:hyperlink>
      <w:r w:rsidRPr="00235462">
        <w:rPr>
          <w:rFonts w:ascii="Aptos" w:hAnsi="Aptos"/>
        </w:rPr>
        <w:t xml:space="preserve"> </w:t>
      </w:r>
    </w:p>
    <w:p w14:paraId="071399D0" w14:textId="77777777" w:rsidR="001302EA" w:rsidRDefault="00000000">
      <w:pPr>
        <w:spacing w:after="160" w:line="259" w:lineRule="auto"/>
        <w:rPr>
          <w:sz w:val="22"/>
          <w:szCs w:val="22"/>
        </w:rPr>
      </w:pPr>
      <w:r>
        <w:rPr>
          <w:rFonts w:ascii="Aptos" w:eastAsia="Aptos" w:hAnsi="Aptos" w:cs="Aptos"/>
          <w:sz w:val="22"/>
          <w:szCs w:val="22"/>
        </w:rPr>
        <w:t xml:space="preserve">O’Brien, J. V. </w:t>
      </w:r>
      <w:r>
        <w:rPr>
          <w:rFonts w:ascii="Aptos" w:eastAsia="Aptos" w:hAnsi="Aptos" w:cs="Aptos"/>
          <w:i/>
          <w:iCs/>
          <w:sz w:val="22"/>
          <w:szCs w:val="22"/>
        </w:rPr>
        <w:t xml:space="preserve">The Transformation of Hera: A Study of Ritual, Hero, and the Goddess in the Iliad </w:t>
      </w:r>
      <w:r>
        <w:rPr>
          <w:rFonts w:ascii="Aptos" w:eastAsia="Aptos" w:hAnsi="Aptos" w:cs="Aptos"/>
          <w:sz w:val="22"/>
          <w:szCs w:val="22"/>
        </w:rPr>
        <w:t>(Rowman &amp; Littlefield, 1993)</w:t>
      </w:r>
    </w:p>
    <w:p w14:paraId="16006EDF" w14:textId="77777777" w:rsidR="001302EA" w:rsidRPr="00AA1101" w:rsidRDefault="00000000">
      <w:pPr>
        <w:spacing w:before="120" w:after="120"/>
        <w:rPr>
          <w:rFonts w:ascii="Aptos" w:hAnsi="Aptos"/>
          <w:lang w:val="nl-NL"/>
        </w:rPr>
      </w:pPr>
      <w:r w:rsidRPr="00AA1101">
        <w:rPr>
          <w:rFonts w:ascii="Aptos" w:hAnsi="Aptos"/>
        </w:rPr>
        <w:t xml:space="preserve">(n.d.). </w:t>
      </w:r>
      <w:r w:rsidRPr="00AA1101">
        <w:rPr>
          <w:rFonts w:ascii="Aptos" w:hAnsi="Aptos"/>
          <w:i/>
          <w:iCs/>
        </w:rPr>
        <w:t>Potnia | Facts, Information, and Mythology</w:t>
      </w:r>
      <w:r w:rsidRPr="00AA1101">
        <w:rPr>
          <w:rFonts w:ascii="Aptos" w:hAnsi="Aptos"/>
        </w:rPr>
        <w:t xml:space="preserve">. </w:t>
      </w:r>
      <w:r w:rsidRPr="00AA1101">
        <w:rPr>
          <w:rFonts w:ascii="Aptos" w:hAnsi="Aptos"/>
          <w:lang w:val="nl-NL"/>
        </w:rPr>
        <w:t>Pantheon.org. https://pantheon.org/articles/p/potnia.html</w:t>
      </w:r>
    </w:p>
    <w:p w14:paraId="29AA1E3B" w14:textId="77777777" w:rsidR="001302EA" w:rsidRDefault="00000000">
      <w:pPr>
        <w:spacing w:after="160" w:line="259" w:lineRule="auto"/>
        <w:rPr>
          <w:sz w:val="22"/>
          <w:szCs w:val="22"/>
        </w:rPr>
      </w:pPr>
      <w:r>
        <w:rPr>
          <w:rFonts w:ascii="Aptos" w:eastAsia="Aptos" w:hAnsi="Aptos" w:cs="Aptos"/>
          <w:sz w:val="22"/>
          <w:szCs w:val="22"/>
        </w:rPr>
        <w:t xml:space="preserve">Press, M.D., 2012. (Pytho) Gaia in Myth and Legend: The Goddess of the Ekron Inscription Revisited. </w:t>
      </w:r>
      <w:r>
        <w:rPr>
          <w:rFonts w:ascii="Aptos" w:eastAsia="Aptos" w:hAnsi="Aptos" w:cs="Aptos"/>
          <w:i/>
          <w:iCs/>
          <w:sz w:val="22"/>
          <w:szCs w:val="22"/>
        </w:rPr>
        <w:t>Bulletin of the American Schools of Oriental Research</w:t>
      </w:r>
      <w:r>
        <w:rPr>
          <w:rFonts w:ascii="Aptos" w:eastAsia="Aptos" w:hAnsi="Aptos" w:cs="Aptos"/>
          <w:sz w:val="22"/>
          <w:szCs w:val="22"/>
        </w:rPr>
        <w:t xml:space="preserve">, </w:t>
      </w:r>
      <w:r>
        <w:rPr>
          <w:rFonts w:ascii="Aptos" w:eastAsia="Aptos" w:hAnsi="Aptos" w:cs="Aptos"/>
          <w:i/>
          <w:iCs/>
          <w:sz w:val="22"/>
          <w:szCs w:val="22"/>
        </w:rPr>
        <w:t>365</w:t>
      </w:r>
      <w:r>
        <w:rPr>
          <w:rFonts w:ascii="Aptos" w:eastAsia="Aptos" w:hAnsi="Aptos" w:cs="Aptos"/>
          <w:sz w:val="22"/>
          <w:szCs w:val="22"/>
        </w:rPr>
        <w:t xml:space="preserve">(1), pp.1-25. </w:t>
      </w:r>
    </w:p>
    <w:p w14:paraId="7E568044" w14:textId="77777777" w:rsidR="001302EA" w:rsidRDefault="00000000">
      <w:pPr>
        <w:spacing w:after="160" w:line="259" w:lineRule="auto"/>
        <w:rPr>
          <w:sz w:val="22"/>
          <w:szCs w:val="22"/>
        </w:rPr>
      </w:pPr>
      <w:r>
        <w:rPr>
          <w:rFonts w:ascii="Aptos" w:eastAsia="Aptos" w:hAnsi="Aptos" w:cs="Aptos"/>
          <w:sz w:val="22"/>
          <w:szCs w:val="22"/>
        </w:rPr>
        <w:t xml:space="preserve">Redford, Donald Bruce, "The Medinet Habu records of the foreign wars of Ramesses III", Brill, 2017 </w:t>
      </w:r>
      <w:hyperlink r:id="rId21" w:history="1">
        <w:r w:rsidR="001302EA">
          <w:rPr>
            <w:rFonts w:ascii="Aptos" w:eastAsia="Aptos" w:hAnsi="Aptos" w:cs="Aptos"/>
            <w:color w:val="0000EE"/>
            <w:sz w:val="22"/>
            <w:szCs w:val="22"/>
            <w:u w:val="single" w:color="0000EE"/>
          </w:rPr>
          <w:t>ISBN</w:t>
        </w:r>
      </w:hyperlink>
      <w:hyperlink r:id="rId22" w:history="1">
        <w:r w:rsidR="001302EA">
          <w:rPr>
            <w:rFonts w:ascii="Aptos" w:eastAsia="Aptos" w:hAnsi="Aptos" w:cs="Aptos"/>
            <w:color w:val="0000EE"/>
            <w:sz w:val="22"/>
            <w:szCs w:val="22"/>
            <w:u w:val="single" w:color="0000EE"/>
          </w:rPr>
          <w:t>978-90-04-35417-3</w:t>
        </w:r>
      </w:hyperlink>
    </w:p>
    <w:p w14:paraId="5783B1CE" w14:textId="77777777" w:rsidR="001302EA" w:rsidRPr="00AA1101" w:rsidRDefault="00000000">
      <w:pPr>
        <w:spacing w:after="160" w:line="259" w:lineRule="auto"/>
        <w:rPr>
          <w:rFonts w:ascii="Aptos" w:hAnsi="Aptos"/>
          <w:sz w:val="22"/>
          <w:szCs w:val="22"/>
        </w:rPr>
      </w:pPr>
      <w:r w:rsidRPr="00AA1101">
        <w:rPr>
          <w:rFonts w:ascii="Aptos" w:hAnsi="Aptos"/>
          <w:sz w:val="22"/>
          <w:szCs w:val="22"/>
        </w:rPr>
        <w:lastRenderedPageBreak/>
        <w:t xml:space="preserve">Roskoski, J. (2008). </w:t>
      </w:r>
      <w:r w:rsidRPr="00AA1101">
        <w:rPr>
          <w:rFonts w:ascii="Aptos" w:hAnsi="Aptos"/>
          <w:i/>
          <w:iCs/>
          <w:sz w:val="22"/>
          <w:szCs w:val="22"/>
        </w:rPr>
        <w:t>Dagon: The Philistine Fish God</w:t>
      </w:r>
      <w:r w:rsidRPr="00AA1101">
        <w:rPr>
          <w:rFonts w:ascii="Aptos" w:hAnsi="Aptos"/>
          <w:sz w:val="22"/>
          <w:szCs w:val="22"/>
        </w:rPr>
        <w:t xml:space="preserve">. Bible Archaeology. </w:t>
      </w:r>
      <w:hyperlink r:id="rId23" w:history="1">
        <w:r w:rsidR="001302EA" w:rsidRPr="00AA1101">
          <w:rPr>
            <w:rFonts w:ascii="Aptos" w:hAnsi="Aptos"/>
            <w:color w:val="0000EE"/>
            <w:sz w:val="22"/>
            <w:szCs w:val="22"/>
            <w:u w:val="single" w:color="0000EE"/>
          </w:rPr>
          <w:t>https://biblearchaeology.org/research-articles/dagon-the-philistine-fish-god/</w:t>
        </w:r>
      </w:hyperlink>
    </w:p>
    <w:p w14:paraId="72490479" w14:textId="77777777" w:rsidR="001302EA" w:rsidRPr="00AA1101" w:rsidRDefault="00000000">
      <w:pPr>
        <w:spacing w:after="160" w:line="259" w:lineRule="auto"/>
        <w:rPr>
          <w:sz w:val="22"/>
          <w:szCs w:val="22"/>
          <w:lang w:val="de-DE"/>
        </w:rPr>
      </w:pPr>
      <w:r w:rsidRPr="00AA1101">
        <w:rPr>
          <w:rFonts w:ascii="Aptos" w:eastAsia="Aptos" w:hAnsi="Aptos" w:cs="Aptos"/>
          <w:sz w:val="22"/>
          <w:szCs w:val="22"/>
          <w:lang w:val="nl-NL"/>
        </w:rPr>
        <w:t xml:space="preserve">Sapir-Hen, L., Bar-Oz, G., Gadot, Y. and Finkelstein, I., 2013. </w:t>
      </w:r>
      <w:r>
        <w:rPr>
          <w:rFonts w:ascii="Aptos" w:eastAsia="Aptos" w:hAnsi="Aptos" w:cs="Aptos"/>
          <w:sz w:val="22"/>
          <w:szCs w:val="22"/>
        </w:rPr>
        <w:t xml:space="preserve">Pig Husbandry in Iron Age Israel and Judah: New Insights Regarding the Origin of the "Taboo". </w:t>
      </w:r>
      <w:r w:rsidRPr="00AA1101">
        <w:rPr>
          <w:rFonts w:ascii="Aptos" w:eastAsia="Aptos" w:hAnsi="Aptos" w:cs="Aptos"/>
          <w:i/>
          <w:iCs/>
          <w:sz w:val="22"/>
          <w:szCs w:val="22"/>
          <w:lang w:val="de-DE"/>
        </w:rPr>
        <w:t>Zeitschrift des Deutschen Palästina-Vereins (1953-)</w:t>
      </w:r>
      <w:r w:rsidRPr="00AA1101">
        <w:rPr>
          <w:rFonts w:ascii="Aptos" w:eastAsia="Aptos" w:hAnsi="Aptos" w:cs="Aptos"/>
          <w:sz w:val="22"/>
          <w:szCs w:val="22"/>
          <w:lang w:val="de-DE"/>
        </w:rPr>
        <w:t xml:space="preserve">, (H. 1), pp.1-20. </w:t>
      </w:r>
    </w:p>
    <w:p w14:paraId="763D9196" w14:textId="77777777" w:rsidR="001302EA" w:rsidRPr="00AA1101" w:rsidRDefault="00000000">
      <w:pPr>
        <w:spacing w:after="160" w:line="259" w:lineRule="auto"/>
        <w:rPr>
          <w:rFonts w:ascii="Aptos" w:hAnsi="Aptos"/>
          <w:sz w:val="22"/>
          <w:szCs w:val="22"/>
        </w:rPr>
      </w:pPr>
      <w:r w:rsidRPr="00AA1101">
        <w:rPr>
          <w:rFonts w:ascii="Aptos" w:eastAsia="Aptos" w:hAnsi="Aptos" w:cs="Aptos"/>
          <w:sz w:val="22"/>
          <w:szCs w:val="22"/>
          <w:lang w:val="de-DE"/>
        </w:rPr>
        <w:t xml:space="preserve">Shai, I., 2009. Understanding Philistine Migration: City Names and Their Implications. </w:t>
      </w:r>
      <w:r w:rsidRPr="00AA1101">
        <w:rPr>
          <w:rFonts w:ascii="Aptos" w:eastAsia="Aptos" w:hAnsi="Aptos" w:cs="Aptos"/>
          <w:i/>
          <w:iCs/>
          <w:sz w:val="22"/>
          <w:szCs w:val="22"/>
        </w:rPr>
        <w:t>Bulletin of the American Schools of Oriental Research</w:t>
      </w:r>
      <w:r w:rsidRPr="00AA1101">
        <w:rPr>
          <w:rFonts w:ascii="Aptos" w:eastAsia="Aptos" w:hAnsi="Aptos" w:cs="Aptos"/>
          <w:sz w:val="22"/>
          <w:szCs w:val="22"/>
        </w:rPr>
        <w:t xml:space="preserve">, </w:t>
      </w:r>
      <w:r w:rsidRPr="00AA1101">
        <w:rPr>
          <w:rFonts w:ascii="Aptos" w:eastAsia="Aptos" w:hAnsi="Aptos" w:cs="Aptos"/>
          <w:i/>
          <w:iCs/>
          <w:sz w:val="22"/>
          <w:szCs w:val="22"/>
        </w:rPr>
        <w:t>354</w:t>
      </w:r>
      <w:r w:rsidRPr="00AA1101">
        <w:rPr>
          <w:rFonts w:ascii="Aptos" w:eastAsia="Aptos" w:hAnsi="Aptos" w:cs="Aptos"/>
          <w:sz w:val="22"/>
          <w:szCs w:val="22"/>
        </w:rPr>
        <w:t>(1), pp.15-27.</w:t>
      </w:r>
    </w:p>
    <w:p w14:paraId="33071C9B" w14:textId="0CB5BB51" w:rsidR="001302EA" w:rsidRPr="00AA1101" w:rsidRDefault="00000000">
      <w:pPr>
        <w:spacing w:before="120" w:after="120"/>
        <w:rPr>
          <w:rFonts w:ascii="Aptos" w:hAnsi="Aptos"/>
          <w:sz w:val="22"/>
          <w:szCs w:val="22"/>
        </w:rPr>
      </w:pPr>
      <w:r w:rsidRPr="00AA1101">
        <w:rPr>
          <w:rFonts w:ascii="Aptos" w:hAnsi="Aptos"/>
          <w:sz w:val="22"/>
          <w:szCs w:val="22"/>
        </w:rPr>
        <w:t xml:space="preserve">Stager, Lawrence E. “The Fury of Babylon: Ashkelon and the Archaeology of Destruction.” Biblical Archaeology Review, Jan/Feb 1996, 56-59, 62-69, 76-77. </w:t>
      </w:r>
    </w:p>
    <w:p w14:paraId="32E13C8D" w14:textId="77777777" w:rsidR="001302EA" w:rsidRDefault="001302EA">
      <w:pPr>
        <w:spacing w:before="110" w:after="110" w:line="259" w:lineRule="auto"/>
        <w:rPr>
          <w:sz w:val="22"/>
          <w:szCs w:val="22"/>
        </w:rPr>
      </w:pPr>
    </w:p>
    <w:p w14:paraId="05DCC9B0" w14:textId="77777777" w:rsidR="001302EA" w:rsidRDefault="001302EA">
      <w:pPr>
        <w:spacing w:before="110" w:after="110" w:line="259" w:lineRule="auto"/>
        <w:rPr>
          <w:sz w:val="22"/>
          <w:szCs w:val="22"/>
        </w:rPr>
      </w:pPr>
    </w:p>
    <w:p w14:paraId="02321DF6" w14:textId="77777777" w:rsidR="001302EA" w:rsidRDefault="001302EA">
      <w:pPr>
        <w:spacing w:before="110" w:after="110" w:line="259" w:lineRule="auto"/>
        <w:rPr>
          <w:sz w:val="22"/>
          <w:szCs w:val="22"/>
        </w:rPr>
      </w:pPr>
    </w:p>
    <w:p w14:paraId="57B4229C" w14:textId="77777777" w:rsidR="001302EA" w:rsidRDefault="001302EA">
      <w:pPr>
        <w:spacing w:before="110" w:after="110" w:line="259" w:lineRule="auto"/>
        <w:rPr>
          <w:sz w:val="22"/>
          <w:szCs w:val="22"/>
        </w:rPr>
      </w:pPr>
    </w:p>
    <w:sectPr w:rsidR="001302EA">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D8039" w14:textId="77777777" w:rsidR="009943AE" w:rsidRDefault="009943AE" w:rsidP="009677C6">
      <w:r>
        <w:separator/>
      </w:r>
    </w:p>
  </w:endnote>
  <w:endnote w:type="continuationSeparator" w:id="0">
    <w:p w14:paraId="6DEEED34" w14:textId="77777777" w:rsidR="009943AE" w:rsidRDefault="009943AE" w:rsidP="0096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B6F49" w14:textId="77777777" w:rsidR="009943AE" w:rsidRDefault="009943AE" w:rsidP="009677C6">
      <w:r>
        <w:separator/>
      </w:r>
    </w:p>
  </w:footnote>
  <w:footnote w:type="continuationSeparator" w:id="0">
    <w:p w14:paraId="584202EE" w14:textId="77777777" w:rsidR="009943AE" w:rsidRDefault="009943AE" w:rsidP="009677C6">
      <w:r>
        <w:continuationSeparator/>
      </w:r>
    </w:p>
  </w:footnote>
  <w:footnote w:id="1">
    <w:p w14:paraId="3ED48C67" w14:textId="2FCC76DF" w:rsidR="00EA4E9A" w:rsidRPr="00EA4E9A" w:rsidRDefault="00EA4E9A">
      <w:pPr>
        <w:pStyle w:val="FootnoteText"/>
      </w:pPr>
      <w:r>
        <w:rPr>
          <w:rStyle w:val="FootnoteReference"/>
        </w:rPr>
        <w:footnoteRef/>
      </w:r>
      <w:r>
        <w:t xml:space="preserve"> Frumin et al, 2024</w:t>
      </w:r>
    </w:p>
  </w:footnote>
  <w:footnote w:id="2">
    <w:p w14:paraId="4D059DDB" w14:textId="40003C0B" w:rsidR="009677C6" w:rsidRPr="009677C6" w:rsidRDefault="009677C6">
      <w:pPr>
        <w:pStyle w:val="FootnoteText"/>
        <w:rPr>
          <w:lang w:val="en-GB"/>
        </w:rPr>
      </w:pPr>
      <w:r>
        <w:rPr>
          <w:rStyle w:val="FootnoteReference"/>
        </w:rPr>
        <w:footnoteRef/>
      </w:r>
      <w:r>
        <w:t xml:space="preserve"> </w:t>
      </w:r>
      <w:r>
        <w:rPr>
          <w:lang w:val="en-GB"/>
        </w:rPr>
        <w:t>Peri hules iatrikes in Greek or De Materia Medica in Latin (1</w:t>
      </w:r>
      <w:r w:rsidRPr="009677C6">
        <w:rPr>
          <w:vertAlign w:val="superscript"/>
          <w:lang w:val="en-GB"/>
        </w:rPr>
        <w:t>st</w:t>
      </w:r>
      <w:r>
        <w:rPr>
          <w:lang w:val="en-GB"/>
        </w:rPr>
        <w:t xml:space="preserve"> century CE) was never out of circulation.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2EA"/>
    <w:rsid w:val="001302EA"/>
    <w:rsid w:val="0017556F"/>
    <w:rsid w:val="00194943"/>
    <w:rsid w:val="00235462"/>
    <w:rsid w:val="00357E15"/>
    <w:rsid w:val="00395B20"/>
    <w:rsid w:val="00414118"/>
    <w:rsid w:val="00425BF5"/>
    <w:rsid w:val="0051251C"/>
    <w:rsid w:val="00773E53"/>
    <w:rsid w:val="0078627F"/>
    <w:rsid w:val="00842236"/>
    <w:rsid w:val="009677C6"/>
    <w:rsid w:val="009943AE"/>
    <w:rsid w:val="00AA1101"/>
    <w:rsid w:val="00AF5D15"/>
    <w:rsid w:val="00B80C59"/>
    <w:rsid w:val="00CD49C0"/>
    <w:rsid w:val="00CE5A56"/>
    <w:rsid w:val="00DE51BB"/>
    <w:rsid w:val="00E450CD"/>
    <w:rsid w:val="00E85970"/>
    <w:rsid w:val="00EA4E9A"/>
    <w:rsid w:val="00EA5DC5"/>
    <w:rsid w:val="00F80605"/>
    <w:rsid w:val="00F9725E"/>
    <w:rsid w:val="00FC3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F26B1"/>
  <w15:docId w15:val="{9334755F-A95D-467F-87A4-50ADA566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paragraph" w:styleId="Heading7">
    <w:name w:val="heading 7"/>
    <w:basedOn w:val="Normal"/>
    <w:next w:val="Normal"/>
    <w:link w:val="Heading7Char"/>
    <w:uiPriority w:val="9"/>
    <w:semiHidden/>
    <w:unhideWhenUsed/>
    <w:qFormat/>
    <w:rsid w:val="00773E53"/>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73E5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3E5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BookTitle">
    <w:name w:val="Book Title"/>
    <w:basedOn w:val="DefaultParagraphFont"/>
    <w:uiPriority w:val="33"/>
    <w:qFormat/>
    <w:rsid w:val="00773E53"/>
    <w:rPr>
      <w:b/>
      <w:bCs/>
      <w:i/>
      <w:iCs/>
      <w:spacing w:val="5"/>
    </w:rPr>
  </w:style>
  <w:style w:type="paragraph" w:styleId="Caption">
    <w:name w:val="caption"/>
    <w:basedOn w:val="Normal"/>
    <w:next w:val="Normal"/>
    <w:uiPriority w:val="35"/>
    <w:semiHidden/>
    <w:unhideWhenUsed/>
    <w:qFormat/>
    <w:rsid w:val="00773E53"/>
    <w:pPr>
      <w:spacing w:after="200"/>
    </w:pPr>
    <w:rPr>
      <w:i/>
      <w:iCs/>
      <w:color w:val="1F497D" w:themeColor="text2"/>
      <w:sz w:val="18"/>
      <w:szCs w:val="18"/>
    </w:rPr>
  </w:style>
  <w:style w:type="character" w:styleId="Emphasis">
    <w:name w:val="Emphasis"/>
    <w:basedOn w:val="DefaultParagraphFont"/>
    <w:uiPriority w:val="20"/>
    <w:qFormat/>
    <w:rsid w:val="00773E53"/>
    <w:rPr>
      <w:i/>
      <w:iCs/>
    </w:rPr>
  </w:style>
  <w:style w:type="character" w:customStyle="1" w:styleId="Heading7Char">
    <w:name w:val="Heading 7 Char"/>
    <w:basedOn w:val="DefaultParagraphFont"/>
    <w:link w:val="Heading7"/>
    <w:uiPriority w:val="9"/>
    <w:semiHidden/>
    <w:rsid w:val="00773E53"/>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uiPriority w:val="9"/>
    <w:semiHidden/>
    <w:rsid w:val="00773E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3E53"/>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773E53"/>
    <w:rPr>
      <w:i/>
      <w:iCs/>
      <w:color w:val="4F81BD" w:themeColor="accent1"/>
    </w:rPr>
  </w:style>
  <w:style w:type="paragraph" w:styleId="IntenseQuote">
    <w:name w:val="Intense Quote"/>
    <w:basedOn w:val="Normal"/>
    <w:next w:val="Normal"/>
    <w:link w:val="IntenseQuoteChar"/>
    <w:uiPriority w:val="30"/>
    <w:qFormat/>
    <w:rsid w:val="00773E5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73E53"/>
    <w:rPr>
      <w:i/>
      <w:iCs/>
      <w:color w:val="4F81BD" w:themeColor="accent1"/>
      <w:sz w:val="24"/>
      <w:szCs w:val="24"/>
    </w:rPr>
  </w:style>
  <w:style w:type="character" w:styleId="IntenseReference">
    <w:name w:val="Intense Reference"/>
    <w:basedOn w:val="DefaultParagraphFont"/>
    <w:uiPriority w:val="32"/>
    <w:qFormat/>
    <w:rsid w:val="00773E53"/>
    <w:rPr>
      <w:b/>
      <w:bCs/>
      <w:smallCaps/>
      <w:color w:val="4F81BD" w:themeColor="accent1"/>
      <w:spacing w:val="5"/>
    </w:rPr>
  </w:style>
  <w:style w:type="paragraph" w:styleId="ListParagraph">
    <w:name w:val="List Paragraph"/>
    <w:basedOn w:val="Normal"/>
    <w:uiPriority w:val="34"/>
    <w:qFormat/>
    <w:rsid w:val="00773E53"/>
    <w:pPr>
      <w:ind w:left="720"/>
      <w:contextualSpacing/>
    </w:pPr>
  </w:style>
  <w:style w:type="paragraph" w:styleId="NoSpacing">
    <w:name w:val="No Spacing"/>
    <w:uiPriority w:val="1"/>
    <w:qFormat/>
    <w:rsid w:val="00773E53"/>
    <w:rPr>
      <w:sz w:val="24"/>
      <w:szCs w:val="24"/>
    </w:rPr>
  </w:style>
  <w:style w:type="paragraph" w:styleId="Quote">
    <w:name w:val="Quote"/>
    <w:basedOn w:val="Normal"/>
    <w:next w:val="Normal"/>
    <w:link w:val="QuoteChar"/>
    <w:uiPriority w:val="29"/>
    <w:qFormat/>
    <w:rsid w:val="00773E5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73E53"/>
    <w:rPr>
      <w:i/>
      <w:iCs/>
      <w:color w:val="404040" w:themeColor="text1" w:themeTint="BF"/>
      <w:sz w:val="24"/>
      <w:szCs w:val="24"/>
    </w:rPr>
  </w:style>
  <w:style w:type="character" w:styleId="Strong">
    <w:name w:val="Strong"/>
    <w:basedOn w:val="DefaultParagraphFont"/>
    <w:uiPriority w:val="22"/>
    <w:qFormat/>
    <w:rsid w:val="00773E53"/>
    <w:rPr>
      <w:b/>
      <w:bCs/>
    </w:rPr>
  </w:style>
  <w:style w:type="paragraph" w:styleId="Subtitle">
    <w:name w:val="Subtitle"/>
    <w:basedOn w:val="Normal"/>
    <w:next w:val="Normal"/>
    <w:link w:val="SubtitleChar"/>
    <w:uiPriority w:val="11"/>
    <w:qFormat/>
    <w:rsid w:val="00773E5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3E53"/>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773E53"/>
    <w:rPr>
      <w:i/>
      <w:iCs/>
      <w:color w:val="404040" w:themeColor="text1" w:themeTint="BF"/>
    </w:rPr>
  </w:style>
  <w:style w:type="character" w:styleId="SubtleReference">
    <w:name w:val="Subtle Reference"/>
    <w:basedOn w:val="DefaultParagraphFont"/>
    <w:uiPriority w:val="31"/>
    <w:qFormat/>
    <w:rsid w:val="00773E53"/>
    <w:rPr>
      <w:smallCaps/>
      <w:color w:val="5A5A5A" w:themeColor="text1" w:themeTint="A5"/>
    </w:rPr>
  </w:style>
  <w:style w:type="paragraph" w:styleId="Title">
    <w:name w:val="Title"/>
    <w:basedOn w:val="Normal"/>
    <w:next w:val="Normal"/>
    <w:link w:val="TitleChar"/>
    <w:uiPriority w:val="10"/>
    <w:qFormat/>
    <w:rsid w:val="00773E5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E5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773E53"/>
    <w:pPr>
      <w:outlineLvl w:val="9"/>
    </w:pPr>
    <w:rPr>
      <w:rFonts w:asciiTheme="majorHAnsi" w:eastAsiaTheme="majorEastAsia" w:hAnsiTheme="majorHAnsi" w:cstheme="majorBidi"/>
      <w:b w:val="0"/>
      <w:bCs w:val="0"/>
      <w:color w:val="365F91" w:themeColor="accent1" w:themeShade="BF"/>
      <w:kern w:val="0"/>
      <w:sz w:val="32"/>
      <w:szCs w:val="32"/>
    </w:rPr>
  </w:style>
  <w:style w:type="character" w:styleId="Hyperlink">
    <w:name w:val="Hyperlink"/>
    <w:basedOn w:val="DefaultParagraphFont"/>
    <w:uiPriority w:val="99"/>
    <w:unhideWhenUsed/>
    <w:rsid w:val="00235462"/>
    <w:rPr>
      <w:color w:val="0000FF" w:themeColor="hyperlink"/>
      <w:u w:val="single"/>
    </w:rPr>
  </w:style>
  <w:style w:type="character" w:styleId="UnresolvedMention">
    <w:name w:val="Unresolved Mention"/>
    <w:basedOn w:val="DefaultParagraphFont"/>
    <w:uiPriority w:val="99"/>
    <w:semiHidden/>
    <w:unhideWhenUsed/>
    <w:rsid w:val="00235462"/>
    <w:rPr>
      <w:color w:val="605E5C"/>
      <w:shd w:val="clear" w:color="auto" w:fill="E1DFDD"/>
    </w:rPr>
  </w:style>
  <w:style w:type="paragraph" w:styleId="FootnoteText">
    <w:name w:val="footnote text"/>
    <w:basedOn w:val="Normal"/>
    <w:link w:val="FootnoteTextChar"/>
    <w:uiPriority w:val="99"/>
    <w:semiHidden/>
    <w:unhideWhenUsed/>
    <w:rsid w:val="009677C6"/>
    <w:rPr>
      <w:sz w:val="20"/>
      <w:szCs w:val="20"/>
    </w:rPr>
  </w:style>
  <w:style w:type="character" w:customStyle="1" w:styleId="FootnoteTextChar">
    <w:name w:val="Footnote Text Char"/>
    <w:basedOn w:val="DefaultParagraphFont"/>
    <w:link w:val="FootnoteText"/>
    <w:uiPriority w:val="99"/>
    <w:semiHidden/>
    <w:rsid w:val="009677C6"/>
  </w:style>
  <w:style w:type="character" w:styleId="FootnoteReference">
    <w:name w:val="footnote reference"/>
    <w:basedOn w:val="DefaultParagraphFont"/>
    <w:uiPriority w:val="99"/>
    <w:semiHidden/>
    <w:unhideWhenUsed/>
    <w:rsid w:val="009677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n.wikipedia.org/wiki/Special:BookSources/9780198755005" TargetMode="External"/><Relationship Id="rId13" Type="http://schemas.openxmlformats.org/officeDocument/2006/relationships/hyperlink" Target="https://books.google.com/books?id=wCRYl9Ikk6EC&amp;q=Gwilym+Jones+1+and+2+Samuel&amp;pg=PA196" TargetMode="External"/><Relationship Id="rId18" Type="http://schemas.openxmlformats.org/officeDocument/2006/relationships/hyperlink" Target="https://en.wikipedia.org/wiki/ISBN_(identifier)" TargetMode="External"/><Relationship Id="rId3" Type="http://schemas.openxmlformats.org/officeDocument/2006/relationships/settings" Target="settings.xml"/><Relationship Id="rId21" Type="http://schemas.openxmlformats.org/officeDocument/2006/relationships/hyperlink" Target="https://en.wikipedia.org/wiki/ISBN_(identifier)" TargetMode="External"/><Relationship Id="rId7" Type="http://schemas.openxmlformats.org/officeDocument/2006/relationships/hyperlink" Target="https://en.wikipedia.org/wiki/ISBN_(identifier)" TargetMode="External"/><Relationship Id="rId12" Type="http://schemas.openxmlformats.org/officeDocument/2006/relationships/hyperlink" Target="https://en.wikipedia.org/wiki/Books_of_Samuel" TargetMode="External"/><Relationship Id="rId17" Type="http://schemas.openxmlformats.org/officeDocument/2006/relationships/hyperlink" Target="https://books.google.com/books?id=SNLN1nEEys0C&amp;q=630+BCE&amp;pg=PA6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ipedia.org/wiki/Books_of_Samuel" TargetMode="External"/><Relationship Id="rId20" Type="http://schemas.openxmlformats.org/officeDocument/2006/relationships/hyperlink" Target="https://novoscriptorium.com/2019/02/15/the-aegean-mycenean-origin-of-the-philistin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org/doi/10.1126/sciadv.aax006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n.wikipedia.org/wiki/Special:BookSources/9780198755005" TargetMode="External"/><Relationship Id="rId23" Type="http://schemas.openxmlformats.org/officeDocument/2006/relationships/hyperlink" Target="https://biblearchaeology.org/research-articles/dagon-the-philistine-fish-god/" TargetMode="External"/><Relationship Id="rId10" Type="http://schemas.openxmlformats.org/officeDocument/2006/relationships/hyperlink" Target="https://housely.com/tracing-ancient-philistines-roots-genetic-clues/" TargetMode="External"/><Relationship Id="rId19" Type="http://schemas.openxmlformats.org/officeDocument/2006/relationships/hyperlink" Target="https://en.wikipedia.org/wiki/Special:BookSources/9780567292896" TargetMode="External"/><Relationship Id="rId4" Type="http://schemas.openxmlformats.org/officeDocument/2006/relationships/webSettings" Target="webSettings.xml"/><Relationship Id="rId9" Type="http://schemas.openxmlformats.org/officeDocument/2006/relationships/hyperlink" Target="http://femto.tau.ac.il/~oyd11/tau/ekron.html" TargetMode="External"/><Relationship Id="rId14" Type="http://schemas.openxmlformats.org/officeDocument/2006/relationships/hyperlink" Target="https://en.wikipedia.org/wiki/ISBN_(identifier)" TargetMode="External"/><Relationship Id="rId22" Type="http://schemas.openxmlformats.org/officeDocument/2006/relationships/hyperlink" Target="https://en.wikipedia.org/wiki/Special:BookSources/978-90-04-354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164E0-2667-4628-AA85-A63009B08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3042</Words>
  <Characters>17223</Characters>
  <Application>Microsoft Office Word</Application>
  <DocSecurity>0</DocSecurity>
  <Lines>253</Lines>
  <Paragraphs>86</Paragraphs>
  <ScaleCrop>false</ScaleCrop>
  <HeadingPairs>
    <vt:vector size="2" baseType="variant">
      <vt:variant>
        <vt:lpstr>Title</vt:lpstr>
      </vt:variant>
      <vt:variant>
        <vt:i4>1</vt:i4>
      </vt:variant>
    </vt:vector>
  </HeadingPairs>
  <TitlesOfParts>
    <vt:vector size="1" baseType="lpstr">
      <vt:lpstr>Philistine Identity and Origins</vt:lpstr>
    </vt:vector>
  </TitlesOfParts>
  <Company/>
  <LinksUpToDate>false</LinksUpToDate>
  <CharactersWithSpaces>20179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Philistine Identity and Origins</dc:title>
  <dc:creator>IAN FREER</dc:creator>
  <cp:lastModifiedBy>IAN FREER</cp:lastModifiedBy>
  <cp:revision>3</cp:revision>
  <dcterms:created xsi:type="dcterms:W3CDTF">2026-10-14T09:25:00Z</dcterms:created>
  <dcterms:modified xsi:type="dcterms:W3CDTF">2026-10-14T09:36:00Z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b599110a257e611d8e77bf42c692a3056fd231ec835b196cefa6f7a727ecdb2b</vt:lpwstr>
  </property>
</Properties>
</file>