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D7D8BB" w14:textId="77777777" w:rsidR="008025FD" w:rsidRDefault="008025FD" w:rsidP="000F06AA">
      <w:pPr>
        <w:spacing w:line="360" w:lineRule="auto"/>
        <w:jc w:val="both"/>
        <w:rPr>
          <w:rFonts w:ascii="Arial" w:eastAsia="Arial" w:hAnsi="Arial" w:cs="Arial"/>
          <w:b/>
          <w:bCs/>
          <w:sz w:val="40"/>
          <w:szCs w:val="40"/>
          <w:lang w:val="en-GB"/>
        </w:rPr>
      </w:pPr>
    </w:p>
    <w:p w14:paraId="62FA5EB5" w14:textId="3CA2EFD7" w:rsidR="008A6B62" w:rsidRPr="009E3198" w:rsidRDefault="74BD053C" w:rsidP="000F06AA">
      <w:pPr>
        <w:spacing w:line="360" w:lineRule="auto"/>
        <w:jc w:val="both"/>
        <w:rPr>
          <w:rFonts w:ascii="Arial" w:eastAsia="Arial" w:hAnsi="Arial" w:cs="Arial"/>
          <w:b/>
          <w:bCs/>
          <w:color w:val="5B9BD5" w:themeColor="accent1"/>
          <w:sz w:val="40"/>
          <w:szCs w:val="40"/>
          <w:lang w:val="en-GB"/>
        </w:rPr>
      </w:pPr>
      <w:r w:rsidRPr="009E3198">
        <w:rPr>
          <w:rFonts w:ascii="Arial" w:eastAsia="Arial" w:hAnsi="Arial" w:cs="Arial"/>
          <w:b/>
          <w:bCs/>
          <w:sz w:val="40"/>
          <w:szCs w:val="40"/>
          <w:lang w:val="en-GB"/>
        </w:rPr>
        <w:t xml:space="preserve">University of Wales Trinity Saint David </w:t>
      </w:r>
      <w:r w:rsidRPr="009E3198">
        <w:rPr>
          <w:rFonts w:ascii="Arial" w:eastAsia="Arial" w:hAnsi="Arial" w:cs="Arial"/>
          <w:b/>
          <w:bCs/>
          <w:color w:val="5B9BD5" w:themeColor="accent1"/>
          <w:sz w:val="40"/>
          <w:szCs w:val="40"/>
          <w:lang w:val="en-GB"/>
        </w:rPr>
        <w:t>(London)</w:t>
      </w:r>
    </w:p>
    <w:p w14:paraId="7F6E3873" w14:textId="203BC765"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 xml:space="preserve">Module: </w:t>
      </w:r>
      <w:r w:rsidR="006778F3" w:rsidRPr="009E3198">
        <w:rPr>
          <w:rFonts w:ascii="Arial" w:eastAsia="Arial" w:hAnsi="Arial" w:cs="Arial"/>
          <w:b/>
          <w:bCs/>
          <w:sz w:val="40"/>
          <w:szCs w:val="40"/>
          <w:lang w:val="en-GB"/>
        </w:rPr>
        <w:t xml:space="preserve">International </w:t>
      </w:r>
      <w:r w:rsidR="00361283">
        <w:rPr>
          <w:rFonts w:ascii="Arial" w:eastAsia="Arial" w:hAnsi="Arial" w:cs="Arial"/>
          <w:b/>
          <w:bCs/>
          <w:sz w:val="40"/>
          <w:szCs w:val="40"/>
          <w:lang w:val="en-GB"/>
        </w:rPr>
        <w:t>Business Communications</w:t>
      </w:r>
      <w:r w:rsidR="006778F3" w:rsidRPr="009E3198">
        <w:rPr>
          <w:rFonts w:ascii="Arial" w:eastAsia="Arial" w:hAnsi="Arial" w:cs="Arial"/>
          <w:b/>
          <w:bCs/>
          <w:sz w:val="40"/>
          <w:szCs w:val="40"/>
          <w:lang w:val="en-GB"/>
        </w:rPr>
        <w:t xml:space="preserve"> </w:t>
      </w:r>
    </w:p>
    <w:p w14:paraId="42788EA9" w14:textId="25279A86"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Module code</w:t>
      </w:r>
      <w:r w:rsidRPr="009E3198">
        <w:rPr>
          <w:rFonts w:ascii="Arial" w:eastAsia="Arial" w:hAnsi="Arial" w:cs="Arial"/>
          <w:b/>
          <w:bCs/>
          <w:color w:val="000000" w:themeColor="text1"/>
          <w:sz w:val="40"/>
          <w:szCs w:val="40"/>
          <w:lang w:val="en-GB"/>
        </w:rPr>
        <w:t>:</w:t>
      </w:r>
      <w:r w:rsidRPr="009E3198">
        <w:rPr>
          <w:rFonts w:ascii="Arial" w:eastAsia="Arial" w:hAnsi="Arial" w:cs="Arial"/>
          <w:b/>
          <w:bCs/>
          <w:color w:val="5B9BD5" w:themeColor="accent1"/>
          <w:sz w:val="40"/>
          <w:szCs w:val="40"/>
          <w:lang w:val="en-GB"/>
        </w:rPr>
        <w:t xml:space="preserve"> </w:t>
      </w:r>
      <w:r w:rsidR="00361283" w:rsidRPr="00361283">
        <w:rPr>
          <w:rFonts w:ascii="Arial" w:eastAsia="Arial" w:hAnsi="Arial" w:cs="Arial"/>
          <w:b/>
          <w:bCs/>
          <w:color w:val="5B9BD5" w:themeColor="accent1"/>
          <w:sz w:val="40"/>
          <w:szCs w:val="40"/>
          <w:lang w:val="en-GB"/>
        </w:rPr>
        <w:t>LCBB6001</w:t>
      </w:r>
    </w:p>
    <w:p w14:paraId="20E299C0" w14:textId="521BB825" w:rsidR="00E41561"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 xml:space="preserve">Lecturer: </w:t>
      </w:r>
      <w:r w:rsidR="00FB0F1E" w:rsidRPr="00FB0F1E">
        <w:rPr>
          <w:rFonts w:ascii="Arial" w:eastAsia="Arial" w:hAnsi="Arial" w:cs="Arial"/>
          <w:b/>
          <w:bCs/>
          <w:sz w:val="40"/>
          <w:szCs w:val="40"/>
          <w:lang w:val="en-GB"/>
        </w:rPr>
        <w:t>Charles</w:t>
      </w:r>
      <w:r w:rsidR="00FB0F1E">
        <w:rPr>
          <w:rFonts w:ascii="Arial" w:eastAsia="Arial" w:hAnsi="Arial" w:cs="Arial"/>
          <w:b/>
          <w:bCs/>
          <w:sz w:val="40"/>
          <w:szCs w:val="40"/>
          <w:lang w:val="en-GB"/>
        </w:rPr>
        <w:t xml:space="preserve"> </w:t>
      </w:r>
      <w:r w:rsidR="00FB0F1E" w:rsidRPr="00FB0F1E">
        <w:rPr>
          <w:rFonts w:ascii="Arial" w:eastAsia="Arial" w:hAnsi="Arial" w:cs="Arial"/>
          <w:b/>
          <w:bCs/>
          <w:sz w:val="40"/>
          <w:szCs w:val="40"/>
          <w:lang w:val="en-GB"/>
        </w:rPr>
        <w:t>Nwaogwugwu</w:t>
      </w:r>
    </w:p>
    <w:p w14:paraId="27DAF91C" w14:textId="41143B4F" w:rsidR="00BB536C" w:rsidRPr="009E3198" w:rsidRDefault="00BB536C"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Assignment Title:</w:t>
      </w:r>
      <w:r w:rsidR="00DC45C2" w:rsidRPr="009E3198">
        <w:rPr>
          <w:rFonts w:ascii="Arial" w:eastAsia="Arial" w:hAnsi="Arial" w:cs="Arial"/>
          <w:b/>
          <w:bCs/>
          <w:sz w:val="40"/>
          <w:szCs w:val="40"/>
          <w:lang w:val="en-GB"/>
        </w:rPr>
        <w:t xml:space="preserve"> </w:t>
      </w:r>
      <w:r w:rsidR="00A65C90" w:rsidRPr="009E3198">
        <w:rPr>
          <w:rFonts w:ascii="Arial" w:eastAsia="Arial" w:hAnsi="Arial" w:cs="Arial"/>
          <w:b/>
          <w:bCs/>
          <w:sz w:val="40"/>
          <w:szCs w:val="40"/>
          <w:lang w:val="en-GB"/>
        </w:rPr>
        <w:t xml:space="preserve"> - </w:t>
      </w:r>
      <w:r w:rsidR="00DC45C2" w:rsidRPr="009E3198">
        <w:rPr>
          <w:rFonts w:ascii="Arial" w:eastAsia="Arial" w:hAnsi="Arial" w:cs="Arial"/>
          <w:b/>
          <w:bCs/>
          <w:sz w:val="40"/>
          <w:szCs w:val="40"/>
          <w:lang w:val="en-GB"/>
        </w:rPr>
        <w:t xml:space="preserve">Assessment 1 </w:t>
      </w:r>
      <w:r w:rsidR="006778F3" w:rsidRPr="009E3198">
        <w:rPr>
          <w:rFonts w:ascii="Arial" w:eastAsia="Arial" w:hAnsi="Arial" w:cs="Arial"/>
          <w:b/>
          <w:bCs/>
          <w:color w:val="5B9BD5" w:themeColor="accent1"/>
          <w:sz w:val="40"/>
          <w:szCs w:val="40"/>
          <w:lang w:val="en-GB"/>
        </w:rPr>
        <w:t xml:space="preserve">Individual Essay </w:t>
      </w:r>
    </w:p>
    <w:p w14:paraId="520789C7" w14:textId="448C85E3" w:rsidR="00A87963" w:rsidRPr="009E3198" w:rsidRDefault="00A87963"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By:</w:t>
      </w:r>
      <w:r w:rsidR="00DC45C2" w:rsidRPr="009E3198">
        <w:rPr>
          <w:rFonts w:ascii="Arial" w:eastAsia="Arial" w:hAnsi="Arial" w:cs="Arial"/>
          <w:b/>
          <w:bCs/>
          <w:sz w:val="40"/>
          <w:szCs w:val="40"/>
          <w:lang w:val="en-GB"/>
        </w:rPr>
        <w:t xml:space="preserve"> Kristina D. Ralcheva</w:t>
      </w:r>
      <w:r w:rsidR="008025FD">
        <w:rPr>
          <w:rFonts w:ascii="Arial" w:eastAsia="Arial" w:hAnsi="Arial" w:cs="Arial"/>
          <w:b/>
          <w:bCs/>
          <w:sz w:val="40"/>
          <w:szCs w:val="40"/>
          <w:lang w:val="en-GB"/>
        </w:rPr>
        <w:t xml:space="preserve">- Business Management Student </w:t>
      </w:r>
    </w:p>
    <w:p w14:paraId="063D7987" w14:textId="330CFC79" w:rsidR="00A87963" w:rsidRDefault="008A6B62" w:rsidP="000F06AA">
      <w:pPr>
        <w:spacing w:line="360" w:lineRule="auto"/>
        <w:jc w:val="both"/>
        <w:rPr>
          <w:rFonts w:ascii="Arial" w:eastAsia="Arial" w:hAnsi="Arial" w:cs="Arial"/>
          <w:b/>
          <w:bCs/>
          <w:sz w:val="40"/>
          <w:szCs w:val="40"/>
          <w:lang w:val="en-GB"/>
        </w:rPr>
      </w:pPr>
      <w:r w:rsidRPr="009E3198">
        <w:rPr>
          <w:rFonts w:ascii="Arial" w:eastAsia="Arial" w:hAnsi="Arial" w:cs="Arial"/>
          <w:b/>
          <w:bCs/>
          <w:sz w:val="40"/>
          <w:szCs w:val="40"/>
          <w:lang w:val="en-GB"/>
        </w:rPr>
        <w:t>Date:</w:t>
      </w:r>
      <w:r w:rsidR="00DC45C2" w:rsidRPr="009E3198">
        <w:rPr>
          <w:rFonts w:ascii="Arial" w:eastAsia="Arial" w:hAnsi="Arial" w:cs="Arial"/>
          <w:b/>
          <w:bCs/>
          <w:sz w:val="40"/>
          <w:szCs w:val="40"/>
          <w:lang w:val="en-GB"/>
        </w:rPr>
        <w:t xml:space="preserve"> </w:t>
      </w:r>
      <w:r w:rsidR="006778F3" w:rsidRPr="009E3198">
        <w:rPr>
          <w:rFonts w:ascii="Arial" w:eastAsia="Arial" w:hAnsi="Arial" w:cs="Arial"/>
          <w:b/>
          <w:bCs/>
          <w:sz w:val="40"/>
          <w:szCs w:val="40"/>
          <w:lang w:val="en-GB"/>
        </w:rPr>
        <w:t>April</w:t>
      </w:r>
      <w:r w:rsidRPr="009E3198">
        <w:rPr>
          <w:rFonts w:ascii="Arial" w:eastAsia="Arial" w:hAnsi="Arial" w:cs="Arial"/>
          <w:b/>
          <w:bCs/>
          <w:sz w:val="40"/>
          <w:szCs w:val="40"/>
          <w:lang w:val="en-GB"/>
        </w:rPr>
        <w:t xml:space="preserve"> 202</w:t>
      </w:r>
      <w:r w:rsidR="006778F3" w:rsidRPr="009E3198">
        <w:rPr>
          <w:rFonts w:ascii="Arial" w:eastAsia="Arial" w:hAnsi="Arial" w:cs="Arial"/>
          <w:b/>
          <w:bCs/>
          <w:sz w:val="40"/>
          <w:szCs w:val="40"/>
          <w:lang w:val="en-GB"/>
        </w:rPr>
        <w:t>4</w:t>
      </w:r>
    </w:p>
    <w:p w14:paraId="143E8B65" w14:textId="3E766893" w:rsidR="00E051AD" w:rsidRDefault="00E051AD" w:rsidP="000F06AA">
      <w:pPr>
        <w:spacing w:line="360" w:lineRule="auto"/>
        <w:jc w:val="both"/>
        <w:rPr>
          <w:rFonts w:ascii="Arial" w:eastAsia="Arial" w:hAnsi="Arial" w:cs="Arial"/>
          <w:b/>
          <w:bCs/>
          <w:sz w:val="40"/>
          <w:szCs w:val="40"/>
          <w:lang w:val="en-GB"/>
        </w:rPr>
      </w:pPr>
    </w:p>
    <w:p w14:paraId="5F96A2CC" w14:textId="30F04C52" w:rsidR="00E051AD" w:rsidRDefault="00E051AD" w:rsidP="000F06AA">
      <w:pPr>
        <w:spacing w:line="360" w:lineRule="auto"/>
        <w:jc w:val="both"/>
        <w:rPr>
          <w:rFonts w:ascii="Arial" w:eastAsia="Arial" w:hAnsi="Arial" w:cs="Arial"/>
          <w:b/>
          <w:bCs/>
          <w:sz w:val="40"/>
          <w:szCs w:val="40"/>
          <w:lang w:val="en-GB"/>
        </w:rPr>
      </w:pPr>
    </w:p>
    <w:p w14:paraId="0DACA1F6" w14:textId="77777777" w:rsidR="00E051AD" w:rsidRPr="009E3198" w:rsidRDefault="00E051AD" w:rsidP="000F06AA">
      <w:pPr>
        <w:spacing w:line="360" w:lineRule="auto"/>
        <w:jc w:val="both"/>
        <w:rPr>
          <w:rFonts w:ascii="Arial" w:eastAsia="Arial" w:hAnsi="Arial" w:cs="Arial"/>
          <w:b/>
          <w:bCs/>
          <w:sz w:val="40"/>
          <w:szCs w:val="40"/>
          <w:lang w:val="en-GB"/>
        </w:rPr>
      </w:pPr>
    </w:p>
    <w:p w14:paraId="32A83DC5" w14:textId="2A2E48CE" w:rsidR="00DC45C2" w:rsidRDefault="00E051AD" w:rsidP="00E051AD">
      <w:pPr>
        <w:spacing w:line="360" w:lineRule="auto"/>
        <w:jc w:val="center"/>
        <w:rPr>
          <w:rFonts w:ascii="Arial" w:eastAsia="Arial" w:hAnsi="Arial" w:cs="Arial"/>
          <w:b/>
          <w:bCs/>
          <w:szCs w:val="24"/>
          <w:lang w:val="en-GB"/>
        </w:rPr>
      </w:pPr>
      <w:r>
        <w:rPr>
          <w:noProof/>
        </w:rPr>
        <w:drawing>
          <wp:inline distT="0" distB="0" distL="0" distR="0" wp14:anchorId="627E97AD" wp14:editId="2D8DA7D5">
            <wp:extent cx="925286" cy="925286"/>
            <wp:effectExtent l="0" t="0" r="8255" b="8255"/>
            <wp:docPr id="9" name="Picture 8" descr="A black and yellow shield with yellow and blue leaves&#10;&#10;Description automatically generated">
              <a:extLst xmlns:a="http://schemas.openxmlformats.org/drawingml/2006/main">
                <a:ext uri="{FF2B5EF4-FFF2-40B4-BE49-F238E27FC236}">
                  <a16:creationId xmlns:a16="http://schemas.microsoft.com/office/drawing/2014/main" id="{8EAE9BFA-5BB4-4128-B02B-B3E755D362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black and yellow shield with yellow and blue leaves&#10;&#10;Description automatically generated">
                      <a:extLst>
                        <a:ext uri="{FF2B5EF4-FFF2-40B4-BE49-F238E27FC236}">
                          <a16:creationId xmlns:a16="http://schemas.microsoft.com/office/drawing/2014/main" id="{8EAE9BFA-5BB4-4128-B02B-B3E755D3626A}"/>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25286" cy="925286"/>
                    </a:xfrm>
                    <a:prstGeom prst="rect">
                      <a:avLst/>
                    </a:prstGeom>
                  </pic:spPr>
                </pic:pic>
              </a:graphicData>
            </a:graphic>
          </wp:inline>
        </w:drawing>
      </w:r>
    </w:p>
    <w:p w14:paraId="0A621989" w14:textId="707A4035" w:rsidR="006C16B0" w:rsidRDefault="006C16B0" w:rsidP="000F06AA">
      <w:pPr>
        <w:spacing w:line="360" w:lineRule="auto"/>
        <w:jc w:val="both"/>
        <w:rPr>
          <w:rFonts w:ascii="Arial" w:eastAsia="Arial" w:hAnsi="Arial" w:cs="Arial"/>
          <w:szCs w:val="24"/>
          <w:lang w:val="en-GB"/>
        </w:rPr>
      </w:pPr>
    </w:p>
    <w:p w14:paraId="1CFE2E3D" w14:textId="77777777" w:rsidR="006C16B0" w:rsidRPr="000F06AA" w:rsidRDefault="006C16B0" w:rsidP="000F06AA">
      <w:pPr>
        <w:spacing w:line="360" w:lineRule="auto"/>
        <w:jc w:val="both"/>
        <w:rPr>
          <w:rFonts w:ascii="Arial" w:eastAsia="Arial" w:hAnsi="Arial" w:cs="Arial"/>
          <w:szCs w:val="24"/>
          <w:lang w:val="en-GB"/>
        </w:rPr>
      </w:pPr>
    </w:p>
    <w:p w14:paraId="334BD92A" w14:textId="3DD17444" w:rsidR="00B9003A" w:rsidRDefault="00B9003A" w:rsidP="00B9003A">
      <w:pPr>
        <w:spacing w:line="360" w:lineRule="auto"/>
        <w:rPr>
          <w:rFonts w:ascii="Arial" w:eastAsiaTheme="majorEastAsia" w:hAnsi="Arial" w:cs="Arial"/>
          <w:sz w:val="22"/>
        </w:rPr>
      </w:pPr>
      <w:r w:rsidRPr="001B27A2">
        <w:rPr>
          <w:rFonts w:ascii="Arial" w:eastAsiaTheme="majorEastAsia" w:hAnsi="Arial" w:cs="Arial"/>
          <w:sz w:val="22"/>
        </w:rPr>
        <w:t>Table of Contents</w:t>
      </w:r>
      <w:r w:rsidR="001B27A2" w:rsidRPr="001B27A2">
        <w:rPr>
          <w:rFonts w:ascii="Arial" w:eastAsiaTheme="majorEastAsia" w:hAnsi="Arial" w:cs="Arial"/>
          <w:sz w:val="22"/>
        </w:rPr>
        <w:t>.</w:t>
      </w:r>
    </w:p>
    <w:p w14:paraId="786BF225" w14:textId="30E7AA87" w:rsidR="00DB3D07" w:rsidRPr="00DB3D07" w:rsidRDefault="00DB3D07" w:rsidP="00DB3D07">
      <w:pPr>
        <w:pStyle w:val="ListParagraph"/>
        <w:numPr>
          <w:ilvl w:val="0"/>
          <w:numId w:val="17"/>
        </w:numPr>
        <w:spacing w:line="360" w:lineRule="auto"/>
        <w:rPr>
          <w:rFonts w:ascii="Arial" w:eastAsiaTheme="majorEastAsia" w:hAnsi="Arial" w:cs="Arial"/>
          <w:sz w:val="22"/>
        </w:rPr>
      </w:pPr>
      <w:r w:rsidRPr="00DB3D07">
        <w:rPr>
          <w:rFonts w:ascii="Arial" w:eastAsiaTheme="majorEastAsia" w:hAnsi="Arial" w:cs="Arial"/>
          <w:sz w:val="22"/>
        </w:rPr>
        <w:t>Introduction</w:t>
      </w:r>
    </w:p>
    <w:p w14:paraId="6E8E79A6" w14:textId="09FE88FE" w:rsidR="00DB3D07" w:rsidRPr="00DB3D07" w:rsidRDefault="00DB3D07" w:rsidP="00DB3D07">
      <w:pPr>
        <w:pStyle w:val="ListParagraph"/>
        <w:numPr>
          <w:ilvl w:val="0"/>
          <w:numId w:val="17"/>
        </w:numPr>
        <w:spacing w:line="360" w:lineRule="auto"/>
        <w:rPr>
          <w:rFonts w:ascii="Arial" w:eastAsiaTheme="majorEastAsia" w:hAnsi="Arial" w:cs="Arial"/>
          <w:sz w:val="22"/>
        </w:rPr>
      </w:pPr>
      <w:r w:rsidRPr="00DB3D07">
        <w:rPr>
          <w:rFonts w:ascii="Arial" w:eastAsiaTheme="majorEastAsia" w:hAnsi="Arial" w:cs="Arial"/>
          <w:sz w:val="22"/>
        </w:rPr>
        <w:t>Main Body</w:t>
      </w:r>
    </w:p>
    <w:p w14:paraId="58B40C3C" w14:textId="02074C20" w:rsidR="00DB3D07" w:rsidRPr="00843FBD" w:rsidRDefault="00DB3D07" w:rsidP="00843FBD">
      <w:pPr>
        <w:pStyle w:val="ListParagraph"/>
        <w:numPr>
          <w:ilvl w:val="1"/>
          <w:numId w:val="17"/>
        </w:numPr>
        <w:spacing w:line="360" w:lineRule="auto"/>
        <w:rPr>
          <w:rFonts w:ascii="Arial" w:eastAsiaTheme="majorEastAsia" w:hAnsi="Arial" w:cs="Arial"/>
          <w:sz w:val="22"/>
        </w:rPr>
      </w:pPr>
      <w:r w:rsidRPr="00843FBD">
        <w:rPr>
          <w:rFonts w:ascii="Arial" w:eastAsiaTheme="majorEastAsia" w:hAnsi="Arial" w:cs="Arial"/>
          <w:sz w:val="22"/>
        </w:rPr>
        <w:t>United Kingdom (UK)</w:t>
      </w:r>
    </w:p>
    <w:p w14:paraId="0E463F7A" w14:textId="77777777" w:rsidR="00DB3D07" w:rsidRP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Country Overview</w:t>
      </w:r>
    </w:p>
    <w:p w14:paraId="37FDF174" w14:textId="77777777" w:rsidR="00DB3D07" w:rsidRP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Communication Barriers</w:t>
      </w:r>
    </w:p>
    <w:p w14:paraId="2424C995" w14:textId="5B20E925" w:rsidR="00DB3D07" w:rsidRPr="00DB3D07" w:rsidRDefault="00843FBD" w:rsidP="00DB3D07">
      <w:pPr>
        <w:spacing w:line="360" w:lineRule="auto"/>
        <w:rPr>
          <w:rFonts w:ascii="Arial" w:eastAsiaTheme="majorEastAsia" w:hAnsi="Arial" w:cs="Arial"/>
          <w:sz w:val="22"/>
        </w:rPr>
      </w:pPr>
      <w:r>
        <w:rPr>
          <w:rFonts w:ascii="Arial" w:eastAsiaTheme="majorEastAsia" w:hAnsi="Arial" w:cs="Arial"/>
          <w:sz w:val="22"/>
        </w:rPr>
        <w:t xml:space="preserve">     2.2 </w:t>
      </w:r>
      <w:r w:rsidR="00DB3D07" w:rsidRPr="00DB3D07">
        <w:rPr>
          <w:rFonts w:ascii="Arial" w:eastAsiaTheme="majorEastAsia" w:hAnsi="Arial" w:cs="Arial"/>
          <w:sz w:val="22"/>
        </w:rPr>
        <w:t>Slovakia</w:t>
      </w:r>
    </w:p>
    <w:p w14:paraId="325615D2" w14:textId="77777777" w:rsidR="00DB3D07" w:rsidRP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Country Overview</w:t>
      </w:r>
    </w:p>
    <w:p w14:paraId="2B8FF813" w14:textId="77777777" w:rsidR="00DB3D07" w:rsidRP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Communication Barriers</w:t>
      </w:r>
    </w:p>
    <w:p w14:paraId="4D2CC220" w14:textId="19A3B584" w:rsidR="00DB3D07" w:rsidRPr="00DB3D07" w:rsidRDefault="00843FBD" w:rsidP="00DB3D07">
      <w:pPr>
        <w:spacing w:line="360" w:lineRule="auto"/>
        <w:rPr>
          <w:rFonts w:ascii="Arial" w:eastAsiaTheme="majorEastAsia" w:hAnsi="Arial" w:cs="Arial"/>
          <w:sz w:val="22"/>
        </w:rPr>
      </w:pPr>
      <w:r>
        <w:rPr>
          <w:rFonts w:ascii="Arial" w:eastAsiaTheme="majorEastAsia" w:hAnsi="Arial" w:cs="Arial"/>
          <w:sz w:val="22"/>
        </w:rPr>
        <w:t xml:space="preserve">   2.3 </w:t>
      </w:r>
      <w:r w:rsidR="00135B24">
        <w:rPr>
          <w:rFonts w:ascii="Arial" w:eastAsiaTheme="majorEastAsia" w:hAnsi="Arial" w:cs="Arial"/>
          <w:sz w:val="22"/>
        </w:rPr>
        <w:t>Austria</w:t>
      </w:r>
    </w:p>
    <w:p w14:paraId="49201B91" w14:textId="77777777" w:rsidR="00DB3D07" w:rsidRP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Country Overview</w:t>
      </w:r>
    </w:p>
    <w:p w14:paraId="6FCE70A0" w14:textId="6069B538" w:rsid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Communication Barriers</w:t>
      </w:r>
    </w:p>
    <w:p w14:paraId="525A0D0B" w14:textId="7AEDD63C" w:rsidR="00D830AC" w:rsidRPr="00DB3D07" w:rsidRDefault="00D830AC" w:rsidP="00DB3D07">
      <w:pPr>
        <w:spacing w:line="360" w:lineRule="auto"/>
        <w:rPr>
          <w:rFonts w:ascii="Arial" w:eastAsiaTheme="majorEastAsia" w:hAnsi="Arial" w:cs="Arial"/>
          <w:sz w:val="22"/>
        </w:rPr>
      </w:pPr>
      <w:r>
        <w:rPr>
          <w:rFonts w:ascii="Arial" w:eastAsiaTheme="majorEastAsia" w:hAnsi="Arial" w:cs="Arial"/>
          <w:sz w:val="22"/>
        </w:rPr>
        <w:t>Hofstede’s Tool</w:t>
      </w:r>
    </w:p>
    <w:p w14:paraId="5DC399FE" w14:textId="77777777" w:rsidR="00DB3D07" w:rsidRPr="00DB3D07" w:rsidRDefault="00DB3D07" w:rsidP="00DB3D07">
      <w:pPr>
        <w:spacing w:line="360" w:lineRule="auto"/>
        <w:rPr>
          <w:rFonts w:ascii="Arial" w:eastAsiaTheme="majorEastAsia" w:hAnsi="Arial" w:cs="Arial"/>
          <w:sz w:val="22"/>
        </w:rPr>
      </w:pPr>
      <w:r w:rsidRPr="00DB3D07">
        <w:rPr>
          <w:rFonts w:ascii="Arial" w:eastAsiaTheme="majorEastAsia" w:hAnsi="Arial" w:cs="Arial"/>
          <w:sz w:val="22"/>
        </w:rPr>
        <w:t>Recommendations and Strategies for Overcoming Communication Barriers</w:t>
      </w:r>
    </w:p>
    <w:p w14:paraId="33F78675" w14:textId="36B6BA34" w:rsidR="00DB3D07" w:rsidRPr="00DB3D07" w:rsidRDefault="00DB3D07" w:rsidP="00DB3D07">
      <w:pPr>
        <w:pStyle w:val="ListParagraph"/>
        <w:numPr>
          <w:ilvl w:val="0"/>
          <w:numId w:val="17"/>
        </w:numPr>
        <w:spacing w:line="360" w:lineRule="auto"/>
        <w:rPr>
          <w:rFonts w:ascii="Arial" w:eastAsiaTheme="majorEastAsia" w:hAnsi="Arial" w:cs="Arial"/>
          <w:sz w:val="22"/>
        </w:rPr>
      </w:pPr>
      <w:r w:rsidRPr="00DB3D07">
        <w:rPr>
          <w:rFonts w:ascii="Arial" w:eastAsiaTheme="majorEastAsia" w:hAnsi="Arial" w:cs="Arial"/>
          <w:sz w:val="22"/>
        </w:rPr>
        <w:t>Conclusion</w:t>
      </w:r>
    </w:p>
    <w:p w14:paraId="27663849" w14:textId="268543EE" w:rsidR="00DB3D07" w:rsidRPr="00DB3D07" w:rsidRDefault="00DB3D07" w:rsidP="00DB3D07">
      <w:pPr>
        <w:pStyle w:val="ListParagraph"/>
        <w:numPr>
          <w:ilvl w:val="0"/>
          <w:numId w:val="17"/>
        </w:numPr>
        <w:spacing w:line="360" w:lineRule="auto"/>
        <w:rPr>
          <w:rFonts w:ascii="Arial" w:eastAsiaTheme="majorEastAsia" w:hAnsi="Arial" w:cs="Arial"/>
          <w:sz w:val="22"/>
        </w:rPr>
      </w:pPr>
      <w:r w:rsidRPr="00DB3D07">
        <w:rPr>
          <w:rFonts w:ascii="Arial" w:eastAsiaTheme="majorEastAsia" w:hAnsi="Arial" w:cs="Arial"/>
          <w:sz w:val="22"/>
        </w:rPr>
        <w:t>References</w:t>
      </w:r>
    </w:p>
    <w:p w14:paraId="4B4EE2AB" w14:textId="2C5A8769" w:rsidR="007500F9" w:rsidRDefault="007500F9" w:rsidP="00B9003A">
      <w:pPr>
        <w:spacing w:line="360" w:lineRule="auto"/>
        <w:rPr>
          <w:rFonts w:ascii="Arial" w:eastAsiaTheme="majorEastAsia" w:hAnsi="Arial" w:cs="Arial"/>
          <w:sz w:val="22"/>
        </w:rPr>
      </w:pPr>
    </w:p>
    <w:p w14:paraId="28099BAA" w14:textId="13A59E67" w:rsidR="007500F9" w:rsidRDefault="007500F9" w:rsidP="00B9003A">
      <w:pPr>
        <w:spacing w:line="360" w:lineRule="auto"/>
        <w:rPr>
          <w:rFonts w:ascii="Arial" w:eastAsiaTheme="majorEastAsia" w:hAnsi="Arial" w:cs="Arial"/>
          <w:sz w:val="22"/>
        </w:rPr>
      </w:pPr>
    </w:p>
    <w:p w14:paraId="53BAA07F" w14:textId="39AC0220" w:rsidR="007500F9" w:rsidRDefault="007500F9" w:rsidP="00B9003A">
      <w:pPr>
        <w:spacing w:line="360" w:lineRule="auto"/>
        <w:rPr>
          <w:rFonts w:ascii="Arial" w:eastAsiaTheme="majorEastAsia" w:hAnsi="Arial" w:cs="Arial"/>
          <w:sz w:val="22"/>
        </w:rPr>
      </w:pPr>
    </w:p>
    <w:p w14:paraId="5F483C98" w14:textId="1140BDCD" w:rsidR="0076697C" w:rsidRDefault="0076697C" w:rsidP="00B9003A">
      <w:pPr>
        <w:spacing w:line="360" w:lineRule="auto"/>
        <w:rPr>
          <w:rFonts w:ascii="Arial" w:eastAsiaTheme="majorEastAsia" w:hAnsi="Arial" w:cs="Arial"/>
          <w:b/>
          <w:bCs/>
          <w:color w:val="4472C4" w:themeColor="accent5"/>
          <w:sz w:val="22"/>
        </w:rPr>
      </w:pPr>
    </w:p>
    <w:p w14:paraId="7BBE1AA4" w14:textId="4710F61F" w:rsidR="00D830AC" w:rsidRDefault="00D830AC" w:rsidP="00B9003A">
      <w:pPr>
        <w:spacing w:line="360" w:lineRule="auto"/>
        <w:rPr>
          <w:rFonts w:ascii="Arial" w:eastAsiaTheme="majorEastAsia" w:hAnsi="Arial" w:cs="Arial"/>
          <w:b/>
          <w:bCs/>
          <w:color w:val="4472C4" w:themeColor="accent5"/>
          <w:sz w:val="22"/>
        </w:rPr>
      </w:pPr>
    </w:p>
    <w:p w14:paraId="70BED681" w14:textId="64380B7F" w:rsidR="00D830AC" w:rsidRDefault="00D830AC" w:rsidP="00B9003A">
      <w:pPr>
        <w:spacing w:line="360" w:lineRule="auto"/>
        <w:rPr>
          <w:rFonts w:ascii="Arial" w:eastAsiaTheme="majorEastAsia" w:hAnsi="Arial" w:cs="Arial"/>
          <w:b/>
          <w:bCs/>
          <w:color w:val="4472C4" w:themeColor="accent5"/>
          <w:sz w:val="22"/>
        </w:rPr>
      </w:pPr>
    </w:p>
    <w:p w14:paraId="551DF20F" w14:textId="78DC0B01" w:rsidR="00D830AC" w:rsidRDefault="00D830AC" w:rsidP="00B9003A">
      <w:pPr>
        <w:spacing w:line="360" w:lineRule="auto"/>
        <w:rPr>
          <w:rFonts w:ascii="Arial" w:eastAsiaTheme="majorEastAsia" w:hAnsi="Arial" w:cs="Arial"/>
          <w:b/>
          <w:bCs/>
          <w:color w:val="4472C4" w:themeColor="accent5"/>
          <w:sz w:val="22"/>
        </w:rPr>
      </w:pPr>
    </w:p>
    <w:p w14:paraId="16C040CE" w14:textId="77777777" w:rsidR="00D830AC" w:rsidRPr="006F469F" w:rsidRDefault="00D830AC" w:rsidP="00B9003A">
      <w:pPr>
        <w:spacing w:line="360" w:lineRule="auto"/>
        <w:rPr>
          <w:rFonts w:ascii="Arial" w:eastAsiaTheme="majorEastAsia" w:hAnsi="Arial" w:cs="Arial"/>
          <w:b/>
          <w:bCs/>
          <w:color w:val="4472C4" w:themeColor="accent5"/>
          <w:sz w:val="22"/>
        </w:rPr>
      </w:pPr>
    </w:p>
    <w:p w14:paraId="33E1226F" w14:textId="25CB2276" w:rsidR="005049E5" w:rsidRPr="005049E5" w:rsidRDefault="001B27A2" w:rsidP="005049E5">
      <w:pPr>
        <w:spacing w:line="360" w:lineRule="auto"/>
        <w:rPr>
          <w:rFonts w:ascii="Arial" w:eastAsiaTheme="majorEastAsia" w:hAnsi="Arial" w:cs="Arial"/>
          <w:b/>
          <w:bCs/>
          <w:color w:val="4472C4" w:themeColor="accent5"/>
          <w:sz w:val="22"/>
        </w:rPr>
      </w:pPr>
      <w:r w:rsidRPr="006F469F">
        <w:rPr>
          <w:rFonts w:ascii="Arial" w:eastAsiaTheme="majorEastAsia" w:hAnsi="Arial" w:cs="Arial"/>
          <w:b/>
          <w:bCs/>
          <w:color w:val="4472C4" w:themeColor="accent5"/>
          <w:sz w:val="22"/>
        </w:rPr>
        <w:lastRenderedPageBreak/>
        <w:t xml:space="preserve">Introduction. </w:t>
      </w:r>
    </w:p>
    <w:p w14:paraId="7D8AE6A1" w14:textId="0D9BA51C" w:rsidR="005049E5" w:rsidRDefault="00017B38" w:rsidP="005049E5">
      <w:pPr>
        <w:spacing w:line="360" w:lineRule="auto"/>
        <w:rPr>
          <w:rFonts w:ascii="Arial" w:hAnsi="Arial" w:cs="Arial"/>
          <w:color w:val="000000" w:themeColor="text1"/>
          <w:szCs w:val="24"/>
          <w:lang w:val="en-GB"/>
        </w:rPr>
      </w:pPr>
      <w:r w:rsidRPr="00017B38">
        <w:rPr>
          <w:rFonts w:ascii="Arial" w:hAnsi="Arial" w:cs="Arial"/>
          <w:color w:val="000000" w:themeColor="text1"/>
          <w:szCs w:val="24"/>
          <w:lang w:val="en-GB"/>
        </w:rPr>
        <w:t xml:space="preserve">This article examines the potential growth opportunities of the well-established British multinational Rolls-Royce in the European Union (EU) market. It focuses on Great Britain, </w:t>
      </w:r>
      <w:r w:rsidRPr="00017B38">
        <w:rPr>
          <w:rFonts w:ascii="Arial" w:hAnsi="Arial" w:cs="Arial"/>
          <w:color w:val="000000" w:themeColor="text1"/>
          <w:szCs w:val="24"/>
          <w:lang w:val="en-GB"/>
        </w:rPr>
        <w:t>Slovakia,</w:t>
      </w:r>
      <w:r w:rsidRPr="00017B38">
        <w:rPr>
          <w:rFonts w:ascii="Arial" w:hAnsi="Arial" w:cs="Arial"/>
          <w:color w:val="000000" w:themeColor="text1"/>
          <w:szCs w:val="24"/>
          <w:lang w:val="en-GB"/>
        </w:rPr>
        <w:t xml:space="preserve"> and Austria. As Rolls-Royce enters the European Union market, a thorough understanding of the complexities of global corporate communications is critical. Understanding this information is critical to effectively addressing cultural issues and driving business growth. Rolls-Royce has built a global reputation for exceptional technical expertise, commitment to innovation and significant global influence. (The Economist Intelligence Unit, 2024). The company is a dominant force in the defense and aircraft industry, specializing in aircraft engines, power systems and combat capabilities, among other things. </w:t>
      </w:r>
      <w:r w:rsidR="004E7C24" w:rsidRPr="004E7C24">
        <w:rPr>
          <w:rFonts w:ascii="Arial" w:hAnsi="Arial" w:cs="Arial"/>
          <w:color w:val="000000" w:themeColor="text1"/>
          <w:szCs w:val="24"/>
          <w:lang w:val="en-GB"/>
        </w:rPr>
        <w:t xml:space="preserve">Known for its strong infrastructure, highly skilled workforce and </w:t>
      </w:r>
      <w:r w:rsidR="004E7C24" w:rsidRPr="004E7C24">
        <w:rPr>
          <w:rFonts w:ascii="Arial" w:hAnsi="Arial" w:cs="Arial"/>
          <w:color w:val="000000" w:themeColor="text1"/>
          <w:szCs w:val="24"/>
          <w:lang w:val="en-GB"/>
        </w:rPr>
        <w:t>favourable</w:t>
      </w:r>
      <w:r w:rsidR="004E7C24" w:rsidRPr="004E7C24">
        <w:rPr>
          <w:rFonts w:ascii="Arial" w:hAnsi="Arial" w:cs="Arial"/>
          <w:color w:val="000000" w:themeColor="text1"/>
          <w:szCs w:val="24"/>
          <w:lang w:val="en-GB"/>
        </w:rPr>
        <w:t xml:space="preserve"> business environment, the UK offers attractive opportunities for growth. But the uncertainty of Brexit highlights the importance of long-term planning. However, Slovakia and Austria have unique economic environments and cultural characteristics. Slovakia has a strong economy and a skilled workforce. However, it is important to assess structural constraints and cultural differences within a country. Despite challenges such as multilingualism and the legal framework, Austria's stable environment, strong technological innovation and </w:t>
      </w:r>
      <w:r w:rsidR="004E7C24" w:rsidRPr="004E7C24">
        <w:rPr>
          <w:rFonts w:ascii="Arial" w:hAnsi="Arial" w:cs="Arial"/>
          <w:color w:val="000000" w:themeColor="text1"/>
          <w:szCs w:val="24"/>
          <w:lang w:val="en-GB"/>
        </w:rPr>
        <w:t>favourable</w:t>
      </w:r>
      <w:r w:rsidR="004E7C24" w:rsidRPr="004E7C24">
        <w:rPr>
          <w:rFonts w:ascii="Arial" w:hAnsi="Arial" w:cs="Arial"/>
          <w:color w:val="000000" w:themeColor="text1"/>
          <w:szCs w:val="24"/>
          <w:lang w:val="en-GB"/>
        </w:rPr>
        <w:t xml:space="preserve"> business climate make it an attractive place for development. </w:t>
      </w:r>
      <w:r w:rsidR="00250165">
        <w:rPr>
          <w:rFonts w:ascii="Arial" w:hAnsi="Arial" w:cs="Arial"/>
          <w:color w:val="000000" w:themeColor="text1"/>
          <w:szCs w:val="24"/>
          <w:lang w:val="en-GB"/>
        </w:rPr>
        <w:t xml:space="preserve">As Deresky claims in his work (2013) that there are many cultural aspects that Rolls Royce can face. For instance, the Hofstede’s model will explain the 6 different dimension and the cultural differences. </w:t>
      </w:r>
    </w:p>
    <w:p w14:paraId="308E8181" w14:textId="0802CECF" w:rsidR="005049E5" w:rsidRDefault="005049E5" w:rsidP="005049E5">
      <w:pPr>
        <w:spacing w:line="360" w:lineRule="auto"/>
        <w:rPr>
          <w:rFonts w:ascii="Arial" w:hAnsi="Arial" w:cs="Arial"/>
          <w:color w:val="000000" w:themeColor="text1"/>
          <w:szCs w:val="24"/>
          <w:lang w:val="en-GB"/>
        </w:rPr>
      </w:pPr>
    </w:p>
    <w:p w14:paraId="6EC49664" w14:textId="06CA6734" w:rsidR="00E85064" w:rsidRDefault="00E85064" w:rsidP="005049E5">
      <w:pPr>
        <w:spacing w:line="360" w:lineRule="auto"/>
        <w:rPr>
          <w:rFonts w:ascii="Arial" w:hAnsi="Arial" w:cs="Arial"/>
          <w:color w:val="000000" w:themeColor="text1"/>
          <w:szCs w:val="24"/>
          <w:lang w:val="en-GB"/>
        </w:rPr>
      </w:pPr>
    </w:p>
    <w:p w14:paraId="1DE5E686" w14:textId="286785D9" w:rsidR="00E85064" w:rsidRDefault="00E85064" w:rsidP="005049E5">
      <w:pPr>
        <w:spacing w:line="360" w:lineRule="auto"/>
        <w:rPr>
          <w:rFonts w:ascii="Arial" w:hAnsi="Arial" w:cs="Arial"/>
          <w:color w:val="000000" w:themeColor="text1"/>
          <w:szCs w:val="24"/>
          <w:lang w:val="en-GB"/>
        </w:rPr>
      </w:pPr>
    </w:p>
    <w:p w14:paraId="2686AE8D" w14:textId="2719D227" w:rsidR="00B84B6C" w:rsidRDefault="00B84B6C" w:rsidP="005049E5">
      <w:pPr>
        <w:spacing w:line="360" w:lineRule="auto"/>
        <w:rPr>
          <w:rFonts w:ascii="Arial" w:hAnsi="Arial" w:cs="Arial"/>
          <w:color w:val="000000" w:themeColor="text1"/>
          <w:szCs w:val="24"/>
          <w:lang w:val="en-GB"/>
        </w:rPr>
      </w:pPr>
    </w:p>
    <w:p w14:paraId="249FF7BD" w14:textId="27EFD1C6" w:rsidR="005F55EC" w:rsidRDefault="005F55EC" w:rsidP="005049E5">
      <w:pPr>
        <w:spacing w:line="360" w:lineRule="auto"/>
        <w:rPr>
          <w:rFonts w:ascii="Arial" w:hAnsi="Arial" w:cs="Arial"/>
          <w:color w:val="000000" w:themeColor="text1"/>
          <w:szCs w:val="24"/>
          <w:lang w:val="en-GB"/>
        </w:rPr>
      </w:pPr>
    </w:p>
    <w:p w14:paraId="364F50AD" w14:textId="1BD6DC16" w:rsidR="005F55EC" w:rsidRDefault="005F55EC" w:rsidP="005049E5">
      <w:pPr>
        <w:spacing w:line="360" w:lineRule="auto"/>
        <w:rPr>
          <w:rFonts w:ascii="Arial" w:hAnsi="Arial" w:cs="Arial"/>
          <w:color w:val="000000" w:themeColor="text1"/>
          <w:szCs w:val="24"/>
          <w:lang w:val="en-GB"/>
        </w:rPr>
      </w:pPr>
    </w:p>
    <w:p w14:paraId="1CC5E64D" w14:textId="77777777" w:rsidR="005F55EC" w:rsidRDefault="005F55EC" w:rsidP="005049E5">
      <w:pPr>
        <w:spacing w:line="360" w:lineRule="auto"/>
        <w:rPr>
          <w:rFonts w:ascii="Arial" w:hAnsi="Arial" w:cs="Arial"/>
          <w:color w:val="000000" w:themeColor="text1"/>
          <w:szCs w:val="24"/>
          <w:lang w:val="en-GB"/>
        </w:rPr>
      </w:pPr>
    </w:p>
    <w:p w14:paraId="7C7A428F" w14:textId="77777777" w:rsidR="00B84B6C" w:rsidRPr="005049E5" w:rsidRDefault="00B84B6C" w:rsidP="005049E5">
      <w:pPr>
        <w:spacing w:line="360" w:lineRule="auto"/>
        <w:rPr>
          <w:rFonts w:ascii="Arial" w:hAnsi="Arial" w:cs="Arial"/>
          <w:color w:val="000000" w:themeColor="text1"/>
          <w:szCs w:val="24"/>
          <w:lang w:val="en-GB"/>
        </w:rPr>
      </w:pPr>
    </w:p>
    <w:p w14:paraId="452129E9" w14:textId="2451AB6F" w:rsidR="00B84B6C" w:rsidRPr="00B84B6C" w:rsidRDefault="00B84B6C" w:rsidP="00326C6B">
      <w:pPr>
        <w:spacing w:line="360" w:lineRule="auto"/>
        <w:rPr>
          <w:rFonts w:ascii="Arial" w:hAnsi="Arial" w:cs="Arial"/>
          <w:color w:val="ED7D31" w:themeColor="accent2"/>
          <w:szCs w:val="24"/>
          <w:lang w:val="en-GB"/>
        </w:rPr>
      </w:pPr>
      <w:r w:rsidRPr="00B84B6C">
        <w:rPr>
          <w:rFonts w:ascii="Arial" w:hAnsi="Arial" w:cs="Arial"/>
          <w:color w:val="ED7D31" w:themeColor="accent2"/>
          <w:szCs w:val="24"/>
          <w:lang w:val="en-GB"/>
        </w:rPr>
        <w:t xml:space="preserve">United Kingdom </w:t>
      </w:r>
    </w:p>
    <w:p w14:paraId="73F895FB" w14:textId="16B400EF" w:rsidR="00B84B6C" w:rsidRPr="00B84B6C" w:rsidRDefault="00B84B6C" w:rsidP="00326C6B">
      <w:pPr>
        <w:spacing w:line="360" w:lineRule="auto"/>
        <w:rPr>
          <w:rFonts w:ascii="Arial" w:hAnsi="Arial" w:cs="Arial"/>
          <w:color w:val="000000" w:themeColor="text1"/>
          <w:szCs w:val="24"/>
          <w:lang w:val="en-GB"/>
        </w:rPr>
      </w:pPr>
      <w:r w:rsidRPr="00B84B6C">
        <w:rPr>
          <w:rFonts w:ascii="Arial" w:hAnsi="Arial" w:cs="Arial"/>
          <w:color w:val="000000" w:themeColor="text1"/>
          <w:szCs w:val="24"/>
          <w:lang w:val="en-GB"/>
        </w:rPr>
        <w:t xml:space="preserve">With its diverse and cosmopolitan population, Great Britain is a shining example of creativity around the world. Embracing a wide range of cultures and perspectives, the UK offers an environment conducive to innovation and entrepreneurship, making it an attractive location for global companies looking to expand. In addition, the use of English as the main language </w:t>
      </w:r>
      <w:r w:rsidRPr="00B84B6C">
        <w:rPr>
          <w:rFonts w:ascii="Arial" w:hAnsi="Arial" w:cs="Arial"/>
          <w:color w:val="000000" w:themeColor="text1"/>
          <w:szCs w:val="24"/>
          <w:lang w:val="en-GB"/>
        </w:rPr>
        <w:t>eases</w:t>
      </w:r>
      <w:r w:rsidRPr="00B84B6C">
        <w:rPr>
          <w:rFonts w:ascii="Arial" w:hAnsi="Arial" w:cs="Arial"/>
          <w:color w:val="000000" w:themeColor="text1"/>
          <w:szCs w:val="24"/>
          <w:lang w:val="en-GB"/>
        </w:rPr>
        <w:t xml:space="preserve"> communication processes, enabling smooth communication between employees and external parties. Linguistic consistency streamlines organizational processes and fosters an environment of collaboration and inclusion, thus strengthening the UK's position as a global leader in innovation and </w:t>
      </w:r>
      <w:r w:rsidRPr="00B84B6C">
        <w:rPr>
          <w:rFonts w:ascii="Arial" w:hAnsi="Arial" w:cs="Arial"/>
          <w:color w:val="000000" w:themeColor="text1"/>
          <w:szCs w:val="24"/>
          <w:lang w:val="en-GB"/>
        </w:rPr>
        <w:t>business. However</w:t>
      </w:r>
      <w:r w:rsidRPr="00B84B6C">
        <w:rPr>
          <w:rFonts w:ascii="Arial" w:hAnsi="Arial" w:cs="Arial"/>
          <w:color w:val="000000" w:themeColor="text1"/>
          <w:szCs w:val="24"/>
          <w:lang w:val="en-GB"/>
        </w:rPr>
        <w:t>, the appeal of this vibrant social structure balances the risk of regulatory ambiguity arising from Brexit</w:t>
      </w:r>
      <w:r w:rsidR="00735BDB" w:rsidRPr="00B84B6C">
        <w:rPr>
          <w:rFonts w:ascii="Arial" w:hAnsi="Arial" w:cs="Arial"/>
          <w:color w:val="000000" w:themeColor="text1"/>
          <w:szCs w:val="24"/>
          <w:lang w:val="en-GB"/>
        </w:rPr>
        <w:t>.</w:t>
      </w:r>
      <w:r w:rsidR="00735BDB">
        <w:rPr>
          <w:rFonts w:ascii="Arial" w:hAnsi="Arial" w:cs="Arial"/>
          <w:color w:val="000000" w:themeColor="text1"/>
          <w:szCs w:val="24"/>
          <w:lang w:val="en-GB"/>
        </w:rPr>
        <w:t xml:space="preserve"> </w:t>
      </w:r>
      <w:r w:rsidRPr="00B84B6C">
        <w:rPr>
          <w:rFonts w:ascii="Arial" w:hAnsi="Arial" w:cs="Arial"/>
          <w:color w:val="000000" w:themeColor="text1"/>
          <w:szCs w:val="24"/>
          <w:lang w:val="en-GB"/>
        </w:rPr>
        <w:t xml:space="preserve">The transition period after the departure of the United Kingdom from the European Union is characterized by changing politics and geopolitical realignments; it has created new complexities and obstacles for companies </w:t>
      </w:r>
      <w:r w:rsidRPr="00B84B6C">
        <w:rPr>
          <w:rFonts w:ascii="Arial" w:hAnsi="Arial" w:cs="Arial"/>
          <w:color w:val="000000" w:themeColor="text1"/>
          <w:szCs w:val="24"/>
          <w:lang w:val="en-GB"/>
        </w:rPr>
        <w:t>running</w:t>
      </w:r>
      <w:r w:rsidRPr="00B84B6C">
        <w:rPr>
          <w:rFonts w:ascii="Arial" w:hAnsi="Arial" w:cs="Arial"/>
          <w:color w:val="000000" w:themeColor="text1"/>
          <w:szCs w:val="24"/>
          <w:lang w:val="en-GB"/>
        </w:rPr>
        <w:t xml:space="preserve"> within its borders. Navigating this regulatory maze requires advanced strategic planning and flexibility to avoid potential disruptions and take advantage of new opportunities. Despite these concerns, the UK aviation industry </w:t>
      </w:r>
      <w:r w:rsidRPr="00B84B6C">
        <w:rPr>
          <w:rFonts w:ascii="Arial" w:hAnsi="Arial" w:cs="Arial"/>
          <w:color w:val="000000" w:themeColor="text1"/>
          <w:szCs w:val="24"/>
          <w:lang w:val="en-GB"/>
        </w:rPr>
        <w:t>stays</w:t>
      </w:r>
      <w:r w:rsidRPr="00B84B6C">
        <w:rPr>
          <w:rFonts w:ascii="Arial" w:hAnsi="Arial" w:cs="Arial"/>
          <w:color w:val="000000" w:themeColor="text1"/>
          <w:szCs w:val="24"/>
          <w:lang w:val="en-GB"/>
        </w:rPr>
        <w:t xml:space="preserve"> strong thanks to an experienced workforce and long-standing technical and industrial know-how. With a strong ecosystem of research institutes, universities and industry associations, the UK </w:t>
      </w:r>
      <w:r w:rsidRPr="00B84B6C">
        <w:rPr>
          <w:rFonts w:ascii="Arial" w:hAnsi="Arial" w:cs="Arial"/>
          <w:color w:val="000000" w:themeColor="text1"/>
          <w:szCs w:val="24"/>
          <w:lang w:val="en-GB"/>
        </w:rPr>
        <w:t>supplies</w:t>
      </w:r>
      <w:r w:rsidRPr="00B84B6C">
        <w:rPr>
          <w:rFonts w:ascii="Arial" w:hAnsi="Arial" w:cs="Arial"/>
          <w:color w:val="000000" w:themeColor="text1"/>
          <w:szCs w:val="24"/>
          <w:lang w:val="en-GB"/>
        </w:rPr>
        <w:t xml:space="preserve"> an ideal environment for innovation and technological growth, giving Rolls-Royce a competitive advantage in the global market. (The Economist Intelligence Unit 2024).</w:t>
      </w:r>
    </w:p>
    <w:p w14:paraId="45433DB9" w14:textId="7519A5BF" w:rsidR="00326C6B" w:rsidRPr="00326C6B" w:rsidRDefault="00774327" w:rsidP="00326C6B">
      <w:pPr>
        <w:spacing w:line="360" w:lineRule="auto"/>
        <w:rPr>
          <w:rFonts w:ascii="Arial" w:hAnsi="Arial" w:cs="Arial"/>
          <w:color w:val="000000" w:themeColor="text1"/>
          <w:szCs w:val="24"/>
          <w:lang w:val="en-GB"/>
        </w:rPr>
      </w:pPr>
      <w:r>
        <w:rPr>
          <w:rFonts w:ascii="Arial" w:hAnsi="Arial" w:cs="Arial"/>
          <w:color w:val="000000" w:themeColor="text1"/>
          <w:szCs w:val="24"/>
          <w:lang w:val="en-GB"/>
        </w:rPr>
        <w:t xml:space="preserve">To sum this up as </w:t>
      </w:r>
      <w:r w:rsidRPr="00774327">
        <w:rPr>
          <w:rFonts w:ascii="Arial" w:hAnsi="Arial" w:cs="Arial"/>
          <w:color w:val="000000" w:themeColor="text1"/>
          <w:szCs w:val="24"/>
          <w:lang w:val="en-GB"/>
        </w:rPr>
        <w:t>Gutierrez, J. (2007)</w:t>
      </w:r>
      <w:r>
        <w:rPr>
          <w:rFonts w:ascii="Arial" w:hAnsi="Arial" w:cs="Arial"/>
          <w:color w:val="000000" w:themeColor="text1"/>
          <w:szCs w:val="24"/>
          <w:lang w:val="en-GB"/>
        </w:rPr>
        <w:t xml:space="preserve"> </w:t>
      </w:r>
      <w:r w:rsidR="00922C5D">
        <w:rPr>
          <w:rFonts w:ascii="Arial" w:hAnsi="Arial" w:cs="Arial"/>
          <w:color w:val="000000" w:themeColor="text1"/>
          <w:szCs w:val="24"/>
          <w:lang w:val="en-GB"/>
        </w:rPr>
        <w:t xml:space="preserve">says, </w:t>
      </w:r>
      <w:r w:rsidR="00922C5D" w:rsidRPr="00326C6B">
        <w:rPr>
          <w:rFonts w:ascii="Arial" w:hAnsi="Arial" w:cs="Arial"/>
          <w:color w:val="000000" w:themeColor="text1"/>
          <w:szCs w:val="24"/>
          <w:lang w:val="en-GB"/>
        </w:rPr>
        <w:t>the</w:t>
      </w:r>
      <w:r w:rsidR="00326C6B" w:rsidRPr="00326C6B">
        <w:rPr>
          <w:rFonts w:ascii="Arial" w:hAnsi="Arial" w:cs="Arial"/>
          <w:color w:val="000000" w:themeColor="text1"/>
          <w:szCs w:val="24"/>
          <w:lang w:val="en-GB"/>
        </w:rPr>
        <w:t xml:space="preserve"> United Kingdom offers an appealing proposal for Rolls-Royce's expansion efforts, with a diversified and multicultural culture that encourages innovation, a language advantage that simplifies communication, and a competent workforce anchored inside a strong aerospace sector. While legislative uncertainties offer dangers, strategic planning and capitalising on the UK's strengths in innovation and technology can position Rolls-Royce for long-term development and success in the dynamic EU market.</w:t>
      </w:r>
    </w:p>
    <w:p w14:paraId="234590A9" w14:textId="77777777" w:rsidR="00CF51EE" w:rsidRDefault="00CF51EE" w:rsidP="00914B7C">
      <w:pPr>
        <w:spacing w:line="360" w:lineRule="auto"/>
        <w:rPr>
          <w:rFonts w:ascii="Arial" w:hAnsi="Arial" w:cs="Arial"/>
          <w:color w:val="ED7D31" w:themeColor="accent2"/>
          <w:szCs w:val="24"/>
          <w:lang w:val="en-GB"/>
        </w:rPr>
      </w:pPr>
    </w:p>
    <w:p w14:paraId="064E576E" w14:textId="55546F7A" w:rsidR="00914B7C" w:rsidRPr="006F469F" w:rsidRDefault="00914B7C" w:rsidP="00914B7C">
      <w:pPr>
        <w:spacing w:line="360" w:lineRule="auto"/>
        <w:rPr>
          <w:rFonts w:ascii="Arial" w:hAnsi="Arial" w:cs="Arial"/>
          <w:color w:val="ED7D31" w:themeColor="accent2"/>
          <w:szCs w:val="24"/>
          <w:lang w:val="en-GB"/>
        </w:rPr>
      </w:pPr>
      <w:r w:rsidRPr="006F469F">
        <w:rPr>
          <w:rFonts w:ascii="Arial" w:hAnsi="Arial" w:cs="Arial"/>
          <w:color w:val="ED7D31" w:themeColor="accent2"/>
          <w:szCs w:val="24"/>
          <w:lang w:val="en-GB"/>
        </w:rPr>
        <w:lastRenderedPageBreak/>
        <w:t>Slovakia</w:t>
      </w:r>
      <w:r w:rsidR="006F469F" w:rsidRPr="006F469F">
        <w:rPr>
          <w:rFonts w:ascii="Arial" w:hAnsi="Arial" w:cs="Arial"/>
          <w:color w:val="ED7D31" w:themeColor="accent2"/>
          <w:szCs w:val="24"/>
          <w:lang w:val="en-GB"/>
        </w:rPr>
        <w:t>.</w:t>
      </w:r>
    </w:p>
    <w:p w14:paraId="067CCE09" w14:textId="3AA3976E" w:rsidR="00914B7C" w:rsidRPr="006F469F" w:rsidRDefault="00914B7C" w:rsidP="00914B7C">
      <w:pPr>
        <w:spacing w:line="360" w:lineRule="auto"/>
        <w:rPr>
          <w:rFonts w:ascii="Arial" w:hAnsi="Arial" w:cs="Arial"/>
          <w:color w:val="70AD47" w:themeColor="accent6"/>
          <w:szCs w:val="24"/>
          <w:lang w:val="en-GB"/>
        </w:rPr>
      </w:pPr>
      <w:r w:rsidRPr="006F469F">
        <w:rPr>
          <w:rFonts w:ascii="Arial" w:hAnsi="Arial" w:cs="Arial"/>
          <w:color w:val="70AD47" w:themeColor="accent6"/>
          <w:szCs w:val="24"/>
          <w:lang w:val="en-GB"/>
        </w:rPr>
        <w:t>Country Overview</w:t>
      </w:r>
      <w:r w:rsidR="006F469F" w:rsidRPr="006F469F">
        <w:rPr>
          <w:rFonts w:ascii="Arial" w:hAnsi="Arial" w:cs="Arial"/>
          <w:color w:val="70AD47" w:themeColor="accent6"/>
          <w:szCs w:val="24"/>
          <w:lang w:val="en-GB"/>
        </w:rPr>
        <w:t>.</w:t>
      </w:r>
    </w:p>
    <w:p w14:paraId="5BC60507" w14:textId="1A9956A6" w:rsidR="00C47981" w:rsidRDefault="00C47981" w:rsidP="00914B7C">
      <w:pPr>
        <w:spacing w:line="360" w:lineRule="auto"/>
        <w:rPr>
          <w:rFonts w:ascii="Arial" w:hAnsi="Arial" w:cs="Arial"/>
          <w:color w:val="000000" w:themeColor="text1"/>
          <w:szCs w:val="24"/>
          <w:lang w:val="en-GB"/>
        </w:rPr>
      </w:pPr>
      <w:r w:rsidRPr="00C47981">
        <w:rPr>
          <w:rFonts w:ascii="Arial" w:hAnsi="Arial" w:cs="Arial"/>
          <w:color w:val="000000" w:themeColor="text1"/>
          <w:szCs w:val="24"/>
          <w:lang w:val="en-GB"/>
        </w:rPr>
        <w:t xml:space="preserve">Slovakia, situated in Central Europe, is home to a heterogeneous populace exceeding 5.5 million. Ever since reaching independence in 1993, the country's economy has undergone substantial change. Foreign direct investment in the automobile industry has contributed to the transition from a centrally planned to a market-oriented economy. Due to its strategic location at the crossroads of Western and Eastern Europe, Slovakia is a major participant in regional commerce and trade. Slovakia's dedication to innovation and competitiveness gives it an appealing location for foreign investment, </w:t>
      </w:r>
      <w:r w:rsidR="00E378F7" w:rsidRPr="00C47981">
        <w:rPr>
          <w:rFonts w:ascii="Arial" w:hAnsi="Arial" w:cs="Arial"/>
          <w:color w:val="000000" w:themeColor="text1"/>
          <w:szCs w:val="24"/>
          <w:lang w:val="en-GB"/>
        </w:rPr>
        <w:t>despite</w:t>
      </w:r>
      <w:r w:rsidRPr="00C47981">
        <w:rPr>
          <w:rFonts w:ascii="Arial" w:hAnsi="Arial" w:cs="Arial"/>
          <w:color w:val="000000" w:themeColor="text1"/>
          <w:szCs w:val="24"/>
          <w:lang w:val="en-GB"/>
        </w:rPr>
        <w:t xml:space="preserve"> obstacles such as bureaucratic inefficiencies and infrastructure development inefficiencies.</w:t>
      </w:r>
    </w:p>
    <w:p w14:paraId="24248EB1" w14:textId="3701D145" w:rsidR="00914B7C" w:rsidRPr="006F469F" w:rsidRDefault="00914B7C" w:rsidP="00914B7C">
      <w:pPr>
        <w:spacing w:line="360" w:lineRule="auto"/>
        <w:rPr>
          <w:rFonts w:ascii="Arial" w:hAnsi="Arial" w:cs="Arial"/>
          <w:color w:val="70AD47" w:themeColor="accent6"/>
          <w:szCs w:val="24"/>
          <w:lang w:val="en-GB"/>
        </w:rPr>
      </w:pPr>
      <w:r w:rsidRPr="006F469F">
        <w:rPr>
          <w:rFonts w:ascii="Arial" w:hAnsi="Arial" w:cs="Arial"/>
          <w:color w:val="70AD47" w:themeColor="accent6"/>
          <w:szCs w:val="24"/>
          <w:lang w:val="en-GB"/>
        </w:rPr>
        <w:t>Communication Barriers.</w:t>
      </w:r>
    </w:p>
    <w:p w14:paraId="1CA7F220" w14:textId="496BE77C" w:rsidR="00B84B6C" w:rsidRDefault="00B84B6C" w:rsidP="0034536D">
      <w:pPr>
        <w:spacing w:line="360" w:lineRule="auto"/>
        <w:rPr>
          <w:rFonts w:ascii="Arial" w:hAnsi="Arial" w:cs="Arial"/>
          <w:color w:val="000000" w:themeColor="text1"/>
          <w:szCs w:val="24"/>
          <w:lang w:val="en-GB"/>
        </w:rPr>
      </w:pPr>
      <w:r w:rsidRPr="00B84B6C">
        <w:rPr>
          <w:rFonts w:ascii="Arial" w:hAnsi="Arial" w:cs="Arial"/>
          <w:color w:val="000000" w:themeColor="text1"/>
          <w:szCs w:val="24"/>
          <w:lang w:val="en-GB"/>
        </w:rPr>
        <w:t xml:space="preserve">Rolls-Royce successfully overcomes the challenges of language barriers and cultural differences when expanding its business from the UK to Slovakia. Despite the increasing English literacy in Slovakia, there can still be language challenges, especially in technical or technical subjects that require in-depth understanding. There is a significant difference between the official languages ​​of Slovakia and the UK: Slovakia uses Slovak, while English is the most popular language in the UK. Linguistic duality can be a significant barrier to effective communication, especially in highly technical or specialized situations. </w:t>
      </w:r>
      <w:r w:rsidRPr="00B84B6C">
        <w:rPr>
          <w:rFonts w:ascii="Arial" w:hAnsi="Arial" w:cs="Arial"/>
          <w:color w:val="000000" w:themeColor="text1"/>
          <w:szCs w:val="24"/>
          <w:lang w:val="en-GB"/>
        </w:rPr>
        <w:t>Even though</w:t>
      </w:r>
      <w:r w:rsidRPr="00B84B6C">
        <w:rPr>
          <w:rFonts w:ascii="Arial" w:hAnsi="Arial" w:cs="Arial"/>
          <w:color w:val="000000" w:themeColor="text1"/>
          <w:szCs w:val="24"/>
          <w:lang w:val="en-GB"/>
        </w:rPr>
        <w:t xml:space="preserve"> many Slovak citizens have strong English skills, language differences still present significant barriers to effective cooperation and understanding. In addition, the presence of different cultural norms and language use can potentially increase challenges in interpersonal communication. When it comes to business contacts, there is a noticeable difference in the communication styles of the British and Slovaks. The British often prefer a direct and informal approach, while the Slovaks prefer formality, </w:t>
      </w:r>
      <w:r w:rsidRPr="00B84B6C">
        <w:rPr>
          <w:rFonts w:ascii="Arial" w:hAnsi="Arial" w:cs="Arial"/>
          <w:color w:val="000000" w:themeColor="text1"/>
          <w:szCs w:val="24"/>
          <w:lang w:val="en-GB"/>
        </w:rPr>
        <w:t>hierarchy,</w:t>
      </w:r>
      <w:r w:rsidRPr="00B84B6C">
        <w:rPr>
          <w:rFonts w:ascii="Arial" w:hAnsi="Arial" w:cs="Arial"/>
          <w:color w:val="000000" w:themeColor="text1"/>
          <w:szCs w:val="24"/>
          <w:lang w:val="en-GB"/>
        </w:rPr>
        <w:t xml:space="preserve"> and indirect communication. This preference for formality can potentially lead to misunderstandings and inefficiencies in project development and overall organizational cohesion. In situations that require speed and accuracy, such as technical discussions or high-level negotiations, the use of interpreters or translation services can cause unnecessary complications and </w:t>
      </w:r>
      <w:r w:rsidRPr="00B84B6C">
        <w:rPr>
          <w:rFonts w:ascii="Arial" w:hAnsi="Arial" w:cs="Arial"/>
          <w:color w:val="000000" w:themeColor="text1"/>
          <w:szCs w:val="24"/>
          <w:lang w:val="en-GB"/>
        </w:rPr>
        <w:lastRenderedPageBreak/>
        <w:t xml:space="preserve">interruptions. To address these challenges, it is necessary to take proactive measures such as promoting a diverse work environment, implementing language competency </w:t>
      </w:r>
      <w:proofErr w:type="gramStart"/>
      <w:r w:rsidRPr="00B84B6C">
        <w:rPr>
          <w:rFonts w:ascii="Arial" w:hAnsi="Arial" w:cs="Arial"/>
          <w:color w:val="000000" w:themeColor="text1"/>
          <w:szCs w:val="24"/>
          <w:lang w:val="en-GB"/>
        </w:rPr>
        <w:t>initiatives</w:t>
      </w:r>
      <w:proofErr w:type="gramEnd"/>
      <w:r w:rsidRPr="00B84B6C">
        <w:rPr>
          <w:rFonts w:ascii="Arial" w:hAnsi="Arial" w:cs="Arial"/>
          <w:color w:val="000000" w:themeColor="text1"/>
          <w:szCs w:val="24"/>
          <w:lang w:val="en-GB"/>
        </w:rPr>
        <w:t xml:space="preserve"> and organizing seminars aimed at improving intercultural communication skills. To achieve success in international cooperation in Slovakia and other countries, organizations like Rolls-Royce can use different strategies. These may include promoting open and transparent communication, overcoming cultural </w:t>
      </w:r>
      <w:r w:rsidRPr="00B84B6C">
        <w:rPr>
          <w:rFonts w:ascii="Arial" w:hAnsi="Arial" w:cs="Arial"/>
          <w:color w:val="000000" w:themeColor="text1"/>
          <w:szCs w:val="24"/>
          <w:lang w:val="en-GB"/>
        </w:rPr>
        <w:t>differences,</w:t>
      </w:r>
      <w:r w:rsidRPr="00B84B6C">
        <w:rPr>
          <w:rFonts w:ascii="Arial" w:hAnsi="Arial" w:cs="Arial"/>
          <w:color w:val="000000" w:themeColor="text1"/>
          <w:szCs w:val="24"/>
          <w:lang w:val="en-GB"/>
        </w:rPr>
        <w:t xml:space="preserve"> and fostering shared understanding. Despite the strengths of Slovakia's economy and skilled workforce, the country continues to struggle with significant obstacles, particularly in the areas of infrastructure development and cultural differences. The effectiveness of Rolls-Royce's distribution networks and supply chain may be affected by logistical challenges arising from the country's infrastructure limitations. In addition, it is important to note that differences in corporate culture can affect the effectiveness of communication and collaboration. Organizations in Slovakia prioritize formalities and hierarchical structures, which can create problems in promoting efficiency. Regional economic differences in Slovakia can present challenges for HR management and market entry strategies. Therefore, while Slovakia offers promising growth opportunities, Rolls-Royce needs to thoroughly assess these challenges to ensure they are aligned with its overall goals. In addition, it is important to consider the possible risks related to the work and the social conditions of the local population </w:t>
      </w:r>
      <w:r w:rsidRPr="00B84B6C">
        <w:rPr>
          <w:rFonts w:ascii="Arial" w:hAnsi="Arial" w:cs="Arial"/>
          <w:color w:val="000000" w:themeColor="text1"/>
          <w:szCs w:val="24"/>
          <w:lang w:val="en-GB"/>
        </w:rPr>
        <w:t>to</w:t>
      </w:r>
      <w:r w:rsidRPr="00B84B6C">
        <w:rPr>
          <w:rFonts w:ascii="Arial" w:hAnsi="Arial" w:cs="Arial"/>
          <w:color w:val="000000" w:themeColor="text1"/>
          <w:szCs w:val="24"/>
          <w:lang w:val="en-GB"/>
        </w:rPr>
        <w:t xml:space="preserve"> ensure the correct functioning of the operation in the Slovak </w:t>
      </w:r>
      <w:r w:rsidRPr="00B84B6C">
        <w:rPr>
          <w:rFonts w:ascii="Arial" w:hAnsi="Arial" w:cs="Arial"/>
          <w:color w:val="000000" w:themeColor="text1"/>
          <w:szCs w:val="24"/>
          <w:lang w:val="en-GB"/>
        </w:rPr>
        <w:t>market.</w:t>
      </w:r>
    </w:p>
    <w:p w14:paraId="5C3FC025" w14:textId="6147DAF6" w:rsidR="00914B7C" w:rsidRPr="00914B7C" w:rsidRDefault="008709AF" w:rsidP="0034536D">
      <w:pPr>
        <w:spacing w:line="360" w:lineRule="auto"/>
        <w:rPr>
          <w:rFonts w:ascii="Arial" w:hAnsi="Arial" w:cs="Arial"/>
          <w:color w:val="000000" w:themeColor="text1"/>
          <w:szCs w:val="24"/>
          <w:lang w:val="en-GB"/>
        </w:rPr>
      </w:pPr>
      <w:r>
        <w:rPr>
          <w:rFonts w:ascii="Arial" w:hAnsi="Arial" w:cs="Arial"/>
          <w:color w:val="ED7D31" w:themeColor="accent2"/>
          <w:szCs w:val="24"/>
          <w:lang w:val="en-GB"/>
        </w:rPr>
        <w:t>Austria</w:t>
      </w:r>
    </w:p>
    <w:p w14:paraId="096F1752" w14:textId="77777777" w:rsidR="008709AF" w:rsidRDefault="008709AF" w:rsidP="008709AF">
      <w:pPr>
        <w:spacing w:line="360" w:lineRule="auto"/>
        <w:rPr>
          <w:rFonts w:ascii="Arial" w:hAnsi="Arial" w:cs="Arial"/>
          <w:color w:val="70AD47" w:themeColor="accent6"/>
          <w:szCs w:val="24"/>
          <w:lang w:val="en-GB"/>
        </w:rPr>
      </w:pPr>
      <w:r w:rsidRPr="008709AF">
        <w:rPr>
          <w:rFonts w:ascii="Arial" w:hAnsi="Arial" w:cs="Arial"/>
          <w:color w:val="70AD47" w:themeColor="accent6"/>
          <w:szCs w:val="24"/>
          <w:lang w:val="en-GB"/>
        </w:rPr>
        <w:t xml:space="preserve">Country Overview: </w:t>
      </w:r>
    </w:p>
    <w:p w14:paraId="49BC6B89" w14:textId="77777777" w:rsidR="00C47F45" w:rsidRDefault="00C47F45" w:rsidP="00A45046">
      <w:pPr>
        <w:spacing w:line="360" w:lineRule="auto"/>
        <w:rPr>
          <w:rFonts w:ascii="Arial" w:hAnsi="Arial" w:cs="Arial"/>
          <w:color w:val="000000" w:themeColor="text1"/>
          <w:szCs w:val="24"/>
          <w:lang w:val="en-GB"/>
        </w:rPr>
      </w:pPr>
      <w:r w:rsidRPr="00C47F45">
        <w:rPr>
          <w:rFonts w:ascii="Arial" w:hAnsi="Arial" w:cs="Arial"/>
          <w:color w:val="000000" w:themeColor="text1"/>
          <w:szCs w:val="24"/>
          <w:lang w:val="en-GB"/>
        </w:rPr>
        <w:t>Austria, a central European country with a diverse economy, is a hub for global business and innovation. Its aerospace industry has grown significantly, and despite challenges like regulatory compliance and high living costs, it presents an attractive opportunity for corporations like Rolls-Royce.</w:t>
      </w:r>
    </w:p>
    <w:p w14:paraId="6B0D75D9" w14:textId="1F70E98C" w:rsidR="00A45046" w:rsidRPr="00A45046" w:rsidRDefault="00A45046" w:rsidP="00A45046">
      <w:pPr>
        <w:spacing w:line="360" w:lineRule="auto"/>
        <w:rPr>
          <w:rFonts w:ascii="Arial" w:hAnsi="Arial" w:cs="Arial"/>
          <w:color w:val="70AD47" w:themeColor="accent6"/>
          <w:szCs w:val="24"/>
          <w:lang w:val="en-GB"/>
        </w:rPr>
      </w:pPr>
      <w:r>
        <w:rPr>
          <w:rFonts w:ascii="Arial" w:hAnsi="Arial" w:cs="Arial"/>
          <w:color w:val="70AD47" w:themeColor="accent6"/>
          <w:szCs w:val="24"/>
          <w:lang w:val="en-GB"/>
        </w:rPr>
        <w:t xml:space="preserve">Communication Barriers. </w:t>
      </w:r>
    </w:p>
    <w:p w14:paraId="5C50B010" w14:textId="157B7E61" w:rsidR="00384395" w:rsidRDefault="00384395" w:rsidP="00C47F45">
      <w:pPr>
        <w:spacing w:line="360" w:lineRule="auto"/>
        <w:rPr>
          <w:rFonts w:ascii="Arial" w:hAnsi="Arial" w:cs="Arial"/>
          <w:color w:val="000000" w:themeColor="text1"/>
          <w:szCs w:val="24"/>
          <w:lang w:val="en-GB"/>
        </w:rPr>
      </w:pPr>
      <w:r w:rsidRPr="00384395">
        <w:rPr>
          <w:rFonts w:ascii="Arial" w:hAnsi="Arial" w:cs="Arial"/>
          <w:color w:val="000000" w:themeColor="text1"/>
          <w:szCs w:val="24"/>
          <w:lang w:val="en-GB"/>
        </w:rPr>
        <w:t xml:space="preserve">Companies like Rolls-Royce </w:t>
      </w:r>
      <w:proofErr w:type="gramStart"/>
      <w:r w:rsidRPr="00384395">
        <w:rPr>
          <w:rFonts w:ascii="Arial" w:hAnsi="Arial" w:cs="Arial"/>
          <w:color w:val="000000" w:themeColor="text1"/>
          <w:szCs w:val="24"/>
          <w:lang w:val="en-GB"/>
        </w:rPr>
        <w:t>encounter</w:t>
      </w:r>
      <w:proofErr w:type="gramEnd"/>
      <w:r w:rsidRPr="00384395">
        <w:rPr>
          <w:rFonts w:ascii="Arial" w:hAnsi="Arial" w:cs="Arial"/>
          <w:color w:val="000000" w:themeColor="text1"/>
          <w:szCs w:val="24"/>
          <w:lang w:val="en-GB"/>
        </w:rPr>
        <w:t xml:space="preserve"> similar obstacles when expanding their operations into Austria, due to linguistic and cultural differences between Austria and </w:t>
      </w:r>
      <w:r w:rsidRPr="00384395">
        <w:rPr>
          <w:rFonts w:ascii="Arial" w:hAnsi="Arial" w:cs="Arial"/>
          <w:color w:val="000000" w:themeColor="text1"/>
          <w:szCs w:val="24"/>
          <w:lang w:val="en-GB"/>
        </w:rPr>
        <w:lastRenderedPageBreak/>
        <w:t xml:space="preserve">the United Kingdom. While English </w:t>
      </w:r>
      <w:r w:rsidR="006C636D" w:rsidRPr="00384395">
        <w:rPr>
          <w:rFonts w:ascii="Arial" w:hAnsi="Arial" w:cs="Arial"/>
          <w:color w:val="000000" w:themeColor="text1"/>
          <w:szCs w:val="24"/>
          <w:lang w:val="en-GB"/>
        </w:rPr>
        <w:t>ability</w:t>
      </w:r>
      <w:r w:rsidRPr="00384395">
        <w:rPr>
          <w:rFonts w:ascii="Arial" w:hAnsi="Arial" w:cs="Arial"/>
          <w:color w:val="000000" w:themeColor="text1"/>
          <w:szCs w:val="24"/>
          <w:lang w:val="en-GB"/>
        </w:rPr>
        <w:t xml:space="preserve"> is common in Austria, particularly in urban and professional settings, there can still be significant language obstacles, particularly in technical or specialised areas where precise communication is crucial. Austria and the United Kingdom differ primarily in their designated languages. German is the official language in Austria, while English holds that status in the United Kingdom. The difference in language usage creates a significant challenge in fostering effective communication and comprehension. While many Austrians have a strong command of English, there are still language barriers that could hinder effective collaboration, especially in complex technical discussions and negotiations. In addition, differences in language usage and cultural norms can hinder effective communication. Austrians generally prefer formality, hierarchical structures, and indirect modes of communication, while Britons tend to have a more casual and direct demeanour. Project management and organisational coherence can be affected by differences in communication styles, leading to misunderstandings and inefficiencies. In situations that require quick and </w:t>
      </w:r>
      <w:proofErr w:type="gramStart"/>
      <w:r w:rsidRPr="00384395">
        <w:rPr>
          <w:rFonts w:ascii="Arial" w:hAnsi="Arial" w:cs="Arial"/>
          <w:color w:val="000000" w:themeColor="text1"/>
          <w:szCs w:val="24"/>
          <w:lang w:val="en-GB"/>
        </w:rPr>
        <w:t>accurate</w:t>
      </w:r>
      <w:proofErr w:type="gramEnd"/>
      <w:r w:rsidRPr="00384395">
        <w:rPr>
          <w:rFonts w:ascii="Arial" w:hAnsi="Arial" w:cs="Arial"/>
          <w:color w:val="000000" w:themeColor="text1"/>
          <w:szCs w:val="24"/>
          <w:lang w:val="en-GB"/>
        </w:rPr>
        <w:t xml:space="preserve"> communication, like technical presentations or high-stakes negotiations, relying on interpreters or translation services can create unnecessary complications and cause delays. </w:t>
      </w:r>
      <w:r w:rsidR="006C636D" w:rsidRPr="00384395">
        <w:rPr>
          <w:rFonts w:ascii="Arial" w:hAnsi="Arial" w:cs="Arial"/>
          <w:color w:val="000000" w:themeColor="text1"/>
          <w:szCs w:val="24"/>
          <w:lang w:val="en-GB"/>
        </w:rPr>
        <w:t>To</w:t>
      </w:r>
      <w:r w:rsidRPr="00384395">
        <w:rPr>
          <w:rFonts w:ascii="Arial" w:hAnsi="Arial" w:cs="Arial"/>
          <w:color w:val="000000" w:themeColor="text1"/>
          <w:szCs w:val="24"/>
          <w:lang w:val="en-GB"/>
        </w:rPr>
        <w:t xml:space="preserve"> overcome these linguistic and cultural challenges, it is essential to take proactive steps. This includes creating a work environment that values and embraces different cultures, introducing language training programmes, and hosting seminars on cross-cultural communication. Rolls-Royce and other companies can effectively establish international partnerships in Austria and other locations through open and clear communication, overcoming cultural barriers, and promoting mutual understanding. Despite Austria's robust economy and well-educated workforce, there </w:t>
      </w:r>
      <w:r w:rsidR="006C636D" w:rsidRPr="00384395">
        <w:rPr>
          <w:rFonts w:ascii="Arial" w:hAnsi="Arial" w:cs="Arial"/>
          <w:color w:val="000000" w:themeColor="text1"/>
          <w:szCs w:val="24"/>
          <w:lang w:val="en-GB"/>
        </w:rPr>
        <w:t>stay</w:t>
      </w:r>
      <w:r w:rsidRPr="00384395">
        <w:rPr>
          <w:rFonts w:ascii="Arial" w:hAnsi="Arial" w:cs="Arial"/>
          <w:color w:val="000000" w:themeColor="text1"/>
          <w:szCs w:val="24"/>
          <w:lang w:val="en-GB"/>
        </w:rPr>
        <w:t xml:space="preserve"> notable challenges to address, specifically in the areas of infrastructure development and cultural differences. Rolls-Royce may face logistical challenges in Austria due to infrastructural limitations, which could </w:t>
      </w:r>
      <w:proofErr w:type="gramStart"/>
      <w:r w:rsidRPr="00384395">
        <w:rPr>
          <w:rFonts w:ascii="Arial" w:hAnsi="Arial" w:cs="Arial"/>
          <w:color w:val="000000" w:themeColor="text1"/>
          <w:szCs w:val="24"/>
          <w:lang w:val="en-GB"/>
        </w:rPr>
        <w:t>impact</w:t>
      </w:r>
      <w:proofErr w:type="gramEnd"/>
      <w:r w:rsidRPr="00384395">
        <w:rPr>
          <w:rFonts w:ascii="Arial" w:hAnsi="Arial" w:cs="Arial"/>
          <w:color w:val="000000" w:themeColor="text1"/>
          <w:szCs w:val="24"/>
          <w:lang w:val="en-GB"/>
        </w:rPr>
        <w:t xml:space="preserve"> the efficiency of their distribution networks and supply chain operations (Scheiblecker, 2008). In addition, the different corporate cultures found in Austrian organisations, with their emphasis on formalities and structured hierarchies, could potentially impede effective communication and collaboration. Staff management and market penetration strategies may </w:t>
      </w:r>
      <w:proofErr w:type="gramStart"/>
      <w:r w:rsidRPr="00384395">
        <w:rPr>
          <w:rFonts w:ascii="Arial" w:hAnsi="Arial" w:cs="Arial"/>
          <w:color w:val="000000" w:themeColor="text1"/>
          <w:szCs w:val="24"/>
          <w:lang w:val="en-GB"/>
        </w:rPr>
        <w:t>encounter</w:t>
      </w:r>
      <w:proofErr w:type="gramEnd"/>
      <w:r w:rsidRPr="00384395">
        <w:rPr>
          <w:rFonts w:ascii="Arial" w:hAnsi="Arial" w:cs="Arial"/>
          <w:color w:val="000000" w:themeColor="text1"/>
          <w:szCs w:val="24"/>
          <w:lang w:val="en-GB"/>
        </w:rPr>
        <w:t xml:space="preserve"> challenges as a result of disparities in regional economic conditions across Austria. </w:t>
      </w:r>
      <w:r w:rsidRPr="00384395">
        <w:rPr>
          <w:rFonts w:ascii="Arial" w:hAnsi="Arial" w:cs="Arial"/>
          <w:color w:val="000000" w:themeColor="text1"/>
          <w:szCs w:val="24"/>
          <w:lang w:val="en-GB"/>
        </w:rPr>
        <w:lastRenderedPageBreak/>
        <w:t xml:space="preserve">Therefore, while Austria offers enticing growth prospects, Rolls-Royce must carefully evaluate these obstacles to ensure they are in line with its long-term </w:t>
      </w:r>
      <w:proofErr w:type="gramStart"/>
      <w:r w:rsidRPr="00384395">
        <w:rPr>
          <w:rFonts w:ascii="Arial" w:hAnsi="Arial" w:cs="Arial"/>
          <w:color w:val="000000" w:themeColor="text1"/>
          <w:szCs w:val="24"/>
          <w:lang w:val="en-GB"/>
        </w:rPr>
        <w:t>objectives</w:t>
      </w:r>
      <w:proofErr w:type="gramEnd"/>
      <w:r w:rsidRPr="00384395">
        <w:rPr>
          <w:rFonts w:ascii="Arial" w:hAnsi="Arial" w:cs="Arial"/>
          <w:color w:val="000000" w:themeColor="text1"/>
          <w:szCs w:val="24"/>
          <w:lang w:val="en-GB"/>
        </w:rPr>
        <w:t>. Considering the labour risks and social conditions among the Austrian populace is essential for achieving success in the Austrian market.</w:t>
      </w:r>
    </w:p>
    <w:p w14:paraId="53E6164F" w14:textId="785126F6" w:rsidR="002F0349" w:rsidRPr="00054B94" w:rsidRDefault="002F0349" w:rsidP="00C47F45">
      <w:pPr>
        <w:spacing w:line="360" w:lineRule="auto"/>
        <w:rPr>
          <w:rFonts w:ascii="Arial" w:hAnsi="Arial" w:cs="Arial"/>
          <w:color w:val="5B9BD5" w:themeColor="accent1"/>
          <w:szCs w:val="24"/>
          <w:lang w:val="en-GB"/>
        </w:rPr>
      </w:pPr>
      <w:r w:rsidRPr="00054B94">
        <w:rPr>
          <w:rFonts w:ascii="Arial" w:hAnsi="Arial" w:cs="Arial"/>
          <w:color w:val="5B9BD5" w:themeColor="accent1"/>
          <w:szCs w:val="24"/>
          <w:lang w:val="en-GB"/>
        </w:rPr>
        <w:t xml:space="preserve">Hofstede’s Tool. </w:t>
      </w:r>
    </w:p>
    <w:p w14:paraId="2E512076" w14:textId="44815F87" w:rsidR="00BD7D4C" w:rsidRDefault="00216E44" w:rsidP="005236F6">
      <w:pPr>
        <w:spacing w:line="360" w:lineRule="auto"/>
        <w:rPr>
          <w:rFonts w:ascii="Arial" w:hAnsi="Arial" w:cs="Arial"/>
          <w:color w:val="000000" w:themeColor="text1"/>
          <w:szCs w:val="24"/>
          <w:lang w:val="en-GB"/>
        </w:rPr>
      </w:pPr>
      <w:r w:rsidRPr="00216E44">
        <w:rPr>
          <w:rFonts w:ascii="Arial" w:hAnsi="Arial" w:cs="Arial"/>
          <w:color w:val="000000" w:themeColor="text1"/>
          <w:szCs w:val="24"/>
          <w:lang w:val="en-GB"/>
        </w:rPr>
        <w:t xml:space="preserve">Rolls-Royce's utilisation of Hofstede's cultural elements framework </w:t>
      </w:r>
      <w:proofErr w:type="gramStart"/>
      <w:r w:rsidRPr="00216E44">
        <w:rPr>
          <w:rFonts w:ascii="Arial" w:hAnsi="Arial" w:cs="Arial"/>
          <w:color w:val="000000" w:themeColor="text1"/>
          <w:szCs w:val="24"/>
          <w:lang w:val="en-GB"/>
        </w:rPr>
        <w:t>provides</w:t>
      </w:r>
      <w:proofErr w:type="gramEnd"/>
      <w:r w:rsidRPr="00216E44">
        <w:rPr>
          <w:rFonts w:ascii="Arial" w:hAnsi="Arial" w:cs="Arial"/>
          <w:color w:val="000000" w:themeColor="text1"/>
          <w:szCs w:val="24"/>
          <w:lang w:val="en-GB"/>
        </w:rPr>
        <w:t xml:space="preserve"> valuable insights into the potential cultural variations that may emerge during its expansion into various member states of the European Union. Slovakia, a country recognised for its significant power distance and comparatively lower levels of individualism, </w:t>
      </w:r>
      <w:proofErr w:type="gramStart"/>
      <w:r w:rsidRPr="00216E44">
        <w:rPr>
          <w:rFonts w:ascii="Arial" w:hAnsi="Arial" w:cs="Arial"/>
          <w:color w:val="000000" w:themeColor="text1"/>
          <w:szCs w:val="24"/>
          <w:lang w:val="en-GB"/>
        </w:rPr>
        <w:t>demonstrates</w:t>
      </w:r>
      <w:proofErr w:type="gramEnd"/>
      <w:r w:rsidRPr="00216E44">
        <w:rPr>
          <w:rFonts w:ascii="Arial" w:hAnsi="Arial" w:cs="Arial"/>
          <w:color w:val="000000" w:themeColor="text1"/>
          <w:szCs w:val="24"/>
          <w:lang w:val="en-GB"/>
        </w:rPr>
        <w:t xml:space="preserve"> a preference for hierarchical systems and an inclination to defer to authority. The communication dynamics and decision-making processes within the organisation are inevitably shaped by the prevailing cultural norms. On the other hand, the United Kingdom </w:t>
      </w:r>
      <w:proofErr w:type="gramStart"/>
      <w:r w:rsidRPr="00216E44">
        <w:rPr>
          <w:rFonts w:ascii="Arial" w:hAnsi="Arial" w:cs="Arial"/>
          <w:color w:val="000000" w:themeColor="text1"/>
          <w:szCs w:val="24"/>
          <w:lang w:val="en-GB"/>
        </w:rPr>
        <w:t>demonstrates</w:t>
      </w:r>
      <w:proofErr w:type="gramEnd"/>
      <w:r w:rsidRPr="00216E44">
        <w:rPr>
          <w:rFonts w:ascii="Arial" w:hAnsi="Arial" w:cs="Arial"/>
          <w:color w:val="000000" w:themeColor="text1"/>
          <w:szCs w:val="24"/>
          <w:lang w:val="en-GB"/>
        </w:rPr>
        <w:t xml:space="preserve"> a lower aversion to uncertainty and a stronger focus on individualism, leading to a greater willingness to accept ambiguity and engage in risky behaviours. (Hofstede Insights, n.d.). </w:t>
      </w:r>
      <w:proofErr w:type="gramStart"/>
      <w:r w:rsidRPr="00216E44">
        <w:rPr>
          <w:rFonts w:ascii="Arial" w:hAnsi="Arial" w:cs="Arial"/>
          <w:color w:val="000000" w:themeColor="text1"/>
          <w:szCs w:val="24"/>
          <w:lang w:val="en-GB"/>
        </w:rPr>
        <w:t>In order to</w:t>
      </w:r>
      <w:proofErr w:type="gramEnd"/>
      <w:r w:rsidRPr="00216E44">
        <w:rPr>
          <w:rFonts w:ascii="Arial" w:hAnsi="Arial" w:cs="Arial"/>
          <w:color w:val="000000" w:themeColor="text1"/>
          <w:szCs w:val="24"/>
          <w:lang w:val="en-GB"/>
        </w:rPr>
        <w:t xml:space="preserve"> effectively address cultural differences and foster cooperation in diverse markets, Rolls-Royce needs to adapt its organisational procedures and communication strategies, as emphasised by Deresky (2013). Flexibility and innovation are crucial for Rolls-Royce to thrive in the dynamic European business landscape.</w:t>
      </w:r>
    </w:p>
    <w:p w14:paraId="1F264069" w14:textId="32028B62" w:rsidR="00BD7D4C" w:rsidRDefault="00BD7D4C" w:rsidP="005236F6">
      <w:pPr>
        <w:spacing w:line="360" w:lineRule="auto"/>
        <w:rPr>
          <w:rFonts w:ascii="Arial" w:hAnsi="Arial" w:cs="Arial"/>
          <w:color w:val="000000" w:themeColor="text1"/>
          <w:szCs w:val="24"/>
          <w:lang w:val="en-GB"/>
        </w:rPr>
      </w:pPr>
      <w:r w:rsidRPr="00BD7D4C">
        <w:rPr>
          <w:rFonts w:ascii="Arial" w:hAnsi="Arial" w:cs="Arial"/>
          <w:noProof/>
          <w:color w:val="000000" w:themeColor="text1"/>
          <w:szCs w:val="24"/>
          <w:lang w:val="en-GB"/>
        </w:rPr>
        <w:lastRenderedPageBreak/>
        <w:drawing>
          <wp:inline distT="0" distB="0" distL="0" distR="0" wp14:anchorId="26AA05BF" wp14:editId="0A8C60AC">
            <wp:extent cx="5943600" cy="3156585"/>
            <wp:effectExtent l="0" t="0" r="0" b="5715"/>
            <wp:docPr id="2"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graph&#10;&#10;Description automatically generated"/>
                    <pic:cNvPicPr/>
                  </pic:nvPicPr>
                  <pic:blipFill>
                    <a:blip r:embed="rId12"/>
                    <a:stretch>
                      <a:fillRect/>
                    </a:stretch>
                  </pic:blipFill>
                  <pic:spPr>
                    <a:xfrm>
                      <a:off x="0" y="0"/>
                      <a:ext cx="5943600" cy="3156585"/>
                    </a:xfrm>
                    <a:prstGeom prst="rect">
                      <a:avLst/>
                    </a:prstGeom>
                  </pic:spPr>
                </pic:pic>
              </a:graphicData>
            </a:graphic>
          </wp:inline>
        </w:drawing>
      </w:r>
    </w:p>
    <w:p w14:paraId="0DDE726B" w14:textId="365ADA22" w:rsidR="00CB02DA" w:rsidRPr="00A45046" w:rsidRDefault="00CB02DA" w:rsidP="002D0EA7">
      <w:pPr>
        <w:spacing w:line="360" w:lineRule="auto"/>
        <w:jc w:val="center"/>
        <w:rPr>
          <w:rFonts w:ascii="Arial" w:hAnsi="Arial" w:cs="Arial"/>
          <w:color w:val="000000" w:themeColor="text1"/>
          <w:szCs w:val="24"/>
          <w:lang w:val="en-GB"/>
        </w:rPr>
      </w:pPr>
      <w:r w:rsidRPr="00CB02DA">
        <w:rPr>
          <w:rFonts w:ascii="Arial" w:hAnsi="Arial" w:cs="Arial"/>
          <w:i/>
          <w:iCs/>
          <w:color w:val="000000" w:themeColor="text1"/>
          <w:sz w:val="18"/>
          <w:szCs w:val="18"/>
          <w:lang w:val="en-GB"/>
        </w:rPr>
        <w:t xml:space="preserve">Graphic 1. Hofstede’s Tool- UK, </w:t>
      </w:r>
      <w:r w:rsidR="002B42CF" w:rsidRPr="00CB02DA">
        <w:rPr>
          <w:rFonts w:ascii="Arial" w:hAnsi="Arial" w:cs="Arial"/>
          <w:i/>
          <w:iCs/>
          <w:color w:val="000000" w:themeColor="text1"/>
          <w:sz w:val="18"/>
          <w:szCs w:val="18"/>
          <w:lang w:val="en-GB"/>
        </w:rPr>
        <w:t>Slovakia,</w:t>
      </w:r>
      <w:r w:rsidRPr="00CB02DA">
        <w:rPr>
          <w:rFonts w:ascii="Arial" w:hAnsi="Arial" w:cs="Arial"/>
          <w:i/>
          <w:iCs/>
          <w:color w:val="000000" w:themeColor="text1"/>
          <w:sz w:val="18"/>
          <w:szCs w:val="18"/>
          <w:lang w:val="en-GB"/>
        </w:rPr>
        <w:t xml:space="preserve"> and </w:t>
      </w:r>
      <w:r w:rsidR="00A45046">
        <w:rPr>
          <w:rFonts w:ascii="Arial" w:hAnsi="Arial" w:cs="Arial"/>
          <w:i/>
          <w:iCs/>
          <w:color w:val="000000" w:themeColor="text1"/>
          <w:sz w:val="18"/>
          <w:szCs w:val="18"/>
          <w:lang w:val="en-GB"/>
        </w:rPr>
        <w:t>Austria</w:t>
      </w:r>
    </w:p>
    <w:p w14:paraId="0D83FFF3" w14:textId="0F28A9DA" w:rsidR="00CB02DA" w:rsidRDefault="00CB02DA" w:rsidP="003241A0">
      <w:pPr>
        <w:spacing w:line="360" w:lineRule="auto"/>
        <w:rPr>
          <w:rFonts w:ascii="Arial" w:hAnsi="Arial" w:cs="Arial"/>
          <w:color w:val="000000" w:themeColor="text1"/>
          <w:szCs w:val="24"/>
          <w:lang w:val="en-GB"/>
        </w:rPr>
      </w:pPr>
    </w:p>
    <w:p w14:paraId="71AD094B" w14:textId="6E923178" w:rsidR="001615CC" w:rsidRPr="00E85064" w:rsidRDefault="00F82870" w:rsidP="001615CC">
      <w:pPr>
        <w:spacing w:line="360" w:lineRule="auto"/>
        <w:rPr>
          <w:rFonts w:ascii="Arial" w:hAnsi="Arial" w:cs="Arial"/>
          <w:b/>
          <w:bCs/>
          <w:color w:val="4472C4" w:themeColor="accent5"/>
          <w:szCs w:val="24"/>
          <w:lang w:val="en-GB"/>
        </w:rPr>
      </w:pPr>
      <w:r w:rsidRPr="00F82870">
        <w:rPr>
          <w:rFonts w:ascii="Arial" w:hAnsi="Arial" w:cs="Arial"/>
          <w:b/>
          <w:bCs/>
          <w:color w:val="4472C4" w:themeColor="accent5"/>
          <w:szCs w:val="24"/>
          <w:lang w:val="en-GB"/>
        </w:rPr>
        <w:t xml:space="preserve">Recommendations. </w:t>
      </w:r>
    </w:p>
    <w:p w14:paraId="1F6FBFB0" w14:textId="77777777" w:rsidR="00216E44" w:rsidRDefault="00216E44" w:rsidP="00177BAB">
      <w:pPr>
        <w:spacing w:line="360" w:lineRule="auto"/>
        <w:rPr>
          <w:rFonts w:ascii="Arial" w:hAnsi="Arial" w:cs="Arial"/>
          <w:color w:val="000000" w:themeColor="text1"/>
          <w:szCs w:val="24"/>
          <w:lang w:val="en-GB"/>
        </w:rPr>
      </w:pPr>
      <w:r w:rsidRPr="00216E44">
        <w:rPr>
          <w:rFonts w:ascii="Arial" w:hAnsi="Arial" w:cs="Arial"/>
          <w:color w:val="000000" w:themeColor="text1"/>
          <w:szCs w:val="24"/>
          <w:lang w:val="en-GB"/>
        </w:rPr>
        <w:t xml:space="preserve">Given the mentioned challenges, there are compelling reasons for Rolls-Royce to continue expanding its commercial operations into Austria. Austria's robust economy and prestigious reputation as a global hub for business and innovation offer significant opportunities for growth and market expansion. The nation's thriving aerospace sector presents an enticing opportunity for Rolls-Royce to </w:t>
      </w:r>
      <w:proofErr w:type="gramStart"/>
      <w:r w:rsidRPr="00216E44">
        <w:rPr>
          <w:rFonts w:ascii="Arial" w:hAnsi="Arial" w:cs="Arial"/>
          <w:color w:val="000000" w:themeColor="text1"/>
          <w:szCs w:val="24"/>
          <w:lang w:val="en-GB"/>
        </w:rPr>
        <w:t>establish</w:t>
      </w:r>
      <w:proofErr w:type="gramEnd"/>
      <w:r w:rsidRPr="00216E44">
        <w:rPr>
          <w:rFonts w:ascii="Arial" w:hAnsi="Arial" w:cs="Arial"/>
          <w:color w:val="000000" w:themeColor="text1"/>
          <w:szCs w:val="24"/>
          <w:lang w:val="en-GB"/>
        </w:rPr>
        <w:t xml:space="preserve"> a presence and capitalise on emerging prospects, despite the need to comply with regulations and the higher cost of living. In addition, the highly educated workforce in Austria, with their strong English language skills in professional settings, helps to overcome language barriers commonly </w:t>
      </w:r>
      <w:proofErr w:type="gramStart"/>
      <w:r w:rsidRPr="00216E44">
        <w:rPr>
          <w:rFonts w:ascii="Arial" w:hAnsi="Arial" w:cs="Arial"/>
          <w:color w:val="000000" w:themeColor="text1"/>
          <w:szCs w:val="24"/>
          <w:lang w:val="en-GB"/>
        </w:rPr>
        <w:t>encountered</w:t>
      </w:r>
      <w:proofErr w:type="gramEnd"/>
      <w:r w:rsidRPr="00216E44">
        <w:rPr>
          <w:rFonts w:ascii="Arial" w:hAnsi="Arial" w:cs="Arial"/>
          <w:color w:val="000000" w:themeColor="text1"/>
          <w:szCs w:val="24"/>
          <w:lang w:val="en-GB"/>
        </w:rPr>
        <w:t xml:space="preserve"> in global business ventures. While acknowledging the potential challenges posed by language and cultural differences, implementing language training programmes and cross-cultural communication workshops can be effective in bridging these gaps and fostering productive collaboration. In addition, Austria's commitment to improving infrastructure, albeit with certain limitations, </w:t>
      </w:r>
      <w:proofErr w:type="gramStart"/>
      <w:r w:rsidRPr="00216E44">
        <w:rPr>
          <w:rFonts w:ascii="Arial" w:hAnsi="Arial" w:cs="Arial"/>
          <w:color w:val="000000" w:themeColor="text1"/>
          <w:szCs w:val="24"/>
          <w:lang w:val="en-GB"/>
        </w:rPr>
        <w:t>provides</w:t>
      </w:r>
      <w:proofErr w:type="gramEnd"/>
      <w:r w:rsidRPr="00216E44">
        <w:rPr>
          <w:rFonts w:ascii="Arial" w:hAnsi="Arial" w:cs="Arial"/>
          <w:color w:val="000000" w:themeColor="text1"/>
          <w:szCs w:val="24"/>
          <w:lang w:val="en-GB"/>
        </w:rPr>
        <w:t xml:space="preserve"> a favourable environment for Rolls-Royce to strengthen its distribution networks and supply chain </w:t>
      </w:r>
      <w:r w:rsidRPr="00216E44">
        <w:rPr>
          <w:rFonts w:ascii="Arial" w:hAnsi="Arial" w:cs="Arial"/>
          <w:color w:val="000000" w:themeColor="text1"/>
          <w:szCs w:val="24"/>
          <w:lang w:val="en-GB"/>
        </w:rPr>
        <w:lastRenderedPageBreak/>
        <w:t xml:space="preserve">operations. Despite potential challenges stemming from regional economic differences and corporate culture variations, Rolls-Royce has the </w:t>
      </w:r>
      <w:proofErr w:type="gramStart"/>
      <w:r w:rsidRPr="00216E44">
        <w:rPr>
          <w:rFonts w:ascii="Arial" w:hAnsi="Arial" w:cs="Arial"/>
          <w:color w:val="000000" w:themeColor="text1"/>
          <w:szCs w:val="24"/>
          <w:lang w:val="en-GB"/>
        </w:rPr>
        <w:t>expertise</w:t>
      </w:r>
      <w:proofErr w:type="gramEnd"/>
      <w:r w:rsidRPr="00216E44">
        <w:rPr>
          <w:rFonts w:ascii="Arial" w:hAnsi="Arial" w:cs="Arial"/>
          <w:color w:val="000000" w:themeColor="text1"/>
          <w:szCs w:val="24"/>
          <w:lang w:val="en-GB"/>
        </w:rPr>
        <w:t xml:space="preserve"> to navigate diverse markets and overcome these obstacles, forming successful partnerships in Austria. The potential for Rolls-Royce to thrive in Austria's thriving business environment is immense. By thoroughly assessing the challenges at hand and aligning its strategy with its long-term goals, the company can make a significant contribution to the country's economic growth and innovation.</w:t>
      </w:r>
    </w:p>
    <w:p w14:paraId="3A7C70D8" w14:textId="0B323033" w:rsidR="00177BAB" w:rsidRPr="00177BAB" w:rsidRDefault="00914B7C" w:rsidP="00177BAB">
      <w:pPr>
        <w:spacing w:line="360" w:lineRule="auto"/>
        <w:rPr>
          <w:rFonts w:ascii="Arial" w:hAnsi="Arial" w:cs="Arial"/>
          <w:color w:val="000000" w:themeColor="text1"/>
          <w:szCs w:val="24"/>
          <w:lang w:val="en-GB"/>
        </w:rPr>
      </w:pPr>
      <w:r w:rsidRPr="006F469F">
        <w:rPr>
          <w:rFonts w:ascii="Arial" w:hAnsi="Arial" w:cs="Arial"/>
          <w:b/>
          <w:bCs/>
          <w:color w:val="4472C4" w:themeColor="accent5"/>
          <w:szCs w:val="24"/>
          <w:lang w:val="en-GB"/>
        </w:rPr>
        <w:t xml:space="preserve">Conclusion. </w:t>
      </w:r>
    </w:p>
    <w:p w14:paraId="27584D3B" w14:textId="1D2658F8" w:rsidR="0020272D" w:rsidRDefault="00DB44D5" w:rsidP="000F06AA">
      <w:pPr>
        <w:spacing w:line="360" w:lineRule="auto"/>
        <w:rPr>
          <w:rFonts w:ascii="Arial" w:hAnsi="Arial" w:cs="Arial"/>
          <w:b/>
          <w:bCs/>
          <w:color w:val="5B9BD5" w:themeColor="accent1"/>
          <w:szCs w:val="24"/>
          <w:lang w:val="en-GB"/>
        </w:rPr>
      </w:pPr>
      <w:r w:rsidRPr="00DB44D5">
        <w:rPr>
          <w:rFonts w:ascii="Arial" w:hAnsi="Arial" w:cs="Arial"/>
          <w:color w:val="000000" w:themeColor="text1"/>
          <w:szCs w:val="24"/>
          <w:lang w:val="en-GB"/>
        </w:rPr>
        <w:t xml:space="preserve">For a successful entry into the European Union market, it is crucial to have a deep understanding of the cultural, economic, and communication complexities involved. Through careful planning and flexibility, the company can make the most of the unique opportunities presented by the UK, Slovakia, and Austria. The UK's diverse culture, robust infrastructure, and innovative environment present a wealth of potential, while Slovakia's rapidly growing economy and skilled labour force </w:t>
      </w:r>
      <w:proofErr w:type="gramStart"/>
      <w:r w:rsidRPr="00DB44D5">
        <w:rPr>
          <w:rFonts w:ascii="Arial" w:hAnsi="Arial" w:cs="Arial"/>
          <w:color w:val="000000" w:themeColor="text1"/>
          <w:szCs w:val="24"/>
          <w:lang w:val="en-GB"/>
        </w:rPr>
        <w:t>provide</w:t>
      </w:r>
      <w:proofErr w:type="gramEnd"/>
      <w:r w:rsidRPr="00DB44D5">
        <w:rPr>
          <w:rFonts w:ascii="Arial" w:hAnsi="Arial" w:cs="Arial"/>
          <w:color w:val="000000" w:themeColor="text1"/>
          <w:szCs w:val="24"/>
          <w:lang w:val="en-GB"/>
        </w:rPr>
        <w:t xml:space="preserve"> promising opportunities. Austria's dynamic business landscape and dedication to cutting-edge ideas present promising prospects for growth, even in the face of linguistic and cultural differences. Implementing proactive measures such as language training programmes and cross-cultural communication seminars can effectively tackle these challenges. According to Müller and Schneider (2020), it is suggested that future research should delve into </w:t>
      </w:r>
      <w:r w:rsidRPr="00DB44D5">
        <w:rPr>
          <w:rFonts w:ascii="Arial" w:hAnsi="Arial" w:cs="Arial"/>
          <w:color w:val="000000" w:themeColor="text1"/>
          <w:szCs w:val="24"/>
          <w:lang w:val="en-GB"/>
        </w:rPr>
        <w:t>more</w:t>
      </w:r>
      <w:r w:rsidRPr="00DB44D5">
        <w:rPr>
          <w:rFonts w:ascii="Arial" w:hAnsi="Arial" w:cs="Arial"/>
          <w:color w:val="000000" w:themeColor="text1"/>
          <w:szCs w:val="24"/>
          <w:lang w:val="en-GB"/>
        </w:rPr>
        <w:t xml:space="preserve"> markets, cultural factors, and communication strategies. Rolls-Royce has the potential to thrive in the evolving European Union by embracing the richness of cultural diversity, fostering effective communication, and staying attuned to the nuances of the market.</w:t>
      </w:r>
    </w:p>
    <w:p w14:paraId="31F63668" w14:textId="4D91F651" w:rsidR="0020272D" w:rsidRDefault="0020272D" w:rsidP="000F06AA">
      <w:pPr>
        <w:spacing w:line="360" w:lineRule="auto"/>
        <w:rPr>
          <w:rFonts w:ascii="Arial" w:hAnsi="Arial" w:cs="Arial"/>
          <w:b/>
          <w:bCs/>
          <w:color w:val="5B9BD5" w:themeColor="accent1"/>
          <w:szCs w:val="24"/>
          <w:lang w:val="en-GB"/>
        </w:rPr>
      </w:pPr>
    </w:p>
    <w:p w14:paraId="73A37227" w14:textId="605F39E7" w:rsidR="0020272D" w:rsidRDefault="0020272D" w:rsidP="000F06AA">
      <w:pPr>
        <w:spacing w:line="360" w:lineRule="auto"/>
        <w:rPr>
          <w:rFonts w:ascii="Arial" w:hAnsi="Arial" w:cs="Arial"/>
          <w:b/>
          <w:bCs/>
          <w:color w:val="5B9BD5" w:themeColor="accent1"/>
          <w:szCs w:val="24"/>
          <w:lang w:val="en-GB"/>
        </w:rPr>
      </w:pPr>
    </w:p>
    <w:p w14:paraId="403D36F3" w14:textId="2BAF2256" w:rsidR="0020272D" w:rsidRDefault="0020272D" w:rsidP="000F06AA">
      <w:pPr>
        <w:spacing w:line="360" w:lineRule="auto"/>
        <w:rPr>
          <w:rFonts w:ascii="Arial" w:hAnsi="Arial" w:cs="Arial"/>
          <w:b/>
          <w:bCs/>
          <w:color w:val="5B9BD5" w:themeColor="accent1"/>
          <w:szCs w:val="24"/>
          <w:lang w:val="en-GB"/>
        </w:rPr>
      </w:pPr>
    </w:p>
    <w:p w14:paraId="78C4FCDA" w14:textId="38253F91" w:rsidR="00177BAB" w:rsidRDefault="00177BAB" w:rsidP="000F06AA">
      <w:pPr>
        <w:spacing w:line="360" w:lineRule="auto"/>
        <w:rPr>
          <w:rFonts w:ascii="Arial" w:hAnsi="Arial" w:cs="Arial"/>
          <w:b/>
          <w:bCs/>
          <w:color w:val="5B9BD5" w:themeColor="accent1"/>
          <w:szCs w:val="24"/>
          <w:lang w:val="en-GB"/>
        </w:rPr>
      </w:pPr>
    </w:p>
    <w:p w14:paraId="080467A2" w14:textId="2C08700B" w:rsidR="00177BAB" w:rsidRDefault="00177BAB" w:rsidP="000F06AA">
      <w:pPr>
        <w:spacing w:line="360" w:lineRule="auto"/>
        <w:rPr>
          <w:rFonts w:ascii="Arial" w:hAnsi="Arial" w:cs="Arial"/>
          <w:b/>
          <w:bCs/>
          <w:color w:val="5B9BD5" w:themeColor="accent1"/>
          <w:szCs w:val="24"/>
          <w:lang w:val="en-GB"/>
        </w:rPr>
      </w:pPr>
    </w:p>
    <w:p w14:paraId="5ABF26B1" w14:textId="723C4630" w:rsidR="00177BAB" w:rsidRDefault="00177BAB" w:rsidP="000F06AA">
      <w:pPr>
        <w:spacing w:line="360" w:lineRule="auto"/>
        <w:rPr>
          <w:rFonts w:ascii="Arial" w:hAnsi="Arial" w:cs="Arial"/>
          <w:b/>
          <w:bCs/>
          <w:color w:val="5B9BD5" w:themeColor="accent1"/>
          <w:szCs w:val="24"/>
          <w:lang w:val="en-GB"/>
        </w:rPr>
      </w:pPr>
    </w:p>
    <w:p w14:paraId="76719378" w14:textId="77777777" w:rsidR="00177BAB" w:rsidRDefault="00177BAB" w:rsidP="00C478F7">
      <w:pPr>
        <w:spacing w:line="360" w:lineRule="auto"/>
        <w:rPr>
          <w:rFonts w:ascii="Arial" w:hAnsi="Arial" w:cs="Arial"/>
          <w:b/>
          <w:bCs/>
          <w:color w:val="4472C4" w:themeColor="accent5"/>
          <w:szCs w:val="24"/>
          <w:lang w:val="en-GB"/>
        </w:rPr>
      </w:pPr>
    </w:p>
    <w:p w14:paraId="75D9C5F6" w14:textId="3D8D7295" w:rsidR="0063717D" w:rsidRPr="00C478F7" w:rsidRDefault="005D14E4" w:rsidP="00C478F7">
      <w:pPr>
        <w:spacing w:line="360" w:lineRule="auto"/>
        <w:rPr>
          <w:rFonts w:ascii="Arial" w:hAnsi="Arial" w:cs="Arial"/>
          <w:b/>
          <w:bCs/>
          <w:color w:val="4472C4" w:themeColor="accent5"/>
          <w:szCs w:val="24"/>
          <w:lang w:val="en-GB"/>
        </w:rPr>
      </w:pPr>
      <w:r w:rsidRPr="00E549B4">
        <w:rPr>
          <w:rFonts w:ascii="Arial" w:hAnsi="Arial" w:cs="Arial"/>
          <w:b/>
          <w:bCs/>
          <w:color w:val="4472C4" w:themeColor="accent5"/>
          <w:szCs w:val="24"/>
          <w:lang w:val="en-GB"/>
        </w:rPr>
        <w:t xml:space="preserve">References. </w:t>
      </w:r>
    </w:p>
    <w:p w14:paraId="17D6D5F8" w14:textId="27DB4670" w:rsidR="00C64788" w:rsidRDefault="00C64788" w:rsidP="00356DAE">
      <w:pPr>
        <w:pStyle w:val="ListParagraph"/>
        <w:spacing w:line="360" w:lineRule="auto"/>
        <w:rPr>
          <w:rFonts w:ascii="Arial" w:hAnsi="Arial" w:cs="Arial"/>
          <w:color w:val="000000" w:themeColor="text1"/>
          <w:szCs w:val="24"/>
          <w:lang w:val="en-GB"/>
        </w:rPr>
      </w:pPr>
      <w:r w:rsidRPr="00C64788">
        <w:rPr>
          <w:rFonts w:ascii="Arial" w:hAnsi="Arial" w:cs="Arial"/>
          <w:color w:val="000000" w:themeColor="text1"/>
          <w:szCs w:val="24"/>
          <w:lang w:val="en-GB"/>
        </w:rPr>
        <w:t>Anon (2010) Effective communication skills. MTD Training &amp; Ventus Publishing Aps.</w:t>
      </w:r>
    </w:p>
    <w:p w14:paraId="222A0B22" w14:textId="77777777" w:rsidR="00C64788" w:rsidRDefault="00C64788" w:rsidP="00356DAE">
      <w:pPr>
        <w:pStyle w:val="ListParagraph"/>
        <w:spacing w:line="360" w:lineRule="auto"/>
        <w:rPr>
          <w:rFonts w:ascii="Arial" w:hAnsi="Arial" w:cs="Arial"/>
          <w:color w:val="000000" w:themeColor="text1"/>
          <w:szCs w:val="24"/>
          <w:lang w:val="en-GB"/>
        </w:rPr>
      </w:pPr>
    </w:p>
    <w:p w14:paraId="71232CB6" w14:textId="29255266" w:rsidR="003227FC" w:rsidRDefault="003227FC" w:rsidP="00356DAE">
      <w:pPr>
        <w:pStyle w:val="ListParagraph"/>
        <w:spacing w:line="360" w:lineRule="auto"/>
        <w:rPr>
          <w:rFonts w:ascii="Arial" w:hAnsi="Arial" w:cs="Arial"/>
          <w:color w:val="000000" w:themeColor="text1"/>
          <w:szCs w:val="24"/>
          <w:lang w:val="en-GB"/>
        </w:rPr>
      </w:pPr>
      <w:r w:rsidRPr="003227FC">
        <w:rPr>
          <w:rFonts w:ascii="Arial" w:hAnsi="Arial" w:cs="Arial"/>
          <w:color w:val="000000" w:themeColor="text1"/>
          <w:szCs w:val="24"/>
          <w:lang w:val="en-GB"/>
        </w:rPr>
        <w:t xml:space="preserve">Bose, T. K., Chew, T. C., Purohit, S., </w:t>
      </w:r>
      <w:r w:rsidR="00120679">
        <w:rPr>
          <w:rFonts w:ascii="Arial" w:hAnsi="Arial" w:cs="Arial"/>
          <w:color w:val="000000" w:themeColor="text1"/>
          <w:szCs w:val="24"/>
          <w:lang w:val="en-GB"/>
        </w:rPr>
        <w:t>and</w:t>
      </w:r>
      <w:r w:rsidRPr="003227FC">
        <w:rPr>
          <w:rFonts w:ascii="Arial" w:hAnsi="Arial" w:cs="Arial"/>
          <w:color w:val="000000" w:themeColor="text1"/>
          <w:szCs w:val="24"/>
          <w:lang w:val="en-GB"/>
        </w:rPr>
        <w:t xml:space="preserve"> Moser, R. (2024). </w:t>
      </w:r>
      <w:r w:rsidRPr="00120679">
        <w:rPr>
          <w:rFonts w:ascii="Arial" w:hAnsi="Arial" w:cs="Arial"/>
          <w:i/>
          <w:iCs/>
          <w:color w:val="000000" w:themeColor="text1"/>
          <w:szCs w:val="24"/>
          <w:lang w:val="en-GB"/>
        </w:rPr>
        <w:t xml:space="preserve">International business entry modes and consumer ethnocentrism: A multi country perspective. </w:t>
      </w:r>
      <w:r w:rsidRPr="003227FC">
        <w:rPr>
          <w:rFonts w:ascii="Arial" w:hAnsi="Arial" w:cs="Arial"/>
          <w:color w:val="000000" w:themeColor="text1"/>
          <w:szCs w:val="24"/>
          <w:lang w:val="en-GB"/>
        </w:rPr>
        <w:t>Thunderbird International Business Review, 1–17.</w:t>
      </w:r>
      <w:r w:rsidR="00FA71B6">
        <w:rPr>
          <w:rFonts w:ascii="Arial" w:hAnsi="Arial" w:cs="Arial"/>
          <w:color w:val="000000" w:themeColor="text1"/>
          <w:szCs w:val="24"/>
          <w:lang w:val="en-GB"/>
        </w:rPr>
        <w:t xml:space="preserve"> Available at: </w:t>
      </w:r>
      <w:r w:rsidR="00FA71B6" w:rsidRPr="00FA71B6">
        <w:rPr>
          <w:rFonts w:ascii="Arial" w:hAnsi="Arial" w:cs="Arial"/>
          <w:color w:val="000000" w:themeColor="text1"/>
          <w:szCs w:val="24"/>
          <w:lang w:val="en-GB"/>
        </w:rPr>
        <w:t>https://doi.org/10.1002/tie.22376</w:t>
      </w:r>
    </w:p>
    <w:p w14:paraId="0ECE6870" w14:textId="77777777" w:rsidR="003227FC" w:rsidRDefault="003227FC" w:rsidP="00356DAE">
      <w:pPr>
        <w:pStyle w:val="ListParagraph"/>
        <w:spacing w:line="360" w:lineRule="auto"/>
        <w:rPr>
          <w:rFonts w:ascii="Arial" w:hAnsi="Arial" w:cs="Arial"/>
          <w:color w:val="000000" w:themeColor="text1"/>
          <w:szCs w:val="24"/>
          <w:lang w:val="en-GB"/>
        </w:rPr>
      </w:pPr>
    </w:p>
    <w:p w14:paraId="2D2F328F" w14:textId="0FC09831" w:rsidR="00E549B4" w:rsidRDefault="00E549B4" w:rsidP="00356DAE">
      <w:pPr>
        <w:pStyle w:val="ListParagraph"/>
        <w:spacing w:line="360" w:lineRule="auto"/>
        <w:rPr>
          <w:rFonts w:ascii="Arial" w:hAnsi="Arial" w:cs="Arial"/>
          <w:color w:val="000000" w:themeColor="text1"/>
          <w:szCs w:val="24"/>
          <w:lang w:val="en-GB"/>
        </w:rPr>
      </w:pPr>
      <w:r w:rsidRPr="00E549B4">
        <w:rPr>
          <w:rFonts w:ascii="Arial" w:hAnsi="Arial" w:cs="Arial"/>
          <w:color w:val="000000" w:themeColor="text1"/>
          <w:szCs w:val="24"/>
          <w:lang w:val="en-GB"/>
        </w:rPr>
        <w:t xml:space="preserve">Carte, </w:t>
      </w:r>
      <w:r w:rsidR="00B4090D" w:rsidRPr="00E549B4">
        <w:rPr>
          <w:rFonts w:ascii="Arial" w:hAnsi="Arial" w:cs="Arial"/>
          <w:color w:val="000000" w:themeColor="text1"/>
          <w:szCs w:val="24"/>
          <w:lang w:val="en-GB"/>
        </w:rPr>
        <w:t>P</w:t>
      </w:r>
      <w:r w:rsidR="00B4090D">
        <w:rPr>
          <w:rFonts w:ascii="Arial" w:hAnsi="Arial" w:cs="Arial"/>
          <w:color w:val="000000" w:themeColor="text1"/>
          <w:szCs w:val="24"/>
          <w:lang w:val="en-GB"/>
        </w:rPr>
        <w:t xml:space="preserve"> </w:t>
      </w:r>
      <w:r w:rsidR="00BF69F0">
        <w:rPr>
          <w:rFonts w:ascii="Arial" w:hAnsi="Arial" w:cs="Arial"/>
          <w:color w:val="000000" w:themeColor="text1"/>
          <w:szCs w:val="24"/>
          <w:lang w:val="en-GB"/>
        </w:rPr>
        <w:t xml:space="preserve">and </w:t>
      </w:r>
      <w:r w:rsidRPr="00E549B4">
        <w:rPr>
          <w:rFonts w:ascii="Arial" w:hAnsi="Arial" w:cs="Arial"/>
          <w:color w:val="000000" w:themeColor="text1"/>
          <w:szCs w:val="24"/>
          <w:lang w:val="en-GB"/>
        </w:rPr>
        <w:t>Fox, C. (2008</w:t>
      </w:r>
      <w:r w:rsidRPr="00C478F7">
        <w:rPr>
          <w:rFonts w:ascii="Arial" w:hAnsi="Arial" w:cs="Arial"/>
          <w:i/>
          <w:iCs/>
          <w:color w:val="000000" w:themeColor="text1"/>
          <w:szCs w:val="24"/>
          <w:lang w:val="en-GB"/>
        </w:rPr>
        <w:t>) Bridging the Culture Gap: A Practical Guide to International Business Communication</w:t>
      </w:r>
      <w:r w:rsidRPr="00E549B4">
        <w:rPr>
          <w:rFonts w:ascii="Arial" w:hAnsi="Arial" w:cs="Arial"/>
          <w:color w:val="000000" w:themeColor="text1"/>
          <w:szCs w:val="24"/>
          <w:lang w:val="en-GB"/>
        </w:rPr>
        <w:t>, London, Kogan Page</w:t>
      </w:r>
    </w:p>
    <w:p w14:paraId="6A9B3F9A" w14:textId="60E3F2CD" w:rsidR="00637050" w:rsidRDefault="00637050" w:rsidP="00356DAE">
      <w:pPr>
        <w:pStyle w:val="ListParagraph"/>
        <w:spacing w:line="360" w:lineRule="auto"/>
        <w:rPr>
          <w:rFonts w:ascii="Arial" w:hAnsi="Arial" w:cs="Arial"/>
          <w:color w:val="000000" w:themeColor="text1"/>
          <w:szCs w:val="24"/>
          <w:lang w:val="en-GB"/>
        </w:rPr>
      </w:pPr>
    </w:p>
    <w:p w14:paraId="23E685FB" w14:textId="5FC39704" w:rsidR="00637050" w:rsidRDefault="00637050" w:rsidP="00356DAE">
      <w:pPr>
        <w:pStyle w:val="ListParagraph"/>
        <w:spacing w:line="360" w:lineRule="auto"/>
        <w:rPr>
          <w:rFonts w:ascii="Arial" w:hAnsi="Arial" w:cs="Arial"/>
          <w:color w:val="000000" w:themeColor="text1"/>
          <w:szCs w:val="24"/>
          <w:lang w:val="en-GB"/>
        </w:rPr>
      </w:pPr>
      <w:r w:rsidRPr="00637050">
        <w:rPr>
          <w:rFonts w:ascii="Arial" w:hAnsi="Arial" w:cs="Arial"/>
          <w:color w:val="000000" w:themeColor="text1"/>
          <w:szCs w:val="24"/>
          <w:lang w:val="en-GB"/>
        </w:rPr>
        <w:t>Choudhry, T., Hassan, S. S., &amp; Shabi, S. (2020). U.S. economic uncertainty, EU business cycles, and the global financial crisis. International Journal of Finance and Economics, 25(1), 28–42. https://doi.org/10.1002/ijfe.1726</w:t>
      </w:r>
    </w:p>
    <w:p w14:paraId="2B529608" w14:textId="77777777" w:rsidR="0063717D" w:rsidRDefault="0063717D" w:rsidP="00356DAE">
      <w:pPr>
        <w:pStyle w:val="ListParagraph"/>
        <w:spacing w:line="360" w:lineRule="auto"/>
        <w:rPr>
          <w:rFonts w:ascii="Arial" w:hAnsi="Arial" w:cs="Arial"/>
          <w:color w:val="000000" w:themeColor="text1"/>
          <w:szCs w:val="24"/>
          <w:lang w:val="en-GB"/>
        </w:rPr>
      </w:pPr>
    </w:p>
    <w:p w14:paraId="0B71AFE4" w14:textId="1A528CC5" w:rsidR="00E549B4" w:rsidRDefault="00E549B4" w:rsidP="00356DAE">
      <w:pPr>
        <w:pStyle w:val="ListParagraph"/>
        <w:spacing w:line="360" w:lineRule="auto"/>
        <w:rPr>
          <w:rFonts w:ascii="Arial" w:hAnsi="Arial" w:cs="Arial"/>
          <w:color w:val="000000" w:themeColor="text1"/>
          <w:szCs w:val="24"/>
          <w:lang w:val="en-GB"/>
        </w:rPr>
      </w:pPr>
      <w:r w:rsidRPr="00E549B4">
        <w:rPr>
          <w:rFonts w:ascii="Arial" w:hAnsi="Arial" w:cs="Arial"/>
          <w:color w:val="000000" w:themeColor="text1"/>
          <w:szCs w:val="24"/>
          <w:lang w:val="en-GB"/>
        </w:rPr>
        <w:t xml:space="preserve">Deresky, H. (2013) </w:t>
      </w:r>
      <w:r w:rsidRPr="00442277">
        <w:rPr>
          <w:rFonts w:ascii="Arial" w:hAnsi="Arial" w:cs="Arial"/>
          <w:i/>
          <w:iCs/>
          <w:color w:val="000000" w:themeColor="text1"/>
          <w:szCs w:val="24"/>
          <w:lang w:val="en-GB"/>
        </w:rPr>
        <w:t>International Management: Managing Across Borders and Cultures</w:t>
      </w:r>
      <w:r w:rsidRPr="00E549B4">
        <w:rPr>
          <w:rFonts w:ascii="Arial" w:hAnsi="Arial" w:cs="Arial"/>
          <w:color w:val="000000" w:themeColor="text1"/>
          <w:szCs w:val="24"/>
          <w:lang w:val="en-GB"/>
        </w:rPr>
        <w:t>, London, Pearson</w:t>
      </w:r>
    </w:p>
    <w:p w14:paraId="6BEF2F90" w14:textId="77777777" w:rsidR="0063717D" w:rsidRDefault="0063717D" w:rsidP="00356DAE">
      <w:pPr>
        <w:pStyle w:val="ListParagraph"/>
        <w:spacing w:line="360" w:lineRule="auto"/>
        <w:rPr>
          <w:rFonts w:ascii="Arial" w:hAnsi="Arial" w:cs="Arial"/>
          <w:color w:val="000000" w:themeColor="text1"/>
          <w:szCs w:val="24"/>
          <w:lang w:val="en-GB"/>
        </w:rPr>
      </w:pPr>
    </w:p>
    <w:p w14:paraId="25E12499" w14:textId="20E266C2" w:rsidR="0063717D" w:rsidRDefault="00E549B4" w:rsidP="00356DAE">
      <w:pPr>
        <w:pStyle w:val="ListParagraph"/>
        <w:spacing w:line="360" w:lineRule="auto"/>
        <w:rPr>
          <w:rFonts w:ascii="Arial" w:hAnsi="Arial" w:cs="Arial"/>
          <w:color w:val="000000" w:themeColor="text1"/>
          <w:szCs w:val="24"/>
          <w:lang w:val="en-GB"/>
        </w:rPr>
      </w:pPr>
      <w:r w:rsidRPr="00E549B4">
        <w:rPr>
          <w:rFonts w:ascii="Arial" w:hAnsi="Arial" w:cs="Arial"/>
          <w:color w:val="000000" w:themeColor="text1"/>
          <w:szCs w:val="24"/>
          <w:lang w:val="en-GB"/>
        </w:rPr>
        <w:t>Dignen, B.</w:t>
      </w:r>
      <w:r w:rsidR="00BF69F0">
        <w:rPr>
          <w:rFonts w:ascii="Arial" w:hAnsi="Arial" w:cs="Arial"/>
          <w:color w:val="000000" w:themeColor="text1"/>
          <w:szCs w:val="24"/>
          <w:lang w:val="en-GB"/>
        </w:rPr>
        <w:t xml:space="preserve"> and</w:t>
      </w:r>
      <w:r w:rsidRPr="00E549B4">
        <w:rPr>
          <w:rFonts w:ascii="Arial" w:hAnsi="Arial" w:cs="Arial"/>
          <w:color w:val="000000" w:themeColor="text1"/>
          <w:szCs w:val="24"/>
          <w:lang w:val="en-GB"/>
        </w:rPr>
        <w:t xml:space="preserve"> McMaster, I. (2013) </w:t>
      </w:r>
      <w:r w:rsidRPr="00442277">
        <w:rPr>
          <w:rFonts w:ascii="Arial" w:hAnsi="Arial" w:cs="Arial"/>
          <w:i/>
          <w:iCs/>
          <w:color w:val="000000" w:themeColor="text1"/>
          <w:szCs w:val="24"/>
          <w:lang w:val="en-GB"/>
        </w:rPr>
        <w:t>Collins Effective International Business Communication</w:t>
      </w:r>
      <w:r w:rsidRPr="00E549B4">
        <w:rPr>
          <w:rFonts w:ascii="Arial" w:hAnsi="Arial" w:cs="Arial"/>
          <w:color w:val="000000" w:themeColor="text1"/>
          <w:szCs w:val="24"/>
          <w:lang w:val="en-GB"/>
        </w:rPr>
        <w:t>, London: Collins</w:t>
      </w:r>
    </w:p>
    <w:p w14:paraId="288CF00D" w14:textId="77777777" w:rsidR="003227FC" w:rsidRDefault="003227FC" w:rsidP="00356DAE">
      <w:pPr>
        <w:pStyle w:val="ListParagraph"/>
        <w:spacing w:line="360" w:lineRule="auto"/>
        <w:rPr>
          <w:rFonts w:ascii="Arial" w:hAnsi="Arial" w:cs="Arial"/>
          <w:color w:val="000000" w:themeColor="text1"/>
          <w:szCs w:val="24"/>
          <w:lang w:val="en-GB"/>
        </w:rPr>
      </w:pPr>
    </w:p>
    <w:p w14:paraId="130EC8D0" w14:textId="24ED91E8" w:rsidR="0063717D" w:rsidRDefault="003227FC" w:rsidP="00EF4A8E">
      <w:pPr>
        <w:pStyle w:val="ListParagraph"/>
        <w:spacing w:line="360" w:lineRule="auto"/>
        <w:rPr>
          <w:rFonts w:ascii="Arial" w:hAnsi="Arial" w:cs="Arial"/>
          <w:color w:val="000000" w:themeColor="text1"/>
          <w:szCs w:val="24"/>
          <w:lang w:val="bg-BG"/>
        </w:rPr>
      </w:pPr>
      <w:r w:rsidRPr="003227FC">
        <w:rPr>
          <w:rFonts w:ascii="Arial" w:hAnsi="Arial" w:cs="Arial"/>
          <w:color w:val="000000" w:themeColor="text1"/>
          <w:szCs w:val="24"/>
          <w:lang w:val="en-GB"/>
        </w:rPr>
        <w:t xml:space="preserve">Dooley, Allen. (2005) </w:t>
      </w:r>
      <w:r w:rsidRPr="003227FC">
        <w:rPr>
          <w:rFonts w:ascii="Arial" w:hAnsi="Arial" w:cs="Arial"/>
          <w:i/>
          <w:iCs/>
          <w:color w:val="000000" w:themeColor="text1"/>
          <w:szCs w:val="24"/>
          <w:lang w:val="en-GB"/>
        </w:rPr>
        <w:t>Business data communications</w:t>
      </w:r>
      <w:r w:rsidRPr="003227FC">
        <w:rPr>
          <w:rFonts w:ascii="Arial" w:hAnsi="Arial" w:cs="Arial"/>
          <w:color w:val="000000" w:themeColor="text1"/>
          <w:szCs w:val="24"/>
          <w:lang w:val="en-GB"/>
        </w:rPr>
        <w:t xml:space="preserve">. Upper Saddle River, </w:t>
      </w:r>
      <w:proofErr w:type="gramStart"/>
      <w:r w:rsidRPr="003227FC">
        <w:rPr>
          <w:rFonts w:ascii="Arial" w:hAnsi="Arial" w:cs="Arial"/>
          <w:color w:val="000000" w:themeColor="text1"/>
          <w:szCs w:val="24"/>
          <w:lang w:val="en-GB"/>
        </w:rPr>
        <w:t>N.J. :</w:t>
      </w:r>
      <w:proofErr w:type="gramEnd"/>
      <w:r w:rsidRPr="003227FC">
        <w:rPr>
          <w:rFonts w:ascii="Arial" w:hAnsi="Arial" w:cs="Arial"/>
          <w:color w:val="000000" w:themeColor="text1"/>
          <w:szCs w:val="24"/>
          <w:lang w:val="en-GB"/>
        </w:rPr>
        <w:t>, Pearson/Prentice Hall.</w:t>
      </w:r>
      <w:r w:rsidR="00FA71B6">
        <w:rPr>
          <w:rFonts w:ascii="Arial" w:hAnsi="Arial" w:cs="Arial"/>
          <w:color w:val="000000" w:themeColor="text1"/>
          <w:szCs w:val="24"/>
          <w:lang w:val="bg-BG"/>
        </w:rPr>
        <w:t xml:space="preserve"> </w:t>
      </w:r>
    </w:p>
    <w:p w14:paraId="49032AC0" w14:textId="77777777" w:rsidR="00EF4A8E" w:rsidRPr="008A51CB" w:rsidRDefault="00EF4A8E" w:rsidP="00EF4A8E">
      <w:pPr>
        <w:pStyle w:val="ListParagraph"/>
        <w:spacing w:line="360" w:lineRule="auto"/>
        <w:rPr>
          <w:rFonts w:ascii="Arial" w:hAnsi="Arial" w:cs="Arial"/>
          <w:color w:val="000000" w:themeColor="text1"/>
          <w:szCs w:val="24"/>
          <w:lang w:val="en-GB"/>
        </w:rPr>
      </w:pPr>
    </w:p>
    <w:p w14:paraId="364B58E7" w14:textId="351D11E3" w:rsidR="003D15DF" w:rsidRDefault="00C76EB6" w:rsidP="00F46F4A">
      <w:pPr>
        <w:pStyle w:val="ListParagraph"/>
        <w:spacing w:line="360" w:lineRule="auto"/>
        <w:rPr>
          <w:rFonts w:ascii="Arial" w:hAnsi="Arial" w:cs="Arial"/>
          <w:color w:val="000000" w:themeColor="text1"/>
          <w:szCs w:val="24"/>
          <w:lang w:val="en-GB"/>
        </w:rPr>
      </w:pPr>
      <w:r w:rsidRPr="00C76EB6">
        <w:rPr>
          <w:rFonts w:ascii="Arial" w:hAnsi="Arial" w:cs="Arial"/>
          <w:color w:val="000000" w:themeColor="text1"/>
          <w:szCs w:val="24"/>
          <w:lang w:val="en-GB"/>
        </w:rPr>
        <w:t xml:space="preserve">The Economist Intelligence Unit. "Rolls-Royce and the aerospace industry: A look at future opportunities and challenges." The Economist, </w:t>
      </w:r>
      <w:r>
        <w:rPr>
          <w:rFonts w:ascii="Arial" w:hAnsi="Arial" w:cs="Arial"/>
          <w:color w:val="000000" w:themeColor="text1"/>
          <w:szCs w:val="24"/>
          <w:lang w:val="en-GB"/>
        </w:rPr>
        <w:t xml:space="preserve">Available at: </w:t>
      </w:r>
      <w:r w:rsidRPr="00C76EB6">
        <w:rPr>
          <w:rFonts w:ascii="Arial" w:hAnsi="Arial" w:cs="Arial"/>
          <w:color w:val="000000" w:themeColor="text1"/>
          <w:szCs w:val="24"/>
          <w:lang w:val="en-GB"/>
        </w:rPr>
        <w:lastRenderedPageBreak/>
        <w:t xml:space="preserve">https://www.eiu.com/n/rolls-royce-and-the-aerospace-industry-a-look-at-future-opportunities-and-challenges/. </w:t>
      </w:r>
      <w:r>
        <w:rPr>
          <w:rFonts w:ascii="Arial" w:hAnsi="Arial" w:cs="Arial"/>
          <w:color w:val="000000" w:themeColor="text1"/>
          <w:szCs w:val="24"/>
          <w:lang w:val="en-GB"/>
        </w:rPr>
        <w:t>[</w:t>
      </w:r>
      <w:r w:rsidRPr="00C76EB6">
        <w:rPr>
          <w:rFonts w:ascii="Arial" w:hAnsi="Arial" w:cs="Arial"/>
          <w:color w:val="000000" w:themeColor="text1"/>
          <w:szCs w:val="24"/>
          <w:lang w:val="en-GB"/>
        </w:rPr>
        <w:t xml:space="preserve">Accessed </w:t>
      </w:r>
      <w:r>
        <w:rPr>
          <w:rFonts w:ascii="Arial" w:hAnsi="Arial" w:cs="Arial"/>
          <w:color w:val="000000" w:themeColor="text1"/>
          <w:szCs w:val="24"/>
          <w:lang w:val="en-GB"/>
        </w:rPr>
        <w:t xml:space="preserve">on </w:t>
      </w:r>
      <w:r w:rsidRPr="00C76EB6">
        <w:rPr>
          <w:rFonts w:ascii="Arial" w:hAnsi="Arial" w:cs="Arial"/>
          <w:color w:val="000000" w:themeColor="text1"/>
          <w:szCs w:val="24"/>
          <w:lang w:val="en-GB"/>
        </w:rPr>
        <w:t>10 April 2024.</w:t>
      </w:r>
      <w:r>
        <w:rPr>
          <w:rFonts w:ascii="Arial" w:hAnsi="Arial" w:cs="Arial"/>
          <w:color w:val="000000" w:themeColor="text1"/>
          <w:szCs w:val="24"/>
          <w:lang w:val="en-GB"/>
        </w:rPr>
        <w:t xml:space="preserve">] </w:t>
      </w:r>
    </w:p>
    <w:p w14:paraId="37440203" w14:textId="77777777" w:rsidR="00F46F4A" w:rsidRPr="00F46F4A" w:rsidRDefault="00F46F4A" w:rsidP="00F46F4A">
      <w:pPr>
        <w:pStyle w:val="ListParagraph"/>
        <w:spacing w:line="360" w:lineRule="auto"/>
        <w:rPr>
          <w:rFonts w:ascii="Arial" w:hAnsi="Arial" w:cs="Arial"/>
          <w:color w:val="000000" w:themeColor="text1"/>
          <w:szCs w:val="24"/>
          <w:lang w:val="en-GB"/>
        </w:rPr>
      </w:pPr>
    </w:p>
    <w:p w14:paraId="7538902C" w14:textId="32109EC2" w:rsidR="0063717D" w:rsidRDefault="00356DAE" w:rsidP="007D6CD4">
      <w:pPr>
        <w:pStyle w:val="ListParagraph"/>
        <w:spacing w:line="360" w:lineRule="auto"/>
        <w:rPr>
          <w:rFonts w:ascii="Arial" w:hAnsi="Arial" w:cs="Arial"/>
          <w:color w:val="000000" w:themeColor="text1"/>
          <w:szCs w:val="24"/>
          <w:lang w:val="en-GB"/>
        </w:rPr>
      </w:pPr>
      <w:r w:rsidRPr="00356DAE">
        <w:rPr>
          <w:rFonts w:ascii="Arial" w:hAnsi="Arial" w:cs="Arial"/>
          <w:color w:val="000000" w:themeColor="text1"/>
          <w:szCs w:val="24"/>
          <w:lang w:val="en-GB"/>
        </w:rPr>
        <w:t xml:space="preserve">Gutierrez, J. (2007). </w:t>
      </w:r>
      <w:r w:rsidRPr="007C5DA1">
        <w:rPr>
          <w:rFonts w:ascii="Arial" w:hAnsi="Arial" w:cs="Arial"/>
          <w:i/>
          <w:iCs/>
          <w:color w:val="000000" w:themeColor="text1"/>
          <w:szCs w:val="24"/>
          <w:lang w:val="en-GB"/>
        </w:rPr>
        <w:t>Business Data Communications and Networking: A Research Perspective</w:t>
      </w:r>
      <w:r w:rsidRPr="00356DAE">
        <w:rPr>
          <w:rFonts w:ascii="Arial" w:hAnsi="Arial" w:cs="Arial"/>
          <w:color w:val="000000" w:themeColor="text1"/>
          <w:szCs w:val="24"/>
          <w:lang w:val="en-GB"/>
        </w:rPr>
        <w:t>. Hershey, PA: Idea Group Pub.</w:t>
      </w:r>
    </w:p>
    <w:p w14:paraId="42A75949" w14:textId="77777777" w:rsidR="007D6CD4" w:rsidRPr="007D6CD4" w:rsidRDefault="007D6CD4" w:rsidP="007D6CD4">
      <w:pPr>
        <w:pStyle w:val="ListParagraph"/>
        <w:spacing w:line="360" w:lineRule="auto"/>
        <w:rPr>
          <w:rFonts w:ascii="Arial" w:hAnsi="Arial" w:cs="Arial"/>
          <w:color w:val="000000" w:themeColor="text1"/>
          <w:szCs w:val="24"/>
          <w:lang w:val="en-GB"/>
        </w:rPr>
      </w:pPr>
    </w:p>
    <w:p w14:paraId="00323361" w14:textId="31461E6F" w:rsidR="001F4640" w:rsidRDefault="001F4640" w:rsidP="00356DAE">
      <w:pPr>
        <w:pStyle w:val="ListParagraph"/>
        <w:spacing w:line="360" w:lineRule="auto"/>
        <w:rPr>
          <w:rFonts w:ascii="Arial" w:hAnsi="Arial" w:cs="Arial"/>
          <w:color w:val="000000" w:themeColor="text1"/>
          <w:szCs w:val="24"/>
          <w:lang w:val="en-GB"/>
        </w:rPr>
      </w:pPr>
      <w:r w:rsidRPr="001F4640">
        <w:rPr>
          <w:rFonts w:ascii="Arial" w:hAnsi="Arial" w:cs="Arial"/>
          <w:color w:val="000000" w:themeColor="text1"/>
          <w:szCs w:val="24"/>
          <w:lang w:val="en-GB"/>
        </w:rPr>
        <w:t>Hofstede, Geert. "Culture's Consequences: Comparing Values, Behaviours, Institutions and Organizations Across Nations." Sage Publications, 2001.</w:t>
      </w:r>
    </w:p>
    <w:p w14:paraId="141C9AF7" w14:textId="76C49F5A" w:rsidR="0063717D" w:rsidRDefault="001A211D" w:rsidP="00895E0C">
      <w:pPr>
        <w:pStyle w:val="ListParagraph"/>
        <w:spacing w:line="360" w:lineRule="auto"/>
        <w:rPr>
          <w:rFonts w:ascii="Arial" w:hAnsi="Arial" w:cs="Arial"/>
          <w:color w:val="000000" w:themeColor="text1"/>
          <w:szCs w:val="24"/>
          <w:lang w:val="en-GB"/>
        </w:rPr>
      </w:pPr>
      <w:r w:rsidRPr="001A211D">
        <w:rPr>
          <w:rFonts w:ascii="Arial" w:hAnsi="Arial" w:cs="Arial"/>
          <w:color w:val="000000" w:themeColor="text1"/>
          <w:szCs w:val="24"/>
          <w:lang w:val="en-GB"/>
        </w:rPr>
        <w:t>Hofstede Insights n.d., Country Comparison Tool,</w:t>
      </w:r>
      <w:r w:rsidR="00A34B5A" w:rsidRPr="001A211D">
        <w:rPr>
          <w:rFonts w:ascii="Arial" w:hAnsi="Arial" w:cs="Arial"/>
          <w:color w:val="000000" w:themeColor="text1"/>
          <w:szCs w:val="24"/>
          <w:lang w:val="en-GB"/>
        </w:rPr>
        <w:t xml:space="preserve"> Available</w:t>
      </w:r>
      <w:r w:rsidRPr="001A211D">
        <w:rPr>
          <w:rFonts w:ascii="Arial" w:hAnsi="Arial" w:cs="Arial"/>
          <w:color w:val="000000" w:themeColor="text1"/>
          <w:szCs w:val="24"/>
          <w:lang w:val="en-GB"/>
        </w:rPr>
        <w:t xml:space="preserve"> at:  &lt;https://www.hofstede-insights.com/country-comparison-tool?countries=germany%2Cunited+kingdom</w:t>
      </w:r>
      <w:r w:rsidR="00DD5148" w:rsidRPr="001A211D">
        <w:rPr>
          <w:rFonts w:ascii="Arial" w:hAnsi="Arial" w:cs="Arial"/>
          <w:color w:val="000000" w:themeColor="text1"/>
          <w:szCs w:val="24"/>
          <w:lang w:val="en-GB"/>
        </w:rPr>
        <w:t>&gt;.</w:t>
      </w:r>
      <w:r w:rsidR="00DD5148" w:rsidRPr="00DD5148">
        <w:rPr>
          <w:rFonts w:ascii="Arial" w:hAnsi="Arial" w:cs="Arial"/>
          <w:color w:val="000000" w:themeColor="text1"/>
          <w:szCs w:val="24"/>
          <w:lang w:val="en-GB"/>
        </w:rPr>
        <w:t xml:space="preserve"> [Accessed on 16th March 2024]</w:t>
      </w:r>
    </w:p>
    <w:p w14:paraId="3142789F" w14:textId="77777777" w:rsidR="00CA47C0" w:rsidRDefault="00CA47C0" w:rsidP="00CA47C0">
      <w:pPr>
        <w:pStyle w:val="ListParagraph"/>
        <w:spacing w:line="360" w:lineRule="auto"/>
        <w:rPr>
          <w:rFonts w:ascii="Arial" w:hAnsi="Arial" w:cs="Arial"/>
          <w:color w:val="000000" w:themeColor="text1"/>
          <w:szCs w:val="24"/>
          <w:lang w:val="en-GB"/>
        </w:rPr>
      </w:pPr>
    </w:p>
    <w:p w14:paraId="39251DB0" w14:textId="0BBEC970" w:rsidR="00DD5148" w:rsidRPr="00CA47C0" w:rsidRDefault="00DD5148" w:rsidP="00CA47C0">
      <w:pPr>
        <w:pStyle w:val="ListParagraph"/>
        <w:spacing w:line="360" w:lineRule="auto"/>
        <w:rPr>
          <w:rFonts w:ascii="Arial" w:hAnsi="Arial" w:cs="Arial"/>
          <w:color w:val="000000" w:themeColor="text1"/>
          <w:szCs w:val="24"/>
          <w:lang w:val="en-GB"/>
        </w:rPr>
      </w:pPr>
      <w:r w:rsidRPr="00CA47C0">
        <w:rPr>
          <w:rFonts w:ascii="Arial" w:hAnsi="Arial" w:cs="Arial"/>
          <w:color w:val="000000" w:themeColor="text1"/>
          <w:szCs w:val="24"/>
          <w:lang w:val="en-GB"/>
        </w:rPr>
        <w:t xml:space="preserve">Müller, C., </w:t>
      </w:r>
      <w:r w:rsidR="007D6CD4" w:rsidRPr="00CA47C0">
        <w:rPr>
          <w:rFonts w:ascii="Arial" w:hAnsi="Arial" w:cs="Arial"/>
          <w:color w:val="000000" w:themeColor="text1"/>
          <w:szCs w:val="24"/>
          <w:lang w:val="en-GB"/>
        </w:rPr>
        <w:t>and</w:t>
      </w:r>
      <w:r w:rsidRPr="00CA47C0">
        <w:rPr>
          <w:rFonts w:ascii="Arial" w:hAnsi="Arial" w:cs="Arial"/>
          <w:color w:val="000000" w:themeColor="text1"/>
          <w:szCs w:val="24"/>
          <w:lang w:val="en-GB"/>
        </w:rPr>
        <w:t xml:space="preserve"> Schneider, E. (2020). "The Impact of Cultural Dimensions on International Business Communication: A Case Study of Rolls-Royce's Expansion into European Markets." </w:t>
      </w:r>
      <w:r w:rsidRPr="00CA47C0">
        <w:rPr>
          <w:rFonts w:ascii="Arial" w:hAnsi="Arial" w:cs="Arial"/>
          <w:i/>
          <w:iCs/>
          <w:color w:val="000000" w:themeColor="text1"/>
          <w:szCs w:val="24"/>
          <w:lang w:val="en-GB"/>
        </w:rPr>
        <w:t>International Journal of Cross-Cultural Management,</w:t>
      </w:r>
      <w:r w:rsidRPr="00CA47C0">
        <w:rPr>
          <w:rFonts w:ascii="Arial" w:hAnsi="Arial" w:cs="Arial"/>
          <w:color w:val="000000" w:themeColor="text1"/>
          <w:szCs w:val="24"/>
          <w:lang w:val="en-GB"/>
        </w:rPr>
        <w:t xml:space="preserve"> 20(2), 189-205.</w:t>
      </w:r>
    </w:p>
    <w:p w14:paraId="035A7CDC" w14:textId="77777777" w:rsidR="00DD5148" w:rsidRPr="001A211D" w:rsidRDefault="00DD5148" w:rsidP="005946CF">
      <w:pPr>
        <w:pStyle w:val="ListParagraph"/>
        <w:spacing w:line="360" w:lineRule="auto"/>
        <w:rPr>
          <w:rFonts w:ascii="Arial" w:hAnsi="Arial" w:cs="Arial"/>
          <w:color w:val="000000" w:themeColor="text1"/>
          <w:szCs w:val="24"/>
          <w:lang w:val="en-GB"/>
        </w:rPr>
      </w:pPr>
    </w:p>
    <w:p w14:paraId="04621CEA" w14:textId="4021714A" w:rsidR="00E549B4" w:rsidRDefault="00E549B4" w:rsidP="00356DAE">
      <w:pPr>
        <w:pStyle w:val="ListParagraph"/>
        <w:spacing w:line="360" w:lineRule="auto"/>
        <w:rPr>
          <w:rFonts w:ascii="Arial" w:hAnsi="Arial" w:cs="Arial"/>
          <w:color w:val="000000" w:themeColor="text1"/>
          <w:szCs w:val="24"/>
          <w:lang w:val="en-GB"/>
        </w:rPr>
      </w:pPr>
      <w:r w:rsidRPr="00CF6297">
        <w:rPr>
          <w:rFonts w:ascii="Arial" w:hAnsi="Arial" w:cs="Arial"/>
          <w:color w:val="000000" w:themeColor="text1"/>
          <w:szCs w:val="24"/>
          <w:lang w:val="en-GB"/>
        </w:rPr>
        <w:t xml:space="preserve">Stallings, W. (2012) </w:t>
      </w:r>
      <w:r w:rsidRPr="00CE6D58">
        <w:rPr>
          <w:rFonts w:ascii="Arial" w:hAnsi="Arial" w:cs="Arial"/>
          <w:i/>
          <w:iCs/>
          <w:color w:val="000000" w:themeColor="text1"/>
          <w:szCs w:val="24"/>
          <w:lang w:val="en-GB"/>
        </w:rPr>
        <w:t>Business Data Communications</w:t>
      </w:r>
      <w:r w:rsidRPr="00CF6297">
        <w:rPr>
          <w:rFonts w:ascii="Arial" w:hAnsi="Arial" w:cs="Arial"/>
          <w:color w:val="000000" w:themeColor="text1"/>
          <w:szCs w:val="24"/>
          <w:lang w:val="en-GB"/>
        </w:rPr>
        <w:t>: International Version, London, Pearson</w:t>
      </w:r>
    </w:p>
    <w:p w14:paraId="518E25C7" w14:textId="77777777" w:rsidR="00B33796" w:rsidRDefault="00B33796" w:rsidP="00356DAE">
      <w:pPr>
        <w:pStyle w:val="ListParagraph"/>
        <w:spacing w:line="360" w:lineRule="auto"/>
        <w:rPr>
          <w:rFonts w:ascii="Arial" w:hAnsi="Arial" w:cs="Arial"/>
          <w:color w:val="000000" w:themeColor="text1"/>
          <w:szCs w:val="24"/>
          <w:lang w:val="en-GB"/>
        </w:rPr>
      </w:pPr>
    </w:p>
    <w:p w14:paraId="5E040B5B" w14:textId="752618B1" w:rsidR="00B33796" w:rsidRDefault="00B33796" w:rsidP="00356DAE">
      <w:pPr>
        <w:pStyle w:val="ListParagraph"/>
        <w:spacing w:line="360" w:lineRule="auto"/>
        <w:rPr>
          <w:rFonts w:ascii="Arial" w:hAnsi="Arial" w:cs="Arial"/>
          <w:color w:val="000000" w:themeColor="text1"/>
          <w:szCs w:val="24"/>
          <w:lang w:val="en-GB"/>
        </w:rPr>
      </w:pPr>
      <w:r w:rsidRPr="00B33796">
        <w:rPr>
          <w:rFonts w:ascii="Arial" w:hAnsi="Arial" w:cs="Arial"/>
          <w:color w:val="000000" w:themeColor="text1"/>
          <w:szCs w:val="24"/>
          <w:lang w:val="en-GB"/>
        </w:rPr>
        <w:t>Scheiblecker, M. (2008). The Austrian business cycle in the European context (First edition.). Peter Lang International Academic Publishing Group. https://doi.org/10.3726/b13975</w:t>
      </w:r>
    </w:p>
    <w:p w14:paraId="1409B5FE" w14:textId="77777777" w:rsidR="00B736CC" w:rsidRDefault="00B736CC" w:rsidP="00356DAE">
      <w:pPr>
        <w:pStyle w:val="ListParagraph"/>
        <w:spacing w:line="360" w:lineRule="auto"/>
        <w:rPr>
          <w:rFonts w:ascii="Arial" w:hAnsi="Arial" w:cs="Arial"/>
          <w:color w:val="000000" w:themeColor="text1"/>
          <w:szCs w:val="24"/>
          <w:lang w:val="en-GB"/>
        </w:rPr>
      </w:pPr>
    </w:p>
    <w:p w14:paraId="5F0D0214" w14:textId="7823E4B4" w:rsidR="002F0349" w:rsidRPr="00CF6297" w:rsidRDefault="002F0349" w:rsidP="00356DAE">
      <w:pPr>
        <w:pStyle w:val="ListParagraph"/>
        <w:spacing w:line="360" w:lineRule="auto"/>
        <w:rPr>
          <w:rFonts w:ascii="Arial" w:hAnsi="Arial" w:cs="Arial"/>
          <w:color w:val="000000" w:themeColor="text1"/>
          <w:szCs w:val="24"/>
          <w:lang w:val="en-GB"/>
        </w:rPr>
      </w:pPr>
      <w:r w:rsidRPr="002F0349">
        <w:rPr>
          <w:rFonts w:ascii="Arial" w:hAnsi="Arial" w:cs="Arial"/>
          <w:color w:val="000000" w:themeColor="text1"/>
          <w:szCs w:val="24"/>
          <w:lang w:val="en-GB"/>
        </w:rPr>
        <w:t xml:space="preserve">World Bank Group. "Slovakia: Country Overview." </w:t>
      </w:r>
      <w:r w:rsidRPr="00CE6D58">
        <w:rPr>
          <w:rFonts w:ascii="Arial" w:hAnsi="Arial" w:cs="Arial"/>
          <w:i/>
          <w:iCs/>
          <w:color w:val="000000" w:themeColor="text1"/>
          <w:szCs w:val="24"/>
          <w:lang w:val="en-GB"/>
        </w:rPr>
        <w:t>World Bank Group</w:t>
      </w:r>
      <w:r w:rsidRPr="002F0349">
        <w:rPr>
          <w:rFonts w:ascii="Arial" w:hAnsi="Arial" w:cs="Arial"/>
          <w:color w:val="000000" w:themeColor="text1"/>
          <w:szCs w:val="24"/>
          <w:lang w:val="en-GB"/>
        </w:rPr>
        <w:t xml:space="preserve">, </w:t>
      </w:r>
      <w:r>
        <w:rPr>
          <w:rFonts w:ascii="Arial" w:hAnsi="Arial" w:cs="Arial"/>
          <w:color w:val="000000" w:themeColor="text1"/>
          <w:szCs w:val="24"/>
          <w:lang w:val="en-GB"/>
        </w:rPr>
        <w:t xml:space="preserve">Available at: </w:t>
      </w:r>
      <w:r w:rsidRPr="002F0349">
        <w:rPr>
          <w:rFonts w:ascii="Arial" w:hAnsi="Arial" w:cs="Arial"/>
          <w:color w:val="000000" w:themeColor="text1"/>
          <w:szCs w:val="24"/>
          <w:lang w:val="en-GB"/>
        </w:rPr>
        <w:t xml:space="preserve">https://www.worldbank.org/en/country/slovakia/overview. </w:t>
      </w:r>
      <w:r>
        <w:rPr>
          <w:rFonts w:ascii="Arial" w:hAnsi="Arial" w:cs="Arial"/>
          <w:color w:val="000000" w:themeColor="text1"/>
          <w:szCs w:val="24"/>
          <w:lang w:val="en-GB"/>
        </w:rPr>
        <w:t>[</w:t>
      </w:r>
      <w:r w:rsidRPr="002F0349">
        <w:rPr>
          <w:rFonts w:ascii="Arial" w:hAnsi="Arial" w:cs="Arial"/>
          <w:color w:val="000000" w:themeColor="text1"/>
          <w:szCs w:val="24"/>
          <w:lang w:val="en-GB"/>
        </w:rPr>
        <w:t xml:space="preserve">Accessed </w:t>
      </w:r>
      <w:r>
        <w:rPr>
          <w:rFonts w:ascii="Arial" w:hAnsi="Arial" w:cs="Arial"/>
          <w:color w:val="000000" w:themeColor="text1"/>
          <w:szCs w:val="24"/>
          <w:lang w:val="en-GB"/>
        </w:rPr>
        <w:t xml:space="preserve">on </w:t>
      </w:r>
      <w:r w:rsidRPr="002F0349">
        <w:rPr>
          <w:rFonts w:ascii="Arial" w:hAnsi="Arial" w:cs="Arial"/>
          <w:color w:val="000000" w:themeColor="text1"/>
          <w:szCs w:val="24"/>
          <w:lang w:val="en-GB"/>
        </w:rPr>
        <w:t>10 April 2024.</w:t>
      </w:r>
      <w:r>
        <w:rPr>
          <w:rFonts w:ascii="Arial" w:hAnsi="Arial" w:cs="Arial"/>
          <w:color w:val="000000" w:themeColor="text1"/>
          <w:szCs w:val="24"/>
          <w:lang w:val="en-GB"/>
        </w:rPr>
        <w:t xml:space="preserve">] </w:t>
      </w:r>
    </w:p>
    <w:p w14:paraId="42FBF7D4" w14:textId="2A7B01A0" w:rsidR="00E549B4" w:rsidRPr="00E549B4" w:rsidRDefault="00CE6D58" w:rsidP="00CE6D58">
      <w:pPr>
        <w:tabs>
          <w:tab w:val="left" w:pos="6470"/>
        </w:tabs>
        <w:spacing w:line="360" w:lineRule="auto"/>
        <w:rPr>
          <w:rFonts w:ascii="Arial" w:hAnsi="Arial" w:cs="Arial"/>
          <w:color w:val="4472C4" w:themeColor="accent5"/>
          <w:szCs w:val="24"/>
          <w:lang w:val="en-GB"/>
        </w:rPr>
      </w:pPr>
      <w:r>
        <w:rPr>
          <w:rFonts w:ascii="Arial" w:hAnsi="Arial" w:cs="Arial"/>
          <w:color w:val="4472C4" w:themeColor="accent5"/>
          <w:szCs w:val="24"/>
          <w:lang w:val="en-GB"/>
        </w:rPr>
        <w:tab/>
      </w:r>
    </w:p>
    <w:p w14:paraId="102161AC" w14:textId="7DA87384" w:rsidR="00E549B4" w:rsidRPr="00E549B4" w:rsidRDefault="00E549B4" w:rsidP="00E549B4">
      <w:pPr>
        <w:spacing w:line="360" w:lineRule="auto"/>
        <w:rPr>
          <w:rFonts w:ascii="Arial" w:hAnsi="Arial" w:cs="Arial"/>
          <w:color w:val="4472C4" w:themeColor="accent5"/>
          <w:szCs w:val="24"/>
          <w:lang w:val="en-GB"/>
        </w:rPr>
      </w:pPr>
    </w:p>
    <w:p w14:paraId="6D75C894" w14:textId="07CDCC83" w:rsidR="005D14E4" w:rsidRPr="000F06AA" w:rsidRDefault="005D14E4" w:rsidP="000F06AA">
      <w:pPr>
        <w:pStyle w:val="ListParagraph"/>
        <w:spacing w:line="360" w:lineRule="auto"/>
        <w:rPr>
          <w:rFonts w:ascii="Arial" w:hAnsi="Arial" w:cs="Arial"/>
          <w:szCs w:val="24"/>
          <w:lang w:val="en-GB"/>
        </w:rPr>
      </w:pPr>
    </w:p>
    <w:p w14:paraId="6C4B7AF7" w14:textId="77777777" w:rsidR="005D14E4" w:rsidRPr="000F06AA" w:rsidRDefault="005D14E4" w:rsidP="000F06AA">
      <w:pPr>
        <w:spacing w:line="360" w:lineRule="auto"/>
        <w:rPr>
          <w:rFonts w:ascii="Arial" w:hAnsi="Arial" w:cs="Arial"/>
          <w:szCs w:val="24"/>
          <w:lang w:val="en-GB"/>
        </w:rPr>
      </w:pPr>
    </w:p>
    <w:sectPr w:rsidR="005D14E4" w:rsidRPr="000F06AA" w:rsidSect="00116098">
      <w:headerReference w:type="default" r:id="rId13"/>
      <w:footerReference w:type="default" r:id="rId14"/>
      <w:footerReference w:type="first" r:id="rId15"/>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A9DC9" w14:textId="77777777" w:rsidR="00B23E95" w:rsidRDefault="00B23E95" w:rsidP="00A87963">
      <w:pPr>
        <w:spacing w:after="0" w:line="240" w:lineRule="auto"/>
      </w:pPr>
      <w:r>
        <w:separator/>
      </w:r>
    </w:p>
  </w:endnote>
  <w:endnote w:type="continuationSeparator" w:id="0">
    <w:p w14:paraId="60722062" w14:textId="77777777" w:rsidR="00B23E95" w:rsidRDefault="00B23E95" w:rsidP="00A87963">
      <w:pPr>
        <w:spacing w:after="0" w:line="240" w:lineRule="auto"/>
      </w:pPr>
      <w:r>
        <w:continuationSeparator/>
      </w:r>
    </w:p>
  </w:endnote>
  <w:endnote w:type="continuationNotice" w:id="1">
    <w:p w14:paraId="6A782EA1" w14:textId="77777777" w:rsidR="00B23E95" w:rsidRDefault="00B23E9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6D183312" w:rsidR="00116098" w:rsidRDefault="00116098">
    <w:pPr>
      <w:tabs>
        <w:tab w:val="center" w:pos="4550"/>
        <w:tab w:val="left" w:pos="5818"/>
      </w:tabs>
      <w:ind w:right="260"/>
      <w:jc w:val="right"/>
      <w:rPr>
        <w:color w:val="222A35" w:themeColor="text2" w:themeShade="80"/>
        <w:szCs w:val="24"/>
      </w:rPr>
    </w:pPr>
    <w:r>
      <w:rPr>
        <w:color w:val="8496B0" w:themeColor="text2" w:themeTint="99"/>
        <w:spacing w:val="60"/>
        <w:szCs w:val="24"/>
        <w:lang w:val="en-GB"/>
      </w:rPr>
      <w:t>Page</w:t>
    </w:r>
    <w:r>
      <w:rPr>
        <w:color w:val="8496B0" w:themeColor="text2" w:themeTint="99"/>
        <w:szCs w:val="24"/>
        <w:lang w:val="en-GB"/>
      </w:rPr>
      <w:t xml:space="preserve"> </w:t>
    </w:r>
    <w:r>
      <w:rPr>
        <w:color w:val="323E4F" w:themeColor="text2" w:themeShade="BF"/>
        <w:szCs w:val="24"/>
      </w:rPr>
      <w:fldChar w:fldCharType="begin"/>
    </w:r>
    <w:r>
      <w:rPr>
        <w:color w:val="323E4F" w:themeColor="text2" w:themeShade="BF"/>
        <w:szCs w:val="24"/>
      </w:rPr>
      <w:instrText>PAGE   \* MERGEFORMAT</w:instrText>
    </w:r>
    <w:r>
      <w:rPr>
        <w:color w:val="323E4F" w:themeColor="text2" w:themeShade="BF"/>
        <w:szCs w:val="24"/>
      </w:rPr>
      <w:fldChar w:fldCharType="separate"/>
    </w:r>
    <w:r w:rsidR="00443CFD" w:rsidRPr="00443CFD">
      <w:rPr>
        <w:noProof/>
        <w:color w:val="323E4F" w:themeColor="text2" w:themeShade="BF"/>
        <w:szCs w:val="24"/>
        <w:lang w:val="en-GB"/>
      </w:rPr>
      <w:t>7</w:t>
    </w:r>
    <w:r>
      <w:rPr>
        <w:color w:val="323E4F" w:themeColor="text2" w:themeShade="BF"/>
        <w:szCs w:val="24"/>
      </w:rPr>
      <w:fldChar w:fldCharType="end"/>
    </w:r>
    <w:r>
      <w:rPr>
        <w:color w:val="323E4F" w:themeColor="text2" w:themeShade="BF"/>
        <w:szCs w:val="24"/>
        <w:lang w:val="en-GB"/>
      </w:rPr>
      <w:t xml:space="preserve"> | </w:t>
    </w:r>
    <w:r>
      <w:rPr>
        <w:color w:val="323E4F" w:themeColor="text2" w:themeShade="BF"/>
        <w:szCs w:val="24"/>
      </w:rPr>
      <w:fldChar w:fldCharType="begin"/>
    </w:r>
    <w:r>
      <w:rPr>
        <w:color w:val="323E4F" w:themeColor="text2" w:themeShade="BF"/>
        <w:szCs w:val="24"/>
      </w:rPr>
      <w:instrText>NUMPAGES  \* Arabic  \* MERGEFORMAT</w:instrText>
    </w:r>
    <w:r>
      <w:rPr>
        <w:color w:val="323E4F" w:themeColor="text2" w:themeShade="BF"/>
        <w:szCs w:val="24"/>
      </w:rPr>
      <w:fldChar w:fldCharType="separate"/>
    </w:r>
    <w:r w:rsidR="00443CFD" w:rsidRPr="00443CFD">
      <w:rPr>
        <w:noProof/>
        <w:color w:val="323E4F" w:themeColor="text2" w:themeShade="BF"/>
        <w:szCs w:val="24"/>
        <w:lang w:val="en-GB"/>
      </w:rPr>
      <w:t>8</w:t>
    </w:r>
    <w:r>
      <w:rPr>
        <w:color w:val="323E4F" w:themeColor="text2" w:themeShade="BF"/>
        <w:szCs w:val="24"/>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05884" w14:textId="77777777" w:rsidR="00B23E95" w:rsidRDefault="00B23E95" w:rsidP="00A87963">
      <w:pPr>
        <w:spacing w:after="0" w:line="240" w:lineRule="auto"/>
      </w:pPr>
      <w:r>
        <w:separator/>
      </w:r>
    </w:p>
  </w:footnote>
  <w:footnote w:type="continuationSeparator" w:id="0">
    <w:p w14:paraId="68039F9B" w14:textId="77777777" w:rsidR="00B23E95" w:rsidRDefault="00B23E95" w:rsidP="00A87963">
      <w:pPr>
        <w:spacing w:after="0" w:line="240" w:lineRule="auto"/>
      </w:pPr>
      <w:r>
        <w:continuationSeparator/>
      </w:r>
    </w:p>
  </w:footnote>
  <w:footnote w:type="continuationNotice" w:id="1">
    <w:p w14:paraId="4FCFF6E3" w14:textId="77777777" w:rsidR="00B23E95" w:rsidRDefault="00B23E9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lang w:val="en-GB" w:eastAsia="en-GB"/>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3"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4" w15:restartNumberingAfterBreak="0">
    <w:nsid w:val="1D742797"/>
    <w:multiLevelType w:val="hybridMultilevel"/>
    <w:tmpl w:val="7554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6"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D732657"/>
    <w:multiLevelType w:val="hybridMultilevel"/>
    <w:tmpl w:val="65C0F278"/>
    <w:lvl w:ilvl="0" w:tplc="75F47C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2851EDC"/>
    <w:multiLevelType w:val="multilevel"/>
    <w:tmpl w:val="D9FE74A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12423FD"/>
    <w:multiLevelType w:val="hybridMultilevel"/>
    <w:tmpl w:val="62BE8D0A"/>
    <w:lvl w:ilvl="0" w:tplc="B85E8E6C">
      <w:start w:val="1"/>
      <w:numFmt w:val="decimal"/>
      <w:lvlText w:val="%1."/>
      <w:lvlJc w:val="left"/>
      <w:pPr>
        <w:ind w:left="720" w:hanging="360"/>
      </w:pPr>
      <w:rPr>
        <w:rFonts w:hint="default"/>
        <w:color w:val="4472C4" w:themeColor="accent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A6F760D"/>
    <w:multiLevelType w:val="hybridMultilevel"/>
    <w:tmpl w:val="D9C29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5"/>
  </w:num>
  <w:num w:numId="3">
    <w:abstractNumId w:val="2"/>
  </w:num>
  <w:num w:numId="4">
    <w:abstractNumId w:val="0"/>
  </w:num>
  <w:num w:numId="5">
    <w:abstractNumId w:val="13"/>
  </w:num>
  <w:num w:numId="6">
    <w:abstractNumId w:val="1"/>
  </w:num>
  <w:num w:numId="7">
    <w:abstractNumId w:val="6"/>
  </w:num>
  <w:num w:numId="8">
    <w:abstractNumId w:val="8"/>
  </w:num>
  <w:num w:numId="9">
    <w:abstractNumId w:val="9"/>
  </w:num>
  <w:num w:numId="10">
    <w:abstractNumId w:val="7"/>
  </w:num>
  <w:num w:numId="11">
    <w:abstractNumId w:val="18"/>
  </w:num>
  <w:num w:numId="12">
    <w:abstractNumId w:val="15"/>
  </w:num>
  <w:num w:numId="13">
    <w:abstractNumId w:val="3"/>
  </w:num>
  <w:num w:numId="14">
    <w:abstractNumId w:val="14"/>
  </w:num>
  <w:num w:numId="15">
    <w:abstractNumId w:val="16"/>
  </w:num>
  <w:num w:numId="16">
    <w:abstractNumId w:val="12"/>
  </w:num>
  <w:num w:numId="17">
    <w:abstractNumId w:val="11"/>
  </w:num>
  <w:num w:numId="18">
    <w:abstractNumId w:val="4"/>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736C"/>
    <w:rsid w:val="00017B38"/>
    <w:rsid w:val="00020870"/>
    <w:rsid w:val="000219F2"/>
    <w:rsid w:val="0002655F"/>
    <w:rsid w:val="00031499"/>
    <w:rsid w:val="00032FC4"/>
    <w:rsid w:val="000340BD"/>
    <w:rsid w:val="00042356"/>
    <w:rsid w:val="00044C6A"/>
    <w:rsid w:val="000500C2"/>
    <w:rsid w:val="00052F69"/>
    <w:rsid w:val="00054B94"/>
    <w:rsid w:val="0005506F"/>
    <w:rsid w:val="00070E3D"/>
    <w:rsid w:val="000825B9"/>
    <w:rsid w:val="000A100E"/>
    <w:rsid w:val="000A3F66"/>
    <w:rsid w:val="000B160A"/>
    <w:rsid w:val="000B61FC"/>
    <w:rsid w:val="000C4E8F"/>
    <w:rsid w:val="000D034A"/>
    <w:rsid w:val="000D4BF0"/>
    <w:rsid w:val="000D5318"/>
    <w:rsid w:val="000E7ABE"/>
    <w:rsid w:val="000F06AA"/>
    <w:rsid w:val="000F23C6"/>
    <w:rsid w:val="000F5E54"/>
    <w:rsid w:val="000F6D2F"/>
    <w:rsid w:val="00104CC3"/>
    <w:rsid w:val="0010600C"/>
    <w:rsid w:val="00107D16"/>
    <w:rsid w:val="00107F4D"/>
    <w:rsid w:val="00116098"/>
    <w:rsid w:val="00120679"/>
    <w:rsid w:val="00132827"/>
    <w:rsid w:val="00135B24"/>
    <w:rsid w:val="0014308E"/>
    <w:rsid w:val="001438BB"/>
    <w:rsid w:val="001465BA"/>
    <w:rsid w:val="00153707"/>
    <w:rsid w:val="001559D7"/>
    <w:rsid w:val="0015750F"/>
    <w:rsid w:val="001609A0"/>
    <w:rsid w:val="001615CC"/>
    <w:rsid w:val="001675C2"/>
    <w:rsid w:val="00177BAB"/>
    <w:rsid w:val="00180D03"/>
    <w:rsid w:val="00185694"/>
    <w:rsid w:val="001941A2"/>
    <w:rsid w:val="001963F3"/>
    <w:rsid w:val="001A211D"/>
    <w:rsid w:val="001B27A2"/>
    <w:rsid w:val="001B4502"/>
    <w:rsid w:val="001B4DE0"/>
    <w:rsid w:val="001C2408"/>
    <w:rsid w:val="001C7879"/>
    <w:rsid w:val="001D07B9"/>
    <w:rsid w:val="001D5659"/>
    <w:rsid w:val="001E1473"/>
    <w:rsid w:val="001F0B77"/>
    <w:rsid w:val="001F1483"/>
    <w:rsid w:val="001F2BF7"/>
    <w:rsid w:val="001F3654"/>
    <w:rsid w:val="001F4640"/>
    <w:rsid w:val="001F4B66"/>
    <w:rsid w:val="001F7093"/>
    <w:rsid w:val="001F7BCA"/>
    <w:rsid w:val="00201C0A"/>
    <w:rsid w:val="0020272D"/>
    <w:rsid w:val="002034F8"/>
    <w:rsid w:val="00216E44"/>
    <w:rsid w:val="00220147"/>
    <w:rsid w:val="00231DF2"/>
    <w:rsid w:val="002421C9"/>
    <w:rsid w:val="00243106"/>
    <w:rsid w:val="00247AA7"/>
    <w:rsid w:val="00250165"/>
    <w:rsid w:val="00252188"/>
    <w:rsid w:val="002708FC"/>
    <w:rsid w:val="00273D92"/>
    <w:rsid w:val="00293630"/>
    <w:rsid w:val="002A477E"/>
    <w:rsid w:val="002B3ACB"/>
    <w:rsid w:val="002B42CF"/>
    <w:rsid w:val="002C0E1D"/>
    <w:rsid w:val="002D0EA7"/>
    <w:rsid w:val="002D185B"/>
    <w:rsid w:val="002D442D"/>
    <w:rsid w:val="002D61FB"/>
    <w:rsid w:val="002E15B9"/>
    <w:rsid w:val="002F0349"/>
    <w:rsid w:val="002F1A98"/>
    <w:rsid w:val="0030042C"/>
    <w:rsid w:val="00303416"/>
    <w:rsid w:val="00313403"/>
    <w:rsid w:val="00316736"/>
    <w:rsid w:val="00316C62"/>
    <w:rsid w:val="00317574"/>
    <w:rsid w:val="003227FC"/>
    <w:rsid w:val="003241A0"/>
    <w:rsid w:val="00326C6B"/>
    <w:rsid w:val="003303CC"/>
    <w:rsid w:val="0034536D"/>
    <w:rsid w:val="0034551D"/>
    <w:rsid w:val="00350D61"/>
    <w:rsid w:val="0035332F"/>
    <w:rsid w:val="00356DAE"/>
    <w:rsid w:val="00361283"/>
    <w:rsid w:val="0036727C"/>
    <w:rsid w:val="00367809"/>
    <w:rsid w:val="00367DEF"/>
    <w:rsid w:val="003747C6"/>
    <w:rsid w:val="00377719"/>
    <w:rsid w:val="00384395"/>
    <w:rsid w:val="00387446"/>
    <w:rsid w:val="00392740"/>
    <w:rsid w:val="00392FEF"/>
    <w:rsid w:val="003A4B60"/>
    <w:rsid w:val="003B5C28"/>
    <w:rsid w:val="003C58EC"/>
    <w:rsid w:val="003C5970"/>
    <w:rsid w:val="003C6E04"/>
    <w:rsid w:val="003D0887"/>
    <w:rsid w:val="003D15DF"/>
    <w:rsid w:val="003D2DC2"/>
    <w:rsid w:val="003D34B9"/>
    <w:rsid w:val="003E0E77"/>
    <w:rsid w:val="003E1A4F"/>
    <w:rsid w:val="003F01B0"/>
    <w:rsid w:val="003F0645"/>
    <w:rsid w:val="003F5AA7"/>
    <w:rsid w:val="003F5F96"/>
    <w:rsid w:val="003F65D5"/>
    <w:rsid w:val="0040091A"/>
    <w:rsid w:val="00403986"/>
    <w:rsid w:val="004111AB"/>
    <w:rsid w:val="004157A6"/>
    <w:rsid w:val="004342AC"/>
    <w:rsid w:val="00441CC2"/>
    <w:rsid w:val="00442277"/>
    <w:rsid w:val="00443071"/>
    <w:rsid w:val="00443CFD"/>
    <w:rsid w:val="00443EC6"/>
    <w:rsid w:val="00452DD7"/>
    <w:rsid w:val="004535BE"/>
    <w:rsid w:val="00460DC8"/>
    <w:rsid w:val="004616C5"/>
    <w:rsid w:val="00463B62"/>
    <w:rsid w:val="00466872"/>
    <w:rsid w:val="00467616"/>
    <w:rsid w:val="004729B7"/>
    <w:rsid w:val="0048115B"/>
    <w:rsid w:val="00487534"/>
    <w:rsid w:val="00491412"/>
    <w:rsid w:val="0049723B"/>
    <w:rsid w:val="004A0AA7"/>
    <w:rsid w:val="004A399E"/>
    <w:rsid w:val="004A43C9"/>
    <w:rsid w:val="004A57FF"/>
    <w:rsid w:val="004B5865"/>
    <w:rsid w:val="004C0F23"/>
    <w:rsid w:val="004C699A"/>
    <w:rsid w:val="004C7795"/>
    <w:rsid w:val="004D544F"/>
    <w:rsid w:val="004D61E4"/>
    <w:rsid w:val="004E4285"/>
    <w:rsid w:val="004E77F6"/>
    <w:rsid w:val="004E7C24"/>
    <w:rsid w:val="004F462A"/>
    <w:rsid w:val="005049E5"/>
    <w:rsid w:val="0050790A"/>
    <w:rsid w:val="005236F6"/>
    <w:rsid w:val="00530D77"/>
    <w:rsid w:val="00533FCF"/>
    <w:rsid w:val="00542089"/>
    <w:rsid w:val="00554E1E"/>
    <w:rsid w:val="00555C63"/>
    <w:rsid w:val="0055617A"/>
    <w:rsid w:val="00556619"/>
    <w:rsid w:val="0055668B"/>
    <w:rsid w:val="005615A6"/>
    <w:rsid w:val="005668A9"/>
    <w:rsid w:val="00571629"/>
    <w:rsid w:val="00582705"/>
    <w:rsid w:val="005841EC"/>
    <w:rsid w:val="00585DE3"/>
    <w:rsid w:val="00594554"/>
    <w:rsid w:val="005946CF"/>
    <w:rsid w:val="00596F29"/>
    <w:rsid w:val="005A4F8A"/>
    <w:rsid w:val="005B154E"/>
    <w:rsid w:val="005B3E9D"/>
    <w:rsid w:val="005B5FF2"/>
    <w:rsid w:val="005B64B9"/>
    <w:rsid w:val="005C1294"/>
    <w:rsid w:val="005C1D7A"/>
    <w:rsid w:val="005C27C2"/>
    <w:rsid w:val="005C27CC"/>
    <w:rsid w:val="005C604F"/>
    <w:rsid w:val="005D14E4"/>
    <w:rsid w:val="005D1CA5"/>
    <w:rsid w:val="005D4B96"/>
    <w:rsid w:val="005E00CA"/>
    <w:rsid w:val="005E34F8"/>
    <w:rsid w:val="005E5855"/>
    <w:rsid w:val="005F271D"/>
    <w:rsid w:val="005F55EC"/>
    <w:rsid w:val="005F6B52"/>
    <w:rsid w:val="00601124"/>
    <w:rsid w:val="00601ABF"/>
    <w:rsid w:val="00601E4F"/>
    <w:rsid w:val="00606522"/>
    <w:rsid w:val="00613081"/>
    <w:rsid w:val="00616E0F"/>
    <w:rsid w:val="00631E1D"/>
    <w:rsid w:val="00633FD8"/>
    <w:rsid w:val="00634601"/>
    <w:rsid w:val="00637050"/>
    <w:rsid w:val="0063717D"/>
    <w:rsid w:val="00640F64"/>
    <w:rsid w:val="006452A2"/>
    <w:rsid w:val="00646420"/>
    <w:rsid w:val="0065468E"/>
    <w:rsid w:val="0065581F"/>
    <w:rsid w:val="00655BBB"/>
    <w:rsid w:val="00655F09"/>
    <w:rsid w:val="006668C2"/>
    <w:rsid w:val="00667169"/>
    <w:rsid w:val="00672F1C"/>
    <w:rsid w:val="0067312B"/>
    <w:rsid w:val="006778F3"/>
    <w:rsid w:val="00677EE8"/>
    <w:rsid w:val="0068211E"/>
    <w:rsid w:val="00685CC4"/>
    <w:rsid w:val="0069104D"/>
    <w:rsid w:val="00691F2F"/>
    <w:rsid w:val="0069704C"/>
    <w:rsid w:val="006A2457"/>
    <w:rsid w:val="006C07B5"/>
    <w:rsid w:val="006C16B0"/>
    <w:rsid w:val="006C41BE"/>
    <w:rsid w:val="006C636D"/>
    <w:rsid w:val="006D1D75"/>
    <w:rsid w:val="006D7105"/>
    <w:rsid w:val="006E4D05"/>
    <w:rsid w:val="006E6208"/>
    <w:rsid w:val="006F469F"/>
    <w:rsid w:val="006F484A"/>
    <w:rsid w:val="006F6527"/>
    <w:rsid w:val="00700763"/>
    <w:rsid w:val="00701AEA"/>
    <w:rsid w:val="007076DF"/>
    <w:rsid w:val="00710FC6"/>
    <w:rsid w:val="00716C8E"/>
    <w:rsid w:val="00723011"/>
    <w:rsid w:val="00724A9B"/>
    <w:rsid w:val="00735BDB"/>
    <w:rsid w:val="00744BA7"/>
    <w:rsid w:val="00746CB3"/>
    <w:rsid w:val="007500F9"/>
    <w:rsid w:val="00756623"/>
    <w:rsid w:val="0076697C"/>
    <w:rsid w:val="0076794A"/>
    <w:rsid w:val="00767E89"/>
    <w:rsid w:val="00770EFD"/>
    <w:rsid w:val="00774327"/>
    <w:rsid w:val="007821AE"/>
    <w:rsid w:val="0078358C"/>
    <w:rsid w:val="0078402D"/>
    <w:rsid w:val="0078514F"/>
    <w:rsid w:val="00785C79"/>
    <w:rsid w:val="00793502"/>
    <w:rsid w:val="007B44F4"/>
    <w:rsid w:val="007C0146"/>
    <w:rsid w:val="007C4170"/>
    <w:rsid w:val="007C5DA1"/>
    <w:rsid w:val="007D6CD4"/>
    <w:rsid w:val="007D7A41"/>
    <w:rsid w:val="007E1C9F"/>
    <w:rsid w:val="007E1DA6"/>
    <w:rsid w:val="007F6A4A"/>
    <w:rsid w:val="00800FF0"/>
    <w:rsid w:val="008025FD"/>
    <w:rsid w:val="00810278"/>
    <w:rsid w:val="00814E59"/>
    <w:rsid w:val="008220D9"/>
    <w:rsid w:val="0082523B"/>
    <w:rsid w:val="00825315"/>
    <w:rsid w:val="00830587"/>
    <w:rsid w:val="008316E3"/>
    <w:rsid w:val="00831B7B"/>
    <w:rsid w:val="00831F77"/>
    <w:rsid w:val="00833325"/>
    <w:rsid w:val="00843FBD"/>
    <w:rsid w:val="008452A4"/>
    <w:rsid w:val="008548E2"/>
    <w:rsid w:val="00855D0F"/>
    <w:rsid w:val="0086401D"/>
    <w:rsid w:val="008641D0"/>
    <w:rsid w:val="00870232"/>
    <w:rsid w:val="008709AF"/>
    <w:rsid w:val="00871F3C"/>
    <w:rsid w:val="0087338F"/>
    <w:rsid w:val="00876458"/>
    <w:rsid w:val="00885E60"/>
    <w:rsid w:val="00891BAF"/>
    <w:rsid w:val="008929CF"/>
    <w:rsid w:val="00895E0C"/>
    <w:rsid w:val="00896A8A"/>
    <w:rsid w:val="008A1D70"/>
    <w:rsid w:val="008A4F36"/>
    <w:rsid w:val="008A51CB"/>
    <w:rsid w:val="008A68DB"/>
    <w:rsid w:val="008A6B62"/>
    <w:rsid w:val="008B1B91"/>
    <w:rsid w:val="008B1BEC"/>
    <w:rsid w:val="008B3FB5"/>
    <w:rsid w:val="008D07AF"/>
    <w:rsid w:val="008E39DF"/>
    <w:rsid w:val="008F0010"/>
    <w:rsid w:val="008F08C5"/>
    <w:rsid w:val="008F10F4"/>
    <w:rsid w:val="008F2209"/>
    <w:rsid w:val="008F674A"/>
    <w:rsid w:val="00901C15"/>
    <w:rsid w:val="00906FF6"/>
    <w:rsid w:val="009104B8"/>
    <w:rsid w:val="009140DF"/>
    <w:rsid w:val="00914B7C"/>
    <w:rsid w:val="00922C5D"/>
    <w:rsid w:val="00925965"/>
    <w:rsid w:val="009312C3"/>
    <w:rsid w:val="009418DF"/>
    <w:rsid w:val="00946967"/>
    <w:rsid w:val="009524E6"/>
    <w:rsid w:val="00953071"/>
    <w:rsid w:val="0095636B"/>
    <w:rsid w:val="0097087D"/>
    <w:rsid w:val="009735CA"/>
    <w:rsid w:val="00973683"/>
    <w:rsid w:val="00973865"/>
    <w:rsid w:val="009739CD"/>
    <w:rsid w:val="00974DA5"/>
    <w:rsid w:val="0097779A"/>
    <w:rsid w:val="00983AC8"/>
    <w:rsid w:val="00997490"/>
    <w:rsid w:val="009A7CE6"/>
    <w:rsid w:val="009B5078"/>
    <w:rsid w:val="009C22F5"/>
    <w:rsid w:val="009C5781"/>
    <w:rsid w:val="009D028E"/>
    <w:rsid w:val="009D7246"/>
    <w:rsid w:val="009D737E"/>
    <w:rsid w:val="009E2BC3"/>
    <w:rsid w:val="009E3198"/>
    <w:rsid w:val="009E7ADF"/>
    <w:rsid w:val="009F0475"/>
    <w:rsid w:val="009F2719"/>
    <w:rsid w:val="009F3209"/>
    <w:rsid w:val="00A009C5"/>
    <w:rsid w:val="00A01924"/>
    <w:rsid w:val="00A06628"/>
    <w:rsid w:val="00A24387"/>
    <w:rsid w:val="00A25970"/>
    <w:rsid w:val="00A26F59"/>
    <w:rsid w:val="00A30FAD"/>
    <w:rsid w:val="00A31657"/>
    <w:rsid w:val="00A34B5A"/>
    <w:rsid w:val="00A4045A"/>
    <w:rsid w:val="00A43E77"/>
    <w:rsid w:val="00A45046"/>
    <w:rsid w:val="00A453FA"/>
    <w:rsid w:val="00A60769"/>
    <w:rsid w:val="00A65C90"/>
    <w:rsid w:val="00A75073"/>
    <w:rsid w:val="00A87963"/>
    <w:rsid w:val="00A93441"/>
    <w:rsid w:val="00AB0327"/>
    <w:rsid w:val="00AB63D9"/>
    <w:rsid w:val="00AB7979"/>
    <w:rsid w:val="00AC23CF"/>
    <w:rsid w:val="00AD2F7B"/>
    <w:rsid w:val="00AD5CCB"/>
    <w:rsid w:val="00AE01FF"/>
    <w:rsid w:val="00AE1303"/>
    <w:rsid w:val="00AE281F"/>
    <w:rsid w:val="00AE3594"/>
    <w:rsid w:val="00AE63AA"/>
    <w:rsid w:val="00AF40B5"/>
    <w:rsid w:val="00B00B65"/>
    <w:rsid w:val="00B020CB"/>
    <w:rsid w:val="00B02E54"/>
    <w:rsid w:val="00B03068"/>
    <w:rsid w:val="00B14EE3"/>
    <w:rsid w:val="00B163C1"/>
    <w:rsid w:val="00B23E95"/>
    <w:rsid w:val="00B31CB4"/>
    <w:rsid w:val="00B33796"/>
    <w:rsid w:val="00B4090D"/>
    <w:rsid w:val="00B42E7D"/>
    <w:rsid w:val="00B472F3"/>
    <w:rsid w:val="00B54685"/>
    <w:rsid w:val="00B57405"/>
    <w:rsid w:val="00B65F4E"/>
    <w:rsid w:val="00B70DD8"/>
    <w:rsid w:val="00B736CC"/>
    <w:rsid w:val="00B760AA"/>
    <w:rsid w:val="00B82FAB"/>
    <w:rsid w:val="00B84B6C"/>
    <w:rsid w:val="00B8629E"/>
    <w:rsid w:val="00B9003A"/>
    <w:rsid w:val="00B94685"/>
    <w:rsid w:val="00BA64BE"/>
    <w:rsid w:val="00BB19C3"/>
    <w:rsid w:val="00BB5124"/>
    <w:rsid w:val="00BB536C"/>
    <w:rsid w:val="00BD1751"/>
    <w:rsid w:val="00BD7A9F"/>
    <w:rsid w:val="00BD7D4C"/>
    <w:rsid w:val="00BE2359"/>
    <w:rsid w:val="00BF1CC5"/>
    <w:rsid w:val="00BF23F0"/>
    <w:rsid w:val="00BF32E4"/>
    <w:rsid w:val="00BF69F0"/>
    <w:rsid w:val="00C05E71"/>
    <w:rsid w:val="00C07487"/>
    <w:rsid w:val="00C12202"/>
    <w:rsid w:val="00C152AA"/>
    <w:rsid w:val="00C31E85"/>
    <w:rsid w:val="00C40626"/>
    <w:rsid w:val="00C40EA8"/>
    <w:rsid w:val="00C4253F"/>
    <w:rsid w:val="00C433B6"/>
    <w:rsid w:val="00C478F7"/>
    <w:rsid w:val="00C47981"/>
    <w:rsid w:val="00C47F45"/>
    <w:rsid w:val="00C6117F"/>
    <w:rsid w:val="00C620B7"/>
    <w:rsid w:val="00C64788"/>
    <w:rsid w:val="00C65D0D"/>
    <w:rsid w:val="00C752BB"/>
    <w:rsid w:val="00C76EB6"/>
    <w:rsid w:val="00C8000A"/>
    <w:rsid w:val="00C8196E"/>
    <w:rsid w:val="00C83FA0"/>
    <w:rsid w:val="00C86520"/>
    <w:rsid w:val="00C918DA"/>
    <w:rsid w:val="00C974E9"/>
    <w:rsid w:val="00CA1246"/>
    <w:rsid w:val="00CA47C0"/>
    <w:rsid w:val="00CB02DA"/>
    <w:rsid w:val="00CB191C"/>
    <w:rsid w:val="00CB359B"/>
    <w:rsid w:val="00CB40B2"/>
    <w:rsid w:val="00CB77F4"/>
    <w:rsid w:val="00CC2C75"/>
    <w:rsid w:val="00CC43B1"/>
    <w:rsid w:val="00CC57CE"/>
    <w:rsid w:val="00CD3A72"/>
    <w:rsid w:val="00CD5FB3"/>
    <w:rsid w:val="00CD7520"/>
    <w:rsid w:val="00CE0804"/>
    <w:rsid w:val="00CE6D58"/>
    <w:rsid w:val="00CF1F68"/>
    <w:rsid w:val="00CF25C0"/>
    <w:rsid w:val="00CF31F6"/>
    <w:rsid w:val="00CF51EE"/>
    <w:rsid w:val="00CF5FA9"/>
    <w:rsid w:val="00CF6297"/>
    <w:rsid w:val="00D1600B"/>
    <w:rsid w:val="00D160B6"/>
    <w:rsid w:val="00D1685F"/>
    <w:rsid w:val="00D22789"/>
    <w:rsid w:val="00D25CE0"/>
    <w:rsid w:val="00D2621E"/>
    <w:rsid w:val="00D32B26"/>
    <w:rsid w:val="00D33D0D"/>
    <w:rsid w:val="00D35960"/>
    <w:rsid w:val="00D445D9"/>
    <w:rsid w:val="00D5235F"/>
    <w:rsid w:val="00D53E66"/>
    <w:rsid w:val="00D63F71"/>
    <w:rsid w:val="00D7128D"/>
    <w:rsid w:val="00D721E1"/>
    <w:rsid w:val="00D73666"/>
    <w:rsid w:val="00D830AC"/>
    <w:rsid w:val="00D90D7D"/>
    <w:rsid w:val="00D93E22"/>
    <w:rsid w:val="00D940C8"/>
    <w:rsid w:val="00D948AE"/>
    <w:rsid w:val="00D96DA2"/>
    <w:rsid w:val="00D971B3"/>
    <w:rsid w:val="00DA0A9B"/>
    <w:rsid w:val="00DA5DC7"/>
    <w:rsid w:val="00DA604E"/>
    <w:rsid w:val="00DB3D07"/>
    <w:rsid w:val="00DB44D5"/>
    <w:rsid w:val="00DC05F5"/>
    <w:rsid w:val="00DC45C2"/>
    <w:rsid w:val="00DD03EF"/>
    <w:rsid w:val="00DD1C25"/>
    <w:rsid w:val="00DD5148"/>
    <w:rsid w:val="00DD7325"/>
    <w:rsid w:val="00DD7C44"/>
    <w:rsid w:val="00DE3293"/>
    <w:rsid w:val="00DF197C"/>
    <w:rsid w:val="00DF25C3"/>
    <w:rsid w:val="00DF607F"/>
    <w:rsid w:val="00E051AD"/>
    <w:rsid w:val="00E076C4"/>
    <w:rsid w:val="00E10ADD"/>
    <w:rsid w:val="00E168E4"/>
    <w:rsid w:val="00E22B0C"/>
    <w:rsid w:val="00E2719F"/>
    <w:rsid w:val="00E3267C"/>
    <w:rsid w:val="00E378F7"/>
    <w:rsid w:val="00E41561"/>
    <w:rsid w:val="00E47369"/>
    <w:rsid w:val="00E50C0D"/>
    <w:rsid w:val="00E50CA9"/>
    <w:rsid w:val="00E520CA"/>
    <w:rsid w:val="00E521EF"/>
    <w:rsid w:val="00E549B4"/>
    <w:rsid w:val="00E60944"/>
    <w:rsid w:val="00E651B5"/>
    <w:rsid w:val="00E679E1"/>
    <w:rsid w:val="00E710C1"/>
    <w:rsid w:val="00E81B7A"/>
    <w:rsid w:val="00E82652"/>
    <w:rsid w:val="00E82E2F"/>
    <w:rsid w:val="00E85064"/>
    <w:rsid w:val="00EA1F70"/>
    <w:rsid w:val="00EA5E18"/>
    <w:rsid w:val="00EB6BD9"/>
    <w:rsid w:val="00EC24F9"/>
    <w:rsid w:val="00EC334F"/>
    <w:rsid w:val="00ED76EC"/>
    <w:rsid w:val="00ED7F23"/>
    <w:rsid w:val="00EE31F4"/>
    <w:rsid w:val="00EE3895"/>
    <w:rsid w:val="00EE4198"/>
    <w:rsid w:val="00EE5F05"/>
    <w:rsid w:val="00EE6A55"/>
    <w:rsid w:val="00EF254A"/>
    <w:rsid w:val="00EF3804"/>
    <w:rsid w:val="00EF4A8E"/>
    <w:rsid w:val="00EF727D"/>
    <w:rsid w:val="00F04F2D"/>
    <w:rsid w:val="00F06D92"/>
    <w:rsid w:val="00F10F58"/>
    <w:rsid w:val="00F135C5"/>
    <w:rsid w:val="00F13B33"/>
    <w:rsid w:val="00F1521F"/>
    <w:rsid w:val="00F2078F"/>
    <w:rsid w:val="00F20BB2"/>
    <w:rsid w:val="00F22F61"/>
    <w:rsid w:val="00F265CD"/>
    <w:rsid w:val="00F26DAE"/>
    <w:rsid w:val="00F33CE1"/>
    <w:rsid w:val="00F3532D"/>
    <w:rsid w:val="00F40998"/>
    <w:rsid w:val="00F41D13"/>
    <w:rsid w:val="00F42962"/>
    <w:rsid w:val="00F44656"/>
    <w:rsid w:val="00F44C6A"/>
    <w:rsid w:val="00F4586D"/>
    <w:rsid w:val="00F46F4A"/>
    <w:rsid w:val="00F552B6"/>
    <w:rsid w:val="00F633B9"/>
    <w:rsid w:val="00F72058"/>
    <w:rsid w:val="00F81056"/>
    <w:rsid w:val="00F82870"/>
    <w:rsid w:val="00F92D7E"/>
    <w:rsid w:val="00F94451"/>
    <w:rsid w:val="00F94AEA"/>
    <w:rsid w:val="00FA2DE5"/>
    <w:rsid w:val="00FA69F8"/>
    <w:rsid w:val="00FA71B6"/>
    <w:rsid w:val="00FB0F1E"/>
    <w:rsid w:val="00FB1FA0"/>
    <w:rsid w:val="00FB6AEC"/>
    <w:rsid w:val="00FB6E74"/>
    <w:rsid w:val="00FC0AB4"/>
    <w:rsid w:val="00FC6442"/>
    <w:rsid w:val="00FDBB01"/>
    <w:rsid w:val="00FE1D96"/>
    <w:rsid w:val="00FF0F42"/>
    <w:rsid w:val="00FF1020"/>
    <w:rsid w:val="00FF388E"/>
    <w:rsid w:val="00FF4751"/>
    <w:rsid w:val="00FF679E"/>
    <w:rsid w:val="00FF6A61"/>
    <w:rsid w:val="00FF7DD6"/>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0B6"/>
    <w:pPr>
      <w:keepNext/>
      <w:keepLines/>
      <w:spacing w:before="240" w:after="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customStyle="1" w:styleId="UnresolvedMention1">
    <w:name w:val="Unresolved Mention1"/>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line="240" w:lineRule="auto"/>
    </w:pPr>
    <w:rPr>
      <w:rFonts w:eastAsia="Times New Roman" w:cs="Times New Roman"/>
      <w:szCs w:val="24"/>
      <w:lang w:val="en-GB" w:eastAsia="en-GB"/>
    </w:r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line="240" w:lineRule="auto"/>
    </w:pPr>
    <w:rPr>
      <w:rFonts w:eastAsia="Times New Roman" w:cs="Times New Roman"/>
      <w:szCs w:val="24"/>
      <w:lang w:val="en-GB" w:eastAsia="en-GB"/>
    </w:rPr>
  </w:style>
  <w:style w:type="table" w:styleId="TableGridLight">
    <w:name w:val="Grid Table Light"/>
    <w:basedOn w:val="TableNormal"/>
    <w:uiPriority w:val="40"/>
    <w:rsid w:val="003B5C2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3B5C2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3B5C2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CommentReference">
    <w:name w:val="annotation reference"/>
    <w:basedOn w:val="DefaultParagraphFont"/>
    <w:uiPriority w:val="99"/>
    <w:semiHidden/>
    <w:unhideWhenUsed/>
    <w:rsid w:val="001941A2"/>
    <w:rPr>
      <w:sz w:val="16"/>
      <w:szCs w:val="16"/>
    </w:rPr>
  </w:style>
  <w:style w:type="paragraph" w:styleId="CommentText">
    <w:name w:val="annotation text"/>
    <w:basedOn w:val="Normal"/>
    <w:link w:val="CommentTextChar"/>
    <w:uiPriority w:val="99"/>
    <w:semiHidden/>
    <w:unhideWhenUsed/>
    <w:rsid w:val="001941A2"/>
    <w:pPr>
      <w:spacing w:line="240" w:lineRule="auto"/>
    </w:pPr>
    <w:rPr>
      <w:sz w:val="20"/>
      <w:szCs w:val="20"/>
    </w:rPr>
  </w:style>
  <w:style w:type="character" w:customStyle="1" w:styleId="CommentTextChar">
    <w:name w:val="Comment Text Char"/>
    <w:basedOn w:val="DefaultParagraphFont"/>
    <w:link w:val="CommentText"/>
    <w:uiPriority w:val="99"/>
    <w:semiHidden/>
    <w:rsid w:val="001941A2"/>
    <w:rPr>
      <w:sz w:val="20"/>
      <w:szCs w:val="20"/>
    </w:rPr>
  </w:style>
  <w:style w:type="paragraph" w:styleId="CommentSubject">
    <w:name w:val="annotation subject"/>
    <w:basedOn w:val="CommentText"/>
    <w:next w:val="CommentText"/>
    <w:link w:val="CommentSubjectChar"/>
    <w:uiPriority w:val="99"/>
    <w:semiHidden/>
    <w:unhideWhenUsed/>
    <w:rsid w:val="001941A2"/>
    <w:rPr>
      <w:b/>
      <w:bCs/>
    </w:rPr>
  </w:style>
  <w:style w:type="character" w:customStyle="1" w:styleId="CommentSubjectChar">
    <w:name w:val="Comment Subject Char"/>
    <w:basedOn w:val="CommentTextChar"/>
    <w:link w:val="CommentSubject"/>
    <w:uiPriority w:val="99"/>
    <w:semiHidden/>
    <w:rsid w:val="001941A2"/>
    <w:rPr>
      <w:b/>
      <w:bCs/>
      <w:sz w:val="20"/>
      <w:szCs w:val="20"/>
    </w:rPr>
  </w:style>
  <w:style w:type="paragraph" w:styleId="BalloonText">
    <w:name w:val="Balloon Text"/>
    <w:basedOn w:val="Normal"/>
    <w:link w:val="BalloonTextChar"/>
    <w:uiPriority w:val="99"/>
    <w:semiHidden/>
    <w:unhideWhenUsed/>
    <w:rsid w:val="00194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941A2"/>
    <w:rPr>
      <w:rFonts w:ascii="Segoe UI" w:hAnsi="Segoe UI" w:cs="Segoe UI"/>
      <w:sz w:val="18"/>
      <w:szCs w:val="18"/>
    </w:rPr>
  </w:style>
  <w:style w:type="character" w:styleId="UnresolvedMention">
    <w:name w:val="Unresolved Mention"/>
    <w:basedOn w:val="DefaultParagraphFont"/>
    <w:uiPriority w:val="99"/>
    <w:semiHidden/>
    <w:unhideWhenUsed/>
    <w:rsid w:val="00FA71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90014">
      <w:bodyDiv w:val="1"/>
      <w:marLeft w:val="0"/>
      <w:marRight w:val="0"/>
      <w:marTop w:val="0"/>
      <w:marBottom w:val="0"/>
      <w:divBdr>
        <w:top w:val="none" w:sz="0" w:space="0" w:color="auto"/>
        <w:left w:val="none" w:sz="0" w:space="0" w:color="auto"/>
        <w:bottom w:val="none" w:sz="0" w:space="0" w:color="auto"/>
        <w:right w:val="none" w:sz="0" w:space="0" w:color="auto"/>
      </w:divBdr>
    </w:div>
    <w:div w:id="16588842">
      <w:bodyDiv w:val="1"/>
      <w:marLeft w:val="0"/>
      <w:marRight w:val="0"/>
      <w:marTop w:val="0"/>
      <w:marBottom w:val="0"/>
      <w:divBdr>
        <w:top w:val="none" w:sz="0" w:space="0" w:color="auto"/>
        <w:left w:val="none" w:sz="0" w:space="0" w:color="auto"/>
        <w:bottom w:val="none" w:sz="0" w:space="0" w:color="auto"/>
        <w:right w:val="none" w:sz="0" w:space="0" w:color="auto"/>
      </w:divBdr>
    </w:div>
    <w:div w:id="20127215">
      <w:bodyDiv w:val="1"/>
      <w:marLeft w:val="0"/>
      <w:marRight w:val="0"/>
      <w:marTop w:val="0"/>
      <w:marBottom w:val="0"/>
      <w:divBdr>
        <w:top w:val="none" w:sz="0" w:space="0" w:color="auto"/>
        <w:left w:val="none" w:sz="0" w:space="0" w:color="auto"/>
        <w:bottom w:val="none" w:sz="0" w:space="0" w:color="auto"/>
        <w:right w:val="none" w:sz="0" w:space="0" w:color="auto"/>
      </w:divBdr>
    </w:div>
    <w:div w:id="79068291">
      <w:bodyDiv w:val="1"/>
      <w:marLeft w:val="0"/>
      <w:marRight w:val="0"/>
      <w:marTop w:val="0"/>
      <w:marBottom w:val="0"/>
      <w:divBdr>
        <w:top w:val="none" w:sz="0" w:space="0" w:color="auto"/>
        <w:left w:val="none" w:sz="0" w:space="0" w:color="auto"/>
        <w:bottom w:val="none" w:sz="0" w:space="0" w:color="auto"/>
        <w:right w:val="none" w:sz="0" w:space="0" w:color="auto"/>
      </w:divBdr>
      <w:divsChild>
        <w:div w:id="1270236962">
          <w:marLeft w:val="360"/>
          <w:marRight w:val="0"/>
          <w:marTop w:val="200"/>
          <w:marBottom w:val="0"/>
          <w:divBdr>
            <w:top w:val="none" w:sz="0" w:space="0" w:color="auto"/>
            <w:left w:val="none" w:sz="0" w:space="0" w:color="auto"/>
            <w:bottom w:val="none" w:sz="0" w:space="0" w:color="auto"/>
            <w:right w:val="none" w:sz="0" w:space="0" w:color="auto"/>
          </w:divBdr>
        </w:div>
      </w:divsChild>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120197219">
      <w:bodyDiv w:val="1"/>
      <w:marLeft w:val="0"/>
      <w:marRight w:val="0"/>
      <w:marTop w:val="0"/>
      <w:marBottom w:val="0"/>
      <w:divBdr>
        <w:top w:val="none" w:sz="0" w:space="0" w:color="auto"/>
        <w:left w:val="none" w:sz="0" w:space="0" w:color="auto"/>
        <w:bottom w:val="none" w:sz="0" w:space="0" w:color="auto"/>
        <w:right w:val="none" w:sz="0" w:space="0" w:color="auto"/>
      </w:divBdr>
      <w:divsChild>
        <w:div w:id="821430016">
          <w:marLeft w:val="547"/>
          <w:marRight w:val="0"/>
          <w:marTop w:val="58"/>
          <w:marBottom w:val="0"/>
          <w:divBdr>
            <w:top w:val="none" w:sz="0" w:space="0" w:color="auto"/>
            <w:left w:val="none" w:sz="0" w:space="0" w:color="auto"/>
            <w:bottom w:val="none" w:sz="0" w:space="0" w:color="auto"/>
            <w:right w:val="none" w:sz="0" w:space="0" w:color="auto"/>
          </w:divBdr>
        </w:div>
      </w:divsChild>
    </w:div>
    <w:div w:id="142310607">
      <w:bodyDiv w:val="1"/>
      <w:marLeft w:val="0"/>
      <w:marRight w:val="0"/>
      <w:marTop w:val="0"/>
      <w:marBottom w:val="0"/>
      <w:divBdr>
        <w:top w:val="none" w:sz="0" w:space="0" w:color="auto"/>
        <w:left w:val="none" w:sz="0" w:space="0" w:color="auto"/>
        <w:bottom w:val="none" w:sz="0" w:space="0" w:color="auto"/>
        <w:right w:val="none" w:sz="0" w:space="0" w:color="auto"/>
      </w:divBdr>
    </w:div>
    <w:div w:id="145896226">
      <w:bodyDiv w:val="1"/>
      <w:marLeft w:val="0"/>
      <w:marRight w:val="0"/>
      <w:marTop w:val="0"/>
      <w:marBottom w:val="0"/>
      <w:divBdr>
        <w:top w:val="none" w:sz="0" w:space="0" w:color="auto"/>
        <w:left w:val="none" w:sz="0" w:space="0" w:color="auto"/>
        <w:bottom w:val="none" w:sz="0" w:space="0" w:color="auto"/>
        <w:right w:val="none" w:sz="0" w:space="0" w:color="auto"/>
      </w:divBdr>
    </w:div>
    <w:div w:id="153376964">
      <w:bodyDiv w:val="1"/>
      <w:marLeft w:val="0"/>
      <w:marRight w:val="0"/>
      <w:marTop w:val="0"/>
      <w:marBottom w:val="0"/>
      <w:divBdr>
        <w:top w:val="none" w:sz="0" w:space="0" w:color="auto"/>
        <w:left w:val="none" w:sz="0" w:space="0" w:color="auto"/>
        <w:bottom w:val="none" w:sz="0" w:space="0" w:color="auto"/>
        <w:right w:val="none" w:sz="0" w:space="0" w:color="auto"/>
      </w:divBdr>
    </w:div>
    <w:div w:id="178399933">
      <w:bodyDiv w:val="1"/>
      <w:marLeft w:val="0"/>
      <w:marRight w:val="0"/>
      <w:marTop w:val="0"/>
      <w:marBottom w:val="0"/>
      <w:divBdr>
        <w:top w:val="none" w:sz="0" w:space="0" w:color="auto"/>
        <w:left w:val="none" w:sz="0" w:space="0" w:color="auto"/>
        <w:bottom w:val="none" w:sz="0" w:space="0" w:color="auto"/>
        <w:right w:val="none" w:sz="0" w:space="0" w:color="auto"/>
      </w:divBdr>
    </w:div>
    <w:div w:id="245195302">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279993984">
      <w:bodyDiv w:val="1"/>
      <w:marLeft w:val="0"/>
      <w:marRight w:val="0"/>
      <w:marTop w:val="0"/>
      <w:marBottom w:val="0"/>
      <w:divBdr>
        <w:top w:val="none" w:sz="0" w:space="0" w:color="auto"/>
        <w:left w:val="none" w:sz="0" w:space="0" w:color="auto"/>
        <w:bottom w:val="none" w:sz="0" w:space="0" w:color="auto"/>
        <w:right w:val="none" w:sz="0" w:space="0" w:color="auto"/>
      </w:divBdr>
    </w:div>
    <w:div w:id="291323797">
      <w:bodyDiv w:val="1"/>
      <w:marLeft w:val="0"/>
      <w:marRight w:val="0"/>
      <w:marTop w:val="0"/>
      <w:marBottom w:val="0"/>
      <w:divBdr>
        <w:top w:val="none" w:sz="0" w:space="0" w:color="auto"/>
        <w:left w:val="none" w:sz="0" w:space="0" w:color="auto"/>
        <w:bottom w:val="none" w:sz="0" w:space="0" w:color="auto"/>
        <w:right w:val="none" w:sz="0" w:space="0" w:color="auto"/>
      </w:divBdr>
      <w:divsChild>
        <w:div w:id="677273684">
          <w:marLeft w:val="0"/>
          <w:marRight w:val="0"/>
          <w:marTop w:val="0"/>
          <w:marBottom w:val="0"/>
          <w:divBdr>
            <w:top w:val="none" w:sz="0" w:space="0" w:color="auto"/>
            <w:left w:val="none" w:sz="0" w:space="0" w:color="auto"/>
            <w:bottom w:val="none" w:sz="0" w:space="0" w:color="auto"/>
            <w:right w:val="none" w:sz="0" w:space="0" w:color="auto"/>
          </w:divBdr>
        </w:div>
      </w:divsChild>
    </w:div>
    <w:div w:id="301739740">
      <w:bodyDiv w:val="1"/>
      <w:marLeft w:val="0"/>
      <w:marRight w:val="0"/>
      <w:marTop w:val="0"/>
      <w:marBottom w:val="0"/>
      <w:divBdr>
        <w:top w:val="none" w:sz="0" w:space="0" w:color="auto"/>
        <w:left w:val="none" w:sz="0" w:space="0" w:color="auto"/>
        <w:bottom w:val="none" w:sz="0" w:space="0" w:color="auto"/>
        <w:right w:val="none" w:sz="0" w:space="0" w:color="auto"/>
      </w:divBdr>
    </w:div>
    <w:div w:id="343629386">
      <w:bodyDiv w:val="1"/>
      <w:marLeft w:val="0"/>
      <w:marRight w:val="0"/>
      <w:marTop w:val="0"/>
      <w:marBottom w:val="0"/>
      <w:divBdr>
        <w:top w:val="none" w:sz="0" w:space="0" w:color="auto"/>
        <w:left w:val="none" w:sz="0" w:space="0" w:color="auto"/>
        <w:bottom w:val="none" w:sz="0" w:space="0" w:color="auto"/>
        <w:right w:val="none" w:sz="0" w:space="0" w:color="auto"/>
      </w:divBdr>
      <w:divsChild>
        <w:div w:id="986863165">
          <w:marLeft w:val="0"/>
          <w:marRight w:val="0"/>
          <w:marTop w:val="0"/>
          <w:marBottom w:val="0"/>
          <w:divBdr>
            <w:top w:val="none" w:sz="0" w:space="0" w:color="auto"/>
            <w:left w:val="none" w:sz="0" w:space="0" w:color="auto"/>
            <w:bottom w:val="none" w:sz="0" w:space="0" w:color="auto"/>
            <w:right w:val="none" w:sz="0" w:space="0" w:color="auto"/>
          </w:divBdr>
        </w:div>
      </w:divsChild>
    </w:div>
    <w:div w:id="388310893">
      <w:bodyDiv w:val="1"/>
      <w:marLeft w:val="0"/>
      <w:marRight w:val="0"/>
      <w:marTop w:val="0"/>
      <w:marBottom w:val="0"/>
      <w:divBdr>
        <w:top w:val="none" w:sz="0" w:space="0" w:color="auto"/>
        <w:left w:val="none" w:sz="0" w:space="0" w:color="auto"/>
        <w:bottom w:val="none" w:sz="0" w:space="0" w:color="auto"/>
        <w:right w:val="none" w:sz="0" w:space="0" w:color="auto"/>
      </w:divBdr>
    </w:div>
    <w:div w:id="396127937">
      <w:bodyDiv w:val="1"/>
      <w:marLeft w:val="0"/>
      <w:marRight w:val="0"/>
      <w:marTop w:val="0"/>
      <w:marBottom w:val="0"/>
      <w:divBdr>
        <w:top w:val="none" w:sz="0" w:space="0" w:color="auto"/>
        <w:left w:val="none" w:sz="0" w:space="0" w:color="auto"/>
        <w:bottom w:val="none" w:sz="0" w:space="0" w:color="auto"/>
        <w:right w:val="none" w:sz="0" w:space="0" w:color="auto"/>
      </w:divBdr>
    </w:div>
    <w:div w:id="413474342">
      <w:bodyDiv w:val="1"/>
      <w:marLeft w:val="0"/>
      <w:marRight w:val="0"/>
      <w:marTop w:val="0"/>
      <w:marBottom w:val="0"/>
      <w:divBdr>
        <w:top w:val="none" w:sz="0" w:space="0" w:color="auto"/>
        <w:left w:val="none" w:sz="0" w:space="0" w:color="auto"/>
        <w:bottom w:val="none" w:sz="0" w:space="0" w:color="auto"/>
        <w:right w:val="none" w:sz="0" w:space="0" w:color="auto"/>
      </w:divBdr>
    </w:div>
    <w:div w:id="442456551">
      <w:bodyDiv w:val="1"/>
      <w:marLeft w:val="0"/>
      <w:marRight w:val="0"/>
      <w:marTop w:val="0"/>
      <w:marBottom w:val="0"/>
      <w:divBdr>
        <w:top w:val="none" w:sz="0" w:space="0" w:color="auto"/>
        <w:left w:val="none" w:sz="0" w:space="0" w:color="auto"/>
        <w:bottom w:val="none" w:sz="0" w:space="0" w:color="auto"/>
        <w:right w:val="none" w:sz="0" w:space="0" w:color="auto"/>
      </w:divBdr>
    </w:div>
    <w:div w:id="457843644">
      <w:bodyDiv w:val="1"/>
      <w:marLeft w:val="0"/>
      <w:marRight w:val="0"/>
      <w:marTop w:val="0"/>
      <w:marBottom w:val="0"/>
      <w:divBdr>
        <w:top w:val="none" w:sz="0" w:space="0" w:color="auto"/>
        <w:left w:val="none" w:sz="0" w:space="0" w:color="auto"/>
        <w:bottom w:val="none" w:sz="0" w:space="0" w:color="auto"/>
        <w:right w:val="none" w:sz="0" w:space="0" w:color="auto"/>
      </w:divBdr>
    </w:div>
    <w:div w:id="543368494">
      <w:bodyDiv w:val="1"/>
      <w:marLeft w:val="0"/>
      <w:marRight w:val="0"/>
      <w:marTop w:val="0"/>
      <w:marBottom w:val="0"/>
      <w:divBdr>
        <w:top w:val="none" w:sz="0" w:space="0" w:color="auto"/>
        <w:left w:val="none" w:sz="0" w:space="0" w:color="auto"/>
        <w:bottom w:val="none" w:sz="0" w:space="0" w:color="auto"/>
        <w:right w:val="none" w:sz="0" w:space="0" w:color="auto"/>
      </w:divBdr>
    </w:div>
    <w:div w:id="551231007">
      <w:bodyDiv w:val="1"/>
      <w:marLeft w:val="0"/>
      <w:marRight w:val="0"/>
      <w:marTop w:val="0"/>
      <w:marBottom w:val="0"/>
      <w:divBdr>
        <w:top w:val="none" w:sz="0" w:space="0" w:color="auto"/>
        <w:left w:val="none" w:sz="0" w:space="0" w:color="auto"/>
        <w:bottom w:val="none" w:sz="0" w:space="0" w:color="auto"/>
        <w:right w:val="none" w:sz="0" w:space="0" w:color="auto"/>
      </w:divBdr>
    </w:div>
    <w:div w:id="558249579">
      <w:bodyDiv w:val="1"/>
      <w:marLeft w:val="0"/>
      <w:marRight w:val="0"/>
      <w:marTop w:val="0"/>
      <w:marBottom w:val="0"/>
      <w:divBdr>
        <w:top w:val="none" w:sz="0" w:space="0" w:color="auto"/>
        <w:left w:val="none" w:sz="0" w:space="0" w:color="auto"/>
        <w:bottom w:val="none" w:sz="0" w:space="0" w:color="auto"/>
        <w:right w:val="none" w:sz="0" w:space="0" w:color="auto"/>
      </w:divBdr>
    </w:div>
    <w:div w:id="607153828">
      <w:bodyDiv w:val="1"/>
      <w:marLeft w:val="0"/>
      <w:marRight w:val="0"/>
      <w:marTop w:val="0"/>
      <w:marBottom w:val="0"/>
      <w:divBdr>
        <w:top w:val="none" w:sz="0" w:space="0" w:color="auto"/>
        <w:left w:val="none" w:sz="0" w:space="0" w:color="auto"/>
        <w:bottom w:val="none" w:sz="0" w:space="0" w:color="auto"/>
        <w:right w:val="none" w:sz="0" w:space="0" w:color="auto"/>
      </w:divBdr>
    </w:div>
    <w:div w:id="610280875">
      <w:bodyDiv w:val="1"/>
      <w:marLeft w:val="0"/>
      <w:marRight w:val="0"/>
      <w:marTop w:val="0"/>
      <w:marBottom w:val="0"/>
      <w:divBdr>
        <w:top w:val="none" w:sz="0" w:space="0" w:color="auto"/>
        <w:left w:val="none" w:sz="0" w:space="0" w:color="auto"/>
        <w:bottom w:val="none" w:sz="0" w:space="0" w:color="auto"/>
        <w:right w:val="none" w:sz="0" w:space="0" w:color="auto"/>
      </w:divBdr>
    </w:div>
    <w:div w:id="623925273">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635914007">
      <w:bodyDiv w:val="1"/>
      <w:marLeft w:val="0"/>
      <w:marRight w:val="0"/>
      <w:marTop w:val="0"/>
      <w:marBottom w:val="0"/>
      <w:divBdr>
        <w:top w:val="none" w:sz="0" w:space="0" w:color="auto"/>
        <w:left w:val="none" w:sz="0" w:space="0" w:color="auto"/>
        <w:bottom w:val="none" w:sz="0" w:space="0" w:color="auto"/>
        <w:right w:val="none" w:sz="0" w:space="0" w:color="auto"/>
      </w:divBdr>
    </w:div>
    <w:div w:id="638923792">
      <w:bodyDiv w:val="1"/>
      <w:marLeft w:val="0"/>
      <w:marRight w:val="0"/>
      <w:marTop w:val="0"/>
      <w:marBottom w:val="0"/>
      <w:divBdr>
        <w:top w:val="none" w:sz="0" w:space="0" w:color="auto"/>
        <w:left w:val="none" w:sz="0" w:space="0" w:color="auto"/>
        <w:bottom w:val="none" w:sz="0" w:space="0" w:color="auto"/>
        <w:right w:val="none" w:sz="0" w:space="0" w:color="auto"/>
      </w:divBdr>
    </w:div>
    <w:div w:id="653217115">
      <w:bodyDiv w:val="1"/>
      <w:marLeft w:val="0"/>
      <w:marRight w:val="0"/>
      <w:marTop w:val="0"/>
      <w:marBottom w:val="0"/>
      <w:divBdr>
        <w:top w:val="none" w:sz="0" w:space="0" w:color="auto"/>
        <w:left w:val="none" w:sz="0" w:space="0" w:color="auto"/>
        <w:bottom w:val="none" w:sz="0" w:space="0" w:color="auto"/>
        <w:right w:val="none" w:sz="0" w:space="0" w:color="auto"/>
      </w:divBdr>
      <w:divsChild>
        <w:div w:id="2049914001">
          <w:marLeft w:val="0"/>
          <w:marRight w:val="0"/>
          <w:marTop w:val="0"/>
          <w:marBottom w:val="0"/>
          <w:divBdr>
            <w:top w:val="none" w:sz="0" w:space="0" w:color="auto"/>
            <w:left w:val="none" w:sz="0" w:space="0" w:color="auto"/>
            <w:bottom w:val="none" w:sz="0" w:space="0" w:color="auto"/>
            <w:right w:val="none" w:sz="0" w:space="0" w:color="auto"/>
          </w:divBdr>
        </w:div>
      </w:divsChild>
    </w:div>
    <w:div w:id="662011306">
      <w:bodyDiv w:val="1"/>
      <w:marLeft w:val="0"/>
      <w:marRight w:val="0"/>
      <w:marTop w:val="0"/>
      <w:marBottom w:val="0"/>
      <w:divBdr>
        <w:top w:val="none" w:sz="0" w:space="0" w:color="auto"/>
        <w:left w:val="none" w:sz="0" w:space="0" w:color="auto"/>
        <w:bottom w:val="none" w:sz="0" w:space="0" w:color="auto"/>
        <w:right w:val="none" w:sz="0" w:space="0" w:color="auto"/>
      </w:divBdr>
    </w:div>
    <w:div w:id="675496846">
      <w:bodyDiv w:val="1"/>
      <w:marLeft w:val="0"/>
      <w:marRight w:val="0"/>
      <w:marTop w:val="0"/>
      <w:marBottom w:val="0"/>
      <w:divBdr>
        <w:top w:val="none" w:sz="0" w:space="0" w:color="auto"/>
        <w:left w:val="none" w:sz="0" w:space="0" w:color="auto"/>
        <w:bottom w:val="none" w:sz="0" w:space="0" w:color="auto"/>
        <w:right w:val="none" w:sz="0" w:space="0" w:color="auto"/>
      </w:divBdr>
    </w:div>
    <w:div w:id="703405306">
      <w:bodyDiv w:val="1"/>
      <w:marLeft w:val="0"/>
      <w:marRight w:val="0"/>
      <w:marTop w:val="0"/>
      <w:marBottom w:val="0"/>
      <w:divBdr>
        <w:top w:val="none" w:sz="0" w:space="0" w:color="auto"/>
        <w:left w:val="none" w:sz="0" w:space="0" w:color="auto"/>
        <w:bottom w:val="none" w:sz="0" w:space="0" w:color="auto"/>
        <w:right w:val="none" w:sz="0" w:space="0" w:color="auto"/>
      </w:divBdr>
    </w:div>
    <w:div w:id="738288421">
      <w:bodyDiv w:val="1"/>
      <w:marLeft w:val="0"/>
      <w:marRight w:val="0"/>
      <w:marTop w:val="0"/>
      <w:marBottom w:val="0"/>
      <w:divBdr>
        <w:top w:val="none" w:sz="0" w:space="0" w:color="auto"/>
        <w:left w:val="none" w:sz="0" w:space="0" w:color="auto"/>
        <w:bottom w:val="none" w:sz="0" w:space="0" w:color="auto"/>
        <w:right w:val="none" w:sz="0" w:space="0" w:color="auto"/>
      </w:divBdr>
    </w:div>
    <w:div w:id="782067670">
      <w:bodyDiv w:val="1"/>
      <w:marLeft w:val="0"/>
      <w:marRight w:val="0"/>
      <w:marTop w:val="0"/>
      <w:marBottom w:val="0"/>
      <w:divBdr>
        <w:top w:val="none" w:sz="0" w:space="0" w:color="auto"/>
        <w:left w:val="none" w:sz="0" w:space="0" w:color="auto"/>
        <w:bottom w:val="none" w:sz="0" w:space="0" w:color="auto"/>
        <w:right w:val="none" w:sz="0" w:space="0" w:color="auto"/>
      </w:divBdr>
    </w:div>
    <w:div w:id="845828703">
      <w:bodyDiv w:val="1"/>
      <w:marLeft w:val="0"/>
      <w:marRight w:val="0"/>
      <w:marTop w:val="0"/>
      <w:marBottom w:val="0"/>
      <w:divBdr>
        <w:top w:val="none" w:sz="0" w:space="0" w:color="auto"/>
        <w:left w:val="none" w:sz="0" w:space="0" w:color="auto"/>
        <w:bottom w:val="none" w:sz="0" w:space="0" w:color="auto"/>
        <w:right w:val="none" w:sz="0" w:space="0" w:color="auto"/>
      </w:divBdr>
    </w:div>
    <w:div w:id="902570476">
      <w:bodyDiv w:val="1"/>
      <w:marLeft w:val="0"/>
      <w:marRight w:val="0"/>
      <w:marTop w:val="0"/>
      <w:marBottom w:val="0"/>
      <w:divBdr>
        <w:top w:val="none" w:sz="0" w:space="0" w:color="auto"/>
        <w:left w:val="none" w:sz="0" w:space="0" w:color="auto"/>
        <w:bottom w:val="none" w:sz="0" w:space="0" w:color="auto"/>
        <w:right w:val="none" w:sz="0" w:space="0" w:color="auto"/>
      </w:divBdr>
    </w:div>
    <w:div w:id="965424747">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30882994">
      <w:bodyDiv w:val="1"/>
      <w:marLeft w:val="0"/>
      <w:marRight w:val="0"/>
      <w:marTop w:val="0"/>
      <w:marBottom w:val="0"/>
      <w:divBdr>
        <w:top w:val="none" w:sz="0" w:space="0" w:color="auto"/>
        <w:left w:val="none" w:sz="0" w:space="0" w:color="auto"/>
        <w:bottom w:val="none" w:sz="0" w:space="0" w:color="auto"/>
        <w:right w:val="none" w:sz="0" w:space="0" w:color="auto"/>
      </w:divBdr>
    </w:div>
    <w:div w:id="1076436553">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33789535">
      <w:bodyDiv w:val="1"/>
      <w:marLeft w:val="0"/>
      <w:marRight w:val="0"/>
      <w:marTop w:val="0"/>
      <w:marBottom w:val="0"/>
      <w:divBdr>
        <w:top w:val="none" w:sz="0" w:space="0" w:color="auto"/>
        <w:left w:val="none" w:sz="0" w:space="0" w:color="auto"/>
        <w:bottom w:val="none" w:sz="0" w:space="0" w:color="auto"/>
        <w:right w:val="none" w:sz="0" w:space="0" w:color="auto"/>
      </w:divBdr>
    </w:div>
    <w:div w:id="1147475445">
      <w:bodyDiv w:val="1"/>
      <w:marLeft w:val="0"/>
      <w:marRight w:val="0"/>
      <w:marTop w:val="0"/>
      <w:marBottom w:val="0"/>
      <w:divBdr>
        <w:top w:val="none" w:sz="0" w:space="0" w:color="auto"/>
        <w:left w:val="none" w:sz="0" w:space="0" w:color="auto"/>
        <w:bottom w:val="none" w:sz="0" w:space="0" w:color="auto"/>
        <w:right w:val="none" w:sz="0" w:space="0" w:color="auto"/>
      </w:divBdr>
    </w:div>
    <w:div w:id="1188251487">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00707716">
      <w:bodyDiv w:val="1"/>
      <w:marLeft w:val="0"/>
      <w:marRight w:val="0"/>
      <w:marTop w:val="0"/>
      <w:marBottom w:val="0"/>
      <w:divBdr>
        <w:top w:val="none" w:sz="0" w:space="0" w:color="auto"/>
        <w:left w:val="none" w:sz="0" w:space="0" w:color="auto"/>
        <w:bottom w:val="none" w:sz="0" w:space="0" w:color="auto"/>
        <w:right w:val="none" w:sz="0" w:space="0" w:color="auto"/>
      </w:divBdr>
    </w:div>
    <w:div w:id="1215192872">
      <w:bodyDiv w:val="1"/>
      <w:marLeft w:val="0"/>
      <w:marRight w:val="0"/>
      <w:marTop w:val="0"/>
      <w:marBottom w:val="0"/>
      <w:divBdr>
        <w:top w:val="none" w:sz="0" w:space="0" w:color="auto"/>
        <w:left w:val="none" w:sz="0" w:space="0" w:color="auto"/>
        <w:bottom w:val="none" w:sz="0" w:space="0" w:color="auto"/>
        <w:right w:val="none" w:sz="0" w:space="0" w:color="auto"/>
      </w:divBdr>
    </w:div>
    <w:div w:id="1236666498">
      <w:bodyDiv w:val="1"/>
      <w:marLeft w:val="0"/>
      <w:marRight w:val="0"/>
      <w:marTop w:val="0"/>
      <w:marBottom w:val="0"/>
      <w:divBdr>
        <w:top w:val="none" w:sz="0" w:space="0" w:color="auto"/>
        <w:left w:val="none" w:sz="0" w:space="0" w:color="auto"/>
        <w:bottom w:val="none" w:sz="0" w:space="0" w:color="auto"/>
        <w:right w:val="none" w:sz="0" w:space="0" w:color="auto"/>
      </w:divBdr>
    </w:div>
    <w:div w:id="1244491303">
      <w:bodyDiv w:val="1"/>
      <w:marLeft w:val="0"/>
      <w:marRight w:val="0"/>
      <w:marTop w:val="0"/>
      <w:marBottom w:val="0"/>
      <w:divBdr>
        <w:top w:val="none" w:sz="0" w:space="0" w:color="auto"/>
        <w:left w:val="none" w:sz="0" w:space="0" w:color="auto"/>
        <w:bottom w:val="none" w:sz="0" w:space="0" w:color="auto"/>
        <w:right w:val="none" w:sz="0" w:space="0" w:color="auto"/>
      </w:divBdr>
    </w:div>
    <w:div w:id="1279753336">
      <w:bodyDiv w:val="1"/>
      <w:marLeft w:val="0"/>
      <w:marRight w:val="0"/>
      <w:marTop w:val="0"/>
      <w:marBottom w:val="0"/>
      <w:divBdr>
        <w:top w:val="none" w:sz="0" w:space="0" w:color="auto"/>
        <w:left w:val="none" w:sz="0" w:space="0" w:color="auto"/>
        <w:bottom w:val="none" w:sz="0" w:space="0" w:color="auto"/>
        <w:right w:val="none" w:sz="0" w:space="0" w:color="auto"/>
      </w:divBdr>
    </w:div>
    <w:div w:id="1283881925">
      <w:bodyDiv w:val="1"/>
      <w:marLeft w:val="0"/>
      <w:marRight w:val="0"/>
      <w:marTop w:val="0"/>
      <w:marBottom w:val="0"/>
      <w:divBdr>
        <w:top w:val="none" w:sz="0" w:space="0" w:color="auto"/>
        <w:left w:val="none" w:sz="0" w:space="0" w:color="auto"/>
        <w:bottom w:val="none" w:sz="0" w:space="0" w:color="auto"/>
        <w:right w:val="none" w:sz="0" w:space="0" w:color="auto"/>
      </w:divBdr>
    </w:div>
    <w:div w:id="1317497309">
      <w:bodyDiv w:val="1"/>
      <w:marLeft w:val="0"/>
      <w:marRight w:val="0"/>
      <w:marTop w:val="0"/>
      <w:marBottom w:val="0"/>
      <w:divBdr>
        <w:top w:val="none" w:sz="0" w:space="0" w:color="auto"/>
        <w:left w:val="none" w:sz="0" w:space="0" w:color="auto"/>
        <w:bottom w:val="none" w:sz="0" w:space="0" w:color="auto"/>
        <w:right w:val="none" w:sz="0" w:space="0" w:color="auto"/>
      </w:divBdr>
    </w:div>
    <w:div w:id="1362514239">
      <w:bodyDiv w:val="1"/>
      <w:marLeft w:val="0"/>
      <w:marRight w:val="0"/>
      <w:marTop w:val="0"/>
      <w:marBottom w:val="0"/>
      <w:divBdr>
        <w:top w:val="none" w:sz="0" w:space="0" w:color="auto"/>
        <w:left w:val="none" w:sz="0" w:space="0" w:color="auto"/>
        <w:bottom w:val="none" w:sz="0" w:space="0" w:color="auto"/>
        <w:right w:val="none" w:sz="0" w:space="0" w:color="auto"/>
      </w:divBdr>
    </w:div>
    <w:div w:id="1406100632">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25765079">
      <w:bodyDiv w:val="1"/>
      <w:marLeft w:val="0"/>
      <w:marRight w:val="0"/>
      <w:marTop w:val="0"/>
      <w:marBottom w:val="0"/>
      <w:divBdr>
        <w:top w:val="none" w:sz="0" w:space="0" w:color="auto"/>
        <w:left w:val="none" w:sz="0" w:space="0" w:color="auto"/>
        <w:bottom w:val="none" w:sz="0" w:space="0" w:color="auto"/>
        <w:right w:val="none" w:sz="0" w:space="0" w:color="auto"/>
      </w:divBdr>
    </w:div>
    <w:div w:id="1450203121">
      <w:bodyDiv w:val="1"/>
      <w:marLeft w:val="0"/>
      <w:marRight w:val="0"/>
      <w:marTop w:val="0"/>
      <w:marBottom w:val="0"/>
      <w:divBdr>
        <w:top w:val="none" w:sz="0" w:space="0" w:color="auto"/>
        <w:left w:val="none" w:sz="0" w:space="0" w:color="auto"/>
        <w:bottom w:val="none" w:sz="0" w:space="0" w:color="auto"/>
        <w:right w:val="none" w:sz="0" w:space="0" w:color="auto"/>
      </w:divBdr>
    </w:div>
    <w:div w:id="1472551644">
      <w:bodyDiv w:val="1"/>
      <w:marLeft w:val="0"/>
      <w:marRight w:val="0"/>
      <w:marTop w:val="0"/>
      <w:marBottom w:val="0"/>
      <w:divBdr>
        <w:top w:val="none" w:sz="0" w:space="0" w:color="auto"/>
        <w:left w:val="none" w:sz="0" w:space="0" w:color="auto"/>
        <w:bottom w:val="none" w:sz="0" w:space="0" w:color="auto"/>
        <w:right w:val="none" w:sz="0" w:space="0" w:color="auto"/>
      </w:divBdr>
    </w:div>
    <w:div w:id="1473133886">
      <w:bodyDiv w:val="1"/>
      <w:marLeft w:val="0"/>
      <w:marRight w:val="0"/>
      <w:marTop w:val="0"/>
      <w:marBottom w:val="0"/>
      <w:divBdr>
        <w:top w:val="none" w:sz="0" w:space="0" w:color="auto"/>
        <w:left w:val="none" w:sz="0" w:space="0" w:color="auto"/>
        <w:bottom w:val="none" w:sz="0" w:space="0" w:color="auto"/>
        <w:right w:val="none" w:sz="0" w:space="0" w:color="auto"/>
      </w:divBdr>
    </w:div>
    <w:div w:id="1473718447">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32645706">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549951215">
      <w:bodyDiv w:val="1"/>
      <w:marLeft w:val="0"/>
      <w:marRight w:val="0"/>
      <w:marTop w:val="0"/>
      <w:marBottom w:val="0"/>
      <w:divBdr>
        <w:top w:val="none" w:sz="0" w:space="0" w:color="auto"/>
        <w:left w:val="none" w:sz="0" w:space="0" w:color="auto"/>
        <w:bottom w:val="none" w:sz="0" w:space="0" w:color="auto"/>
        <w:right w:val="none" w:sz="0" w:space="0" w:color="auto"/>
      </w:divBdr>
    </w:div>
    <w:div w:id="1559782017">
      <w:bodyDiv w:val="1"/>
      <w:marLeft w:val="0"/>
      <w:marRight w:val="0"/>
      <w:marTop w:val="0"/>
      <w:marBottom w:val="0"/>
      <w:divBdr>
        <w:top w:val="none" w:sz="0" w:space="0" w:color="auto"/>
        <w:left w:val="none" w:sz="0" w:space="0" w:color="auto"/>
        <w:bottom w:val="none" w:sz="0" w:space="0" w:color="auto"/>
        <w:right w:val="none" w:sz="0" w:space="0" w:color="auto"/>
      </w:divBdr>
    </w:div>
    <w:div w:id="1577401367">
      <w:bodyDiv w:val="1"/>
      <w:marLeft w:val="0"/>
      <w:marRight w:val="0"/>
      <w:marTop w:val="0"/>
      <w:marBottom w:val="0"/>
      <w:divBdr>
        <w:top w:val="none" w:sz="0" w:space="0" w:color="auto"/>
        <w:left w:val="none" w:sz="0" w:space="0" w:color="auto"/>
        <w:bottom w:val="none" w:sz="0" w:space="0" w:color="auto"/>
        <w:right w:val="none" w:sz="0" w:space="0" w:color="auto"/>
      </w:divBdr>
    </w:div>
    <w:div w:id="1579556814">
      <w:bodyDiv w:val="1"/>
      <w:marLeft w:val="0"/>
      <w:marRight w:val="0"/>
      <w:marTop w:val="0"/>
      <w:marBottom w:val="0"/>
      <w:divBdr>
        <w:top w:val="none" w:sz="0" w:space="0" w:color="auto"/>
        <w:left w:val="none" w:sz="0" w:space="0" w:color="auto"/>
        <w:bottom w:val="none" w:sz="0" w:space="0" w:color="auto"/>
        <w:right w:val="none" w:sz="0" w:space="0" w:color="auto"/>
      </w:divBdr>
    </w:div>
    <w:div w:id="1587692798">
      <w:bodyDiv w:val="1"/>
      <w:marLeft w:val="0"/>
      <w:marRight w:val="0"/>
      <w:marTop w:val="0"/>
      <w:marBottom w:val="0"/>
      <w:divBdr>
        <w:top w:val="none" w:sz="0" w:space="0" w:color="auto"/>
        <w:left w:val="none" w:sz="0" w:space="0" w:color="auto"/>
        <w:bottom w:val="none" w:sz="0" w:space="0" w:color="auto"/>
        <w:right w:val="none" w:sz="0" w:space="0" w:color="auto"/>
      </w:divBdr>
    </w:div>
    <w:div w:id="1593853349">
      <w:bodyDiv w:val="1"/>
      <w:marLeft w:val="0"/>
      <w:marRight w:val="0"/>
      <w:marTop w:val="0"/>
      <w:marBottom w:val="0"/>
      <w:divBdr>
        <w:top w:val="none" w:sz="0" w:space="0" w:color="auto"/>
        <w:left w:val="none" w:sz="0" w:space="0" w:color="auto"/>
        <w:bottom w:val="none" w:sz="0" w:space="0" w:color="auto"/>
        <w:right w:val="none" w:sz="0" w:space="0" w:color="auto"/>
      </w:divBdr>
    </w:div>
    <w:div w:id="1612396573">
      <w:bodyDiv w:val="1"/>
      <w:marLeft w:val="0"/>
      <w:marRight w:val="0"/>
      <w:marTop w:val="0"/>
      <w:marBottom w:val="0"/>
      <w:divBdr>
        <w:top w:val="none" w:sz="0" w:space="0" w:color="auto"/>
        <w:left w:val="none" w:sz="0" w:space="0" w:color="auto"/>
        <w:bottom w:val="none" w:sz="0" w:space="0" w:color="auto"/>
        <w:right w:val="none" w:sz="0" w:space="0" w:color="auto"/>
      </w:divBdr>
    </w:div>
    <w:div w:id="1620334769">
      <w:bodyDiv w:val="1"/>
      <w:marLeft w:val="0"/>
      <w:marRight w:val="0"/>
      <w:marTop w:val="0"/>
      <w:marBottom w:val="0"/>
      <w:divBdr>
        <w:top w:val="none" w:sz="0" w:space="0" w:color="auto"/>
        <w:left w:val="none" w:sz="0" w:space="0" w:color="auto"/>
        <w:bottom w:val="none" w:sz="0" w:space="0" w:color="auto"/>
        <w:right w:val="none" w:sz="0" w:space="0" w:color="auto"/>
      </w:divBdr>
    </w:div>
    <w:div w:id="1627662843">
      <w:bodyDiv w:val="1"/>
      <w:marLeft w:val="0"/>
      <w:marRight w:val="0"/>
      <w:marTop w:val="0"/>
      <w:marBottom w:val="0"/>
      <w:divBdr>
        <w:top w:val="none" w:sz="0" w:space="0" w:color="auto"/>
        <w:left w:val="none" w:sz="0" w:space="0" w:color="auto"/>
        <w:bottom w:val="none" w:sz="0" w:space="0" w:color="auto"/>
        <w:right w:val="none" w:sz="0" w:space="0" w:color="auto"/>
      </w:divBdr>
    </w:div>
    <w:div w:id="1649432195">
      <w:bodyDiv w:val="1"/>
      <w:marLeft w:val="0"/>
      <w:marRight w:val="0"/>
      <w:marTop w:val="0"/>
      <w:marBottom w:val="0"/>
      <w:divBdr>
        <w:top w:val="none" w:sz="0" w:space="0" w:color="auto"/>
        <w:left w:val="none" w:sz="0" w:space="0" w:color="auto"/>
        <w:bottom w:val="none" w:sz="0" w:space="0" w:color="auto"/>
        <w:right w:val="none" w:sz="0" w:space="0" w:color="auto"/>
      </w:divBdr>
    </w:div>
    <w:div w:id="1660964305">
      <w:bodyDiv w:val="1"/>
      <w:marLeft w:val="0"/>
      <w:marRight w:val="0"/>
      <w:marTop w:val="0"/>
      <w:marBottom w:val="0"/>
      <w:divBdr>
        <w:top w:val="none" w:sz="0" w:space="0" w:color="auto"/>
        <w:left w:val="none" w:sz="0" w:space="0" w:color="auto"/>
        <w:bottom w:val="none" w:sz="0" w:space="0" w:color="auto"/>
        <w:right w:val="none" w:sz="0" w:space="0" w:color="auto"/>
      </w:divBdr>
    </w:div>
    <w:div w:id="166586164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81736608">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695304930">
      <w:bodyDiv w:val="1"/>
      <w:marLeft w:val="0"/>
      <w:marRight w:val="0"/>
      <w:marTop w:val="0"/>
      <w:marBottom w:val="0"/>
      <w:divBdr>
        <w:top w:val="none" w:sz="0" w:space="0" w:color="auto"/>
        <w:left w:val="none" w:sz="0" w:space="0" w:color="auto"/>
        <w:bottom w:val="none" w:sz="0" w:space="0" w:color="auto"/>
        <w:right w:val="none" w:sz="0" w:space="0" w:color="auto"/>
      </w:divBdr>
    </w:div>
    <w:div w:id="1728069722">
      <w:bodyDiv w:val="1"/>
      <w:marLeft w:val="0"/>
      <w:marRight w:val="0"/>
      <w:marTop w:val="0"/>
      <w:marBottom w:val="0"/>
      <w:divBdr>
        <w:top w:val="none" w:sz="0" w:space="0" w:color="auto"/>
        <w:left w:val="none" w:sz="0" w:space="0" w:color="auto"/>
        <w:bottom w:val="none" w:sz="0" w:space="0" w:color="auto"/>
        <w:right w:val="none" w:sz="0" w:space="0" w:color="auto"/>
      </w:divBdr>
    </w:div>
    <w:div w:id="1728216050">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76694623">
      <w:bodyDiv w:val="1"/>
      <w:marLeft w:val="0"/>
      <w:marRight w:val="0"/>
      <w:marTop w:val="0"/>
      <w:marBottom w:val="0"/>
      <w:divBdr>
        <w:top w:val="none" w:sz="0" w:space="0" w:color="auto"/>
        <w:left w:val="none" w:sz="0" w:space="0" w:color="auto"/>
        <w:bottom w:val="none" w:sz="0" w:space="0" w:color="auto"/>
        <w:right w:val="none" w:sz="0" w:space="0" w:color="auto"/>
      </w:divBdr>
    </w:div>
    <w:div w:id="1883789085">
      <w:bodyDiv w:val="1"/>
      <w:marLeft w:val="0"/>
      <w:marRight w:val="0"/>
      <w:marTop w:val="0"/>
      <w:marBottom w:val="0"/>
      <w:divBdr>
        <w:top w:val="none" w:sz="0" w:space="0" w:color="auto"/>
        <w:left w:val="none" w:sz="0" w:space="0" w:color="auto"/>
        <w:bottom w:val="none" w:sz="0" w:space="0" w:color="auto"/>
        <w:right w:val="none" w:sz="0" w:space="0" w:color="auto"/>
      </w:divBdr>
    </w:div>
    <w:div w:id="1892615497">
      <w:bodyDiv w:val="1"/>
      <w:marLeft w:val="0"/>
      <w:marRight w:val="0"/>
      <w:marTop w:val="0"/>
      <w:marBottom w:val="0"/>
      <w:divBdr>
        <w:top w:val="none" w:sz="0" w:space="0" w:color="auto"/>
        <w:left w:val="none" w:sz="0" w:space="0" w:color="auto"/>
        <w:bottom w:val="none" w:sz="0" w:space="0" w:color="auto"/>
        <w:right w:val="none" w:sz="0" w:space="0" w:color="auto"/>
      </w:divBdr>
    </w:div>
    <w:div w:id="1970164405">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25470228">
      <w:bodyDiv w:val="1"/>
      <w:marLeft w:val="0"/>
      <w:marRight w:val="0"/>
      <w:marTop w:val="0"/>
      <w:marBottom w:val="0"/>
      <w:divBdr>
        <w:top w:val="none" w:sz="0" w:space="0" w:color="auto"/>
        <w:left w:val="none" w:sz="0" w:space="0" w:color="auto"/>
        <w:bottom w:val="none" w:sz="0" w:space="0" w:color="auto"/>
        <w:right w:val="none" w:sz="0" w:space="0" w:color="auto"/>
      </w:divBdr>
    </w:div>
    <w:div w:id="2034064540">
      <w:bodyDiv w:val="1"/>
      <w:marLeft w:val="0"/>
      <w:marRight w:val="0"/>
      <w:marTop w:val="0"/>
      <w:marBottom w:val="0"/>
      <w:divBdr>
        <w:top w:val="none" w:sz="0" w:space="0" w:color="auto"/>
        <w:left w:val="none" w:sz="0" w:space="0" w:color="auto"/>
        <w:bottom w:val="none" w:sz="0" w:space="0" w:color="auto"/>
        <w:right w:val="none" w:sz="0" w:space="0" w:color="auto"/>
      </w:divBdr>
    </w:div>
    <w:div w:id="2039351365">
      <w:bodyDiv w:val="1"/>
      <w:marLeft w:val="0"/>
      <w:marRight w:val="0"/>
      <w:marTop w:val="0"/>
      <w:marBottom w:val="0"/>
      <w:divBdr>
        <w:top w:val="none" w:sz="0" w:space="0" w:color="auto"/>
        <w:left w:val="none" w:sz="0" w:space="0" w:color="auto"/>
        <w:bottom w:val="none" w:sz="0" w:space="0" w:color="auto"/>
        <w:right w:val="none" w:sz="0" w:space="0" w:color="auto"/>
      </w:divBdr>
    </w:div>
    <w:div w:id="2096126994">
      <w:bodyDiv w:val="1"/>
      <w:marLeft w:val="0"/>
      <w:marRight w:val="0"/>
      <w:marTop w:val="0"/>
      <w:marBottom w:val="0"/>
      <w:divBdr>
        <w:top w:val="none" w:sz="0" w:space="0" w:color="auto"/>
        <w:left w:val="none" w:sz="0" w:space="0" w:color="auto"/>
        <w:bottom w:val="none" w:sz="0" w:space="0" w:color="auto"/>
        <w:right w:val="none" w:sz="0" w:space="0" w:color="auto"/>
      </w:divBdr>
    </w:div>
    <w:div w:id="2103335005">
      <w:bodyDiv w:val="1"/>
      <w:marLeft w:val="0"/>
      <w:marRight w:val="0"/>
      <w:marTop w:val="0"/>
      <w:marBottom w:val="0"/>
      <w:divBdr>
        <w:top w:val="none" w:sz="0" w:space="0" w:color="auto"/>
        <w:left w:val="none" w:sz="0" w:space="0" w:color="auto"/>
        <w:bottom w:val="none" w:sz="0" w:space="0" w:color="auto"/>
        <w:right w:val="none" w:sz="0" w:space="0" w:color="auto"/>
      </w:divBdr>
    </w:div>
    <w:div w:id="212025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DDCA5A-D360-465C-9CB8-EEC04E968701}">
  <ds:schemaRefs>
    <ds:schemaRef ds:uri="http://schemas.openxmlformats.org/officeDocument/2006/bibliography"/>
  </ds:schemaRefs>
</ds:datastoreItem>
</file>

<file path=customXml/itemProps2.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3.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3466</TotalTime>
  <Pages>13</Pages>
  <Words>2764</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18483</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Ralcheva</cp:lastModifiedBy>
  <cp:revision>222</cp:revision>
  <dcterms:created xsi:type="dcterms:W3CDTF">2024-03-29T16:53:00Z</dcterms:created>
  <dcterms:modified xsi:type="dcterms:W3CDTF">2024-04-20T20:24:00Z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