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97B02" w14:textId="1EA6A0DA" w:rsidR="00870D87" w:rsidRPr="00870D87" w:rsidRDefault="00870D87" w:rsidP="00870D87">
      <w:pPr>
        <w:spacing w:line="360" w:lineRule="auto"/>
        <w:rPr>
          <w:rFonts w:ascii="Arial" w:hAnsi="Arial" w:cs="Arial"/>
          <w:sz w:val="24"/>
          <w:szCs w:val="24"/>
        </w:rPr>
      </w:pPr>
      <w:r w:rsidRPr="00870D87">
        <w:rPr>
          <w:rFonts w:ascii="Arial" w:hAnsi="Arial" w:cs="Arial"/>
          <w:sz w:val="24"/>
          <w:szCs w:val="24"/>
        </w:rPr>
        <w:t>I acknowledge the use of ChatGPT (</w:t>
      </w:r>
      <w:hyperlink r:id="rId7" w:tgtFrame="_new" w:history="1">
        <w:r w:rsidRPr="00870D87">
          <w:rPr>
            <w:rStyle w:val="Hyperlink"/>
            <w:rFonts w:ascii="Arial" w:hAnsi="Arial" w:cs="Arial"/>
            <w:sz w:val="24"/>
            <w:szCs w:val="24"/>
            <w:u w:val="none"/>
          </w:rPr>
          <w:t>https://chatgpt.com/</w:t>
        </w:r>
      </w:hyperlink>
      <w:r w:rsidRPr="00870D87">
        <w:rPr>
          <w:rFonts w:ascii="Arial" w:hAnsi="Arial" w:cs="Arial"/>
          <w:sz w:val="24"/>
          <w:szCs w:val="24"/>
        </w:rPr>
        <w:t xml:space="preserve">) on </w:t>
      </w:r>
      <w:r w:rsidR="005A5EE1">
        <w:rPr>
          <w:rFonts w:ascii="Arial" w:hAnsi="Arial" w:cs="Arial"/>
          <w:sz w:val="24"/>
          <w:szCs w:val="24"/>
        </w:rPr>
        <w:t>30</w:t>
      </w:r>
      <w:r w:rsidRPr="00870D87">
        <w:rPr>
          <w:rFonts w:ascii="Arial" w:hAnsi="Arial" w:cs="Arial"/>
          <w:sz w:val="24"/>
          <w:szCs w:val="24"/>
        </w:rPr>
        <w:t>th March 2025 to</w:t>
      </w:r>
      <w:r>
        <w:rPr>
          <w:rFonts w:ascii="Arial" w:hAnsi="Arial" w:cs="Arial"/>
          <w:sz w:val="24"/>
          <w:szCs w:val="24"/>
        </w:rPr>
        <w:t xml:space="preserve"> </w:t>
      </w:r>
      <w:r w:rsidRPr="00870D87">
        <w:rPr>
          <w:rFonts w:ascii="Arial" w:hAnsi="Arial" w:cs="Arial"/>
          <w:sz w:val="24"/>
          <w:szCs w:val="24"/>
        </w:rPr>
        <w:t>proofread and check for clarity, grammar, and punctuation. I used the prompt:</w:t>
      </w:r>
    </w:p>
    <w:p w14:paraId="2C20AFCE" w14:textId="77777777" w:rsidR="00870D87" w:rsidRPr="00870D87" w:rsidRDefault="00870D87" w:rsidP="00870D87">
      <w:pPr>
        <w:numPr>
          <w:ilvl w:val="0"/>
          <w:numId w:val="4"/>
        </w:numPr>
        <w:spacing w:line="360" w:lineRule="auto"/>
        <w:rPr>
          <w:rFonts w:ascii="Arial" w:hAnsi="Arial" w:cs="Arial"/>
          <w:sz w:val="24"/>
          <w:szCs w:val="24"/>
        </w:rPr>
      </w:pPr>
      <w:r w:rsidRPr="00870D87">
        <w:rPr>
          <w:rFonts w:ascii="Arial" w:hAnsi="Arial" w:cs="Arial"/>
          <w:sz w:val="24"/>
          <w:szCs w:val="24"/>
        </w:rPr>
        <w:t>“Can you check this document for grammar and spelling errors?”</w:t>
      </w:r>
    </w:p>
    <w:p w14:paraId="7D052E86" w14:textId="77777777" w:rsidR="00870D87" w:rsidRPr="00870D87" w:rsidRDefault="00870D87" w:rsidP="00870D87">
      <w:pPr>
        <w:spacing w:line="360" w:lineRule="auto"/>
        <w:rPr>
          <w:rFonts w:ascii="Arial" w:hAnsi="Arial" w:cs="Arial"/>
          <w:sz w:val="24"/>
          <w:szCs w:val="24"/>
        </w:rPr>
      </w:pPr>
      <w:r w:rsidRPr="00870D87">
        <w:rPr>
          <w:rFonts w:ascii="Arial" w:hAnsi="Arial" w:cs="Arial"/>
          <w:sz w:val="24"/>
          <w:szCs w:val="24"/>
        </w:rPr>
        <w:t>I confirm that I have not presented any AI-generated text as my own work. I confirm I have copies of my drafts, notes, and other resources used before and after the use of AI tools, which I may be asked to provide in evidence.</w:t>
      </w:r>
    </w:p>
    <w:p w14:paraId="60C98EB8" w14:textId="2D9BB1F6" w:rsidR="00F60D46" w:rsidRDefault="000A00AF" w:rsidP="003848A0">
      <w:pPr>
        <w:spacing w:line="360" w:lineRule="auto"/>
        <w:rPr>
          <w:rFonts w:ascii="Arial" w:hAnsi="Arial" w:cs="Arial"/>
          <w:b/>
          <w:bCs/>
          <w:sz w:val="24"/>
          <w:szCs w:val="24"/>
          <w:u w:val="single"/>
        </w:rPr>
      </w:pP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sidR="003848A0" w:rsidRPr="003848A0">
        <w:rPr>
          <w:rFonts w:ascii="Arial" w:hAnsi="Arial" w:cs="Arial"/>
          <w:b/>
          <w:bCs/>
          <w:sz w:val="24"/>
          <w:szCs w:val="24"/>
          <w:u w:val="single"/>
        </w:rPr>
        <w:lastRenderedPageBreak/>
        <w:t>Critically Reflecting on Quality Assurance Tools in Early Years: Moving Beyond Minimum Standards</w:t>
      </w:r>
    </w:p>
    <w:p w14:paraId="3D03659B" w14:textId="39AE19AD" w:rsidR="00C67F1E" w:rsidRPr="001224A3" w:rsidRDefault="00C67F1E" w:rsidP="00E67B48">
      <w:pPr>
        <w:spacing w:line="360" w:lineRule="auto"/>
        <w:rPr>
          <w:rFonts w:ascii="Arial" w:hAnsi="Arial" w:cs="Arial"/>
          <w:sz w:val="24"/>
          <w:szCs w:val="24"/>
        </w:rPr>
      </w:pPr>
      <w:r w:rsidRPr="001224A3">
        <w:rPr>
          <w:rFonts w:ascii="Arial" w:hAnsi="Arial" w:cs="Arial"/>
          <w:sz w:val="24"/>
          <w:szCs w:val="24"/>
        </w:rPr>
        <w:t xml:space="preserve">In early years education, the term ‘quality’ goes beyond simply meeting legal requirements. Quality </w:t>
      </w:r>
      <w:r w:rsidR="00E67B48" w:rsidRPr="001224A3">
        <w:rPr>
          <w:rFonts w:ascii="Arial" w:hAnsi="Arial" w:cs="Arial"/>
          <w:sz w:val="24"/>
          <w:szCs w:val="24"/>
        </w:rPr>
        <w:t>encompasses</w:t>
      </w:r>
      <w:r w:rsidRPr="001224A3">
        <w:rPr>
          <w:rFonts w:ascii="Arial" w:hAnsi="Arial" w:cs="Arial"/>
          <w:sz w:val="24"/>
          <w:szCs w:val="24"/>
        </w:rPr>
        <w:t xml:space="preserve"> the </w:t>
      </w:r>
      <w:r w:rsidR="00E67B48" w:rsidRPr="001224A3">
        <w:rPr>
          <w:rFonts w:ascii="Arial" w:hAnsi="Arial" w:cs="Arial"/>
          <w:sz w:val="24"/>
          <w:szCs w:val="24"/>
        </w:rPr>
        <w:t>prosperity</w:t>
      </w:r>
      <w:r w:rsidRPr="001224A3">
        <w:rPr>
          <w:rFonts w:ascii="Arial" w:hAnsi="Arial" w:cs="Arial"/>
          <w:sz w:val="24"/>
          <w:szCs w:val="24"/>
        </w:rPr>
        <w:t xml:space="preserve"> of a child's experiences, the depth of interactions between adults and children, and </w:t>
      </w:r>
      <w:r w:rsidR="00E67B48" w:rsidRPr="001224A3">
        <w:rPr>
          <w:rFonts w:ascii="Arial" w:hAnsi="Arial" w:cs="Arial"/>
          <w:sz w:val="24"/>
          <w:szCs w:val="24"/>
        </w:rPr>
        <w:t>the effectiveness with which</w:t>
      </w:r>
      <w:r w:rsidRPr="001224A3">
        <w:rPr>
          <w:rFonts w:ascii="Arial" w:hAnsi="Arial" w:cs="Arial"/>
          <w:sz w:val="24"/>
          <w:szCs w:val="24"/>
        </w:rPr>
        <w:t xml:space="preserve"> the environment supports well-being, development, and learning (Moss, 2016). High-quality early years settings provide secure, nurturing, and stimulating environments where children's rights are </w:t>
      </w:r>
      <w:proofErr w:type="gramStart"/>
      <w:r w:rsidRPr="001224A3">
        <w:rPr>
          <w:rFonts w:ascii="Arial" w:hAnsi="Arial" w:cs="Arial"/>
          <w:sz w:val="24"/>
          <w:szCs w:val="24"/>
        </w:rPr>
        <w:t>respected</w:t>
      </w:r>
      <w:proofErr w:type="gramEnd"/>
      <w:r w:rsidRPr="001224A3">
        <w:rPr>
          <w:rFonts w:ascii="Arial" w:hAnsi="Arial" w:cs="Arial"/>
          <w:sz w:val="24"/>
          <w:szCs w:val="24"/>
        </w:rPr>
        <w:t xml:space="preserve"> and their potential is fostered through responsive and reflective practice. According to the United Nations Convention on the Rights of the Child (UNCRC, 1989), children have the right to an education that fully develops their personality, talents, and abilities. This vision of quality aligns with the Curriculum for Wales (2022), which promotes holistic, child-centred, and inquiry-based approaches to early learning.</w:t>
      </w:r>
    </w:p>
    <w:p w14:paraId="465DB736" w14:textId="77777777" w:rsidR="00C67F1E" w:rsidRPr="00C67F1E" w:rsidRDefault="00C67F1E" w:rsidP="00E67B48">
      <w:pPr>
        <w:spacing w:line="360" w:lineRule="auto"/>
        <w:rPr>
          <w:rFonts w:ascii="Arial" w:hAnsi="Arial" w:cs="Arial"/>
          <w:sz w:val="24"/>
          <w:szCs w:val="24"/>
        </w:rPr>
      </w:pPr>
      <w:r w:rsidRPr="00C67F1E">
        <w:rPr>
          <w:rFonts w:ascii="Arial" w:hAnsi="Arial" w:cs="Arial"/>
          <w:sz w:val="24"/>
          <w:szCs w:val="24"/>
        </w:rPr>
        <w:t xml:space="preserve">The importance of quality in early years cannot be overstated. Research such as the Effective Pre-School, Primary and Secondary Education (EPPSE) study by </w:t>
      </w:r>
      <w:r w:rsidRPr="00864D76">
        <w:rPr>
          <w:rFonts w:ascii="Arial" w:hAnsi="Arial" w:cs="Arial"/>
          <w:sz w:val="24"/>
          <w:szCs w:val="24"/>
        </w:rPr>
        <w:t xml:space="preserve">Sylva </w:t>
      </w:r>
      <w:r w:rsidRPr="00864D76">
        <w:rPr>
          <w:rFonts w:ascii="Arial" w:hAnsi="Arial" w:cs="Arial"/>
          <w:i/>
          <w:iCs/>
          <w:sz w:val="24"/>
          <w:szCs w:val="24"/>
        </w:rPr>
        <w:t xml:space="preserve">et al. </w:t>
      </w:r>
      <w:r w:rsidRPr="00864D76">
        <w:rPr>
          <w:rFonts w:ascii="Arial" w:hAnsi="Arial" w:cs="Arial"/>
          <w:sz w:val="24"/>
          <w:szCs w:val="24"/>
        </w:rPr>
        <w:t>(2010)</w:t>
      </w:r>
      <w:r w:rsidRPr="00C67F1E">
        <w:rPr>
          <w:rFonts w:ascii="Arial" w:hAnsi="Arial" w:cs="Arial"/>
          <w:sz w:val="24"/>
          <w:szCs w:val="24"/>
        </w:rPr>
        <w:t xml:space="preserve"> highlights a strong correlation between high-quality early years provision and improved social, cognitive, and emotional outcomes later in life. Furthermore, the </w:t>
      </w:r>
      <w:r w:rsidRPr="0029074B">
        <w:rPr>
          <w:rFonts w:ascii="Arial" w:hAnsi="Arial" w:cs="Arial"/>
          <w:sz w:val="24"/>
          <w:szCs w:val="24"/>
        </w:rPr>
        <w:t>Well-being of Future Generations (Wales) Act 2015</w:t>
      </w:r>
      <w:r w:rsidRPr="00C67F1E">
        <w:rPr>
          <w:rFonts w:ascii="Arial" w:hAnsi="Arial" w:cs="Arial"/>
          <w:sz w:val="24"/>
          <w:szCs w:val="24"/>
        </w:rPr>
        <w:t xml:space="preserve"> urges all sectors, including education, to act in ways that protect and promote the long-term well-being of children, making quality provision a moral and legal imperative.</w:t>
      </w:r>
    </w:p>
    <w:p w14:paraId="144A6C89" w14:textId="77777777" w:rsidR="00C67F1E" w:rsidRPr="00C67F1E" w:rsidRDefault="00C67F1E" w:rsidP="00E67B48">
      <w:pPr>
        <w:spacing w:line="360" w:lineRule="auto"/>
        <w:rPr>
          <w:rFonts w:ascii="Arial" w:hAnsi="Arial" w:cs="Arial"/>
          <w:sz w:val="24"/>
          <w:szCs w:val="24"/>
        </w:rPr>
      </w:pPr>
      <w:r w:rsidRPr="00C67F1E">
        <w:rPr>
          <w:rFonts w:ascii="Arial" w:hAnsi="Arial" w:cs="Arial"/>
          <w:sz w:val="24"/>
          <w:szCs w:val="24"/>
        </w:rPr>
        <w:t xml:space="preserve">While statutory frameworks like the National Minimum Standards (NMS) </w:t>
      </w:r>
      <w:r w:rsidRPr="0099207C">
        <w:rPr>
          <w:rFonts w:ascii="Arial" w:hAnsi="Arial" w:cs="Arial"/>
          <w:sz w:val="24"/>
          <w:szCs w:val="24"/>
        </w:rPr>
        <w:t>(Welsh Government, 2023) ensure</w:t>
      </w:r>
      <w:r w:rsidRPr="00C67F1E">
        <w:rPr>
          <w:rFonts w:ascii="Arial" w:hAnsi="Arial" w:cs="Arial"/>
          <w:sz w:val="24"/>
          <w:szCs w:val="24"/>
        </w:rPr>
        <w:t xml:space="preserve"> a baseline for safety and care, they do not necessarily promote best practice or continuous development. For this reason, many settings adopt additional quality assurance tools to drive improvement. These tools allow practitioners to reflect, evaluate, and enhance their provision in ways that exceed minimum expectations.</w:t>
      </w:r>
    </w:p>
    <w:p w14:paraId="0632760D" w14:textId="77777777" w:rsidR="00C67F1E" w:rsidRPr="00C67F1E" w:rsidRDefault="00C67F1E" w:rsidP="00E67B48">
      <w:pPr>
        <w:spacing w:line="360" w:lineRule="auto"/>
        <w:rPr>
          <w:rFonts w:ascii="Arial" w:hAnsi="Arial" w:cs="Arial"/>
          <w:sz w:val="24"/>
          <w:szCs w:val="24"/>
        </w:rPr>
      </w:pPr>
      <w:r w:rsidRPr="00C67F1E">
        <w:rPr>
          <w:rFonts w:ascii="Arial" w:hAnsi="Arial" w:cs="Arial"/>
          <w:sz w:val="24"/>
          <w:szCs w:val="24"/>
        </w:rPr>
        <w:t>This reflective paper will explore the benefits and limitations of two such quality assurance methods: the Sustained Shared Thinking and Emotional Wellbeing (SSTEW) Scale and the Baby Effective Early Learning (BEEL) Programme. Through a critical comparison of these approaches, the paper will consider how each tool supports quality beyond compliance and improves outcomes for children, staff, and families.</w:t>
      </w:r>
    </w:p>
    <w:p w14:paraId="7077A962" w14:textId="495DBDA7" w:rsidR="00E67B48" w:rsidRPr="00E67B48" w:rsidRDefault="00E67B48" w:rsidP="00E67B48">
      <w:pPr>
        <w:spacing w:line="360" w:lineRule="auto"/>
        <w:rPr>
          <w:rFonts w:ascii="Arial" w:hAnsi="Arial" w:cs="Arial"/>
          <w:sz w:val="24"/>
          <w:szCs w:val="24"/>
          <w:u w:val="single"/>
        </w:rPr>
      </w:pPr>
      <w:r w:rsidRPr="00E67B48">
        <w:rPr>
          <w:rFonts w:ascii="Arial" w:hAnsi="Arial" w:cs="Arial"/>
          <w:sz w:val="24"/>
          <w:szCs w:val="24"/>
          <w:u w:val="single"/>
        </w:rPr>
        <w:lastRenderedPageBreak/>
        <w:t>Sustained Shared Thinking and Emotional Wellbeing (SSTEW) Scale</w:t>
      </w:r>
    </w:p>
    <w:p w14:paraId="001637E5" w14:textId="6C406DCE" w:rsidR="00E67B48" w:rsidRPr="00E67B48" w:rsidRDefault="00E67B48" w:rsidP="00E67B48">
      <w:pPr>
        <w:spacing w:line="360" w:lineRule="auto"/>
        <w:rPr>
          <w:rFonts w:ascii="Arial" w:hAnsi="Arial" w:cs="Arial"/>
          <w:sz w:val="24"/>
          <w:szCs w:val="24"/>
        </w:rPr>
      </w:pPr>
      <w:r w:rsidRPr="00E67B48">
        <w:rPr>
          <w:rFonts w:ascii="Arial" w:hAnsi="Arial" w:cs="Arial"/>
          <w:sz w:val="24"/>
          <w:szCs w:val="24"/>
        </w:rPr>
        <w:t xml:space="preserve">The Sustained Shared Thinking and Emotional Wellbeing (SSTEW) Scale, developed by </w:t>
      </w:r>
      <w:r w:rsidRPr="00864D76">
        <w:rPr>
          <w:rFonts w:ascii="Arial" w:hAnsi="Arial" w:cs="Arial"/>
          <w:sz w:val="24"/>
          <w:szCs w:val="24"/>
        </w:rPr>
        <w:t>Siraj</w:t>
      </w:r>
      <w:r w:rsidR="00DB0E55" w:rsidRPr="00864D76">
        <w:rPr>
          <w:rFonts w:ascii="Arial" w:hAnsi="Arial" w:cs="Arial"/>
          <w:sz w:val="24"/>
          <w:szCs w:val="24"/>
        </w:rPr>
        <w:t>, Kingston and Melhuish</w:t>
      </w:r>
      <w:r w:rsidRPr="00864D76">
        <w:rPr>
          <w:rFonts w:ascii="Arial" w:hAnsi="Arial" w:cs="Arial"/>
          <w:sz w:val="24"/>
          <w:szCs w:val="24"/>
        </w:rPr>
        <w:t xml:space="preserve"> (2015),</w:t>
      </w:r>
      <w:r w:rsidRPr="00E67B48">
        <w:rPr>
          <w:rFonts w:ascii="Arial" w:hAnsi="Arial" w:cs="Arial"/>
          <w:sz w:val="24"/>
          <w:szCs w:val="24"/>
        </w:rPr>
        <w:t xml:space="preserve"> is a research-based tool designed to </w:t>
      </w:r>
      <w:r w:rsidR="004F2CEF">
        <w:rPr>
          <w:rFonts w:ascii="Arial" w:hAnsi="Arial" w:cs="Arial"/>
          <w:sz w:val="24"/>
          <w:szCs w:val="24"/>
        </w:rPr>
        <w:t>evaluate</w:t>
      </w:r>
      <w:r w:rsidRPr="00E67B48">
        <w:rPr>
          <w:rFonts w:ascii="Arial" w:hAnsi="Arial" w:cs="Arial"/>
          <w:sz w:val="24"/>
          <w:szCs w:val="24"/>
        </w:rPr>
        <w:t xml:space="preserve"> the quality of </w:t>
      </w:r>
      <w:r>
        <w:rPr>
          <w:rFonts w:ascii="Arial" w:hAnsi="Arial" w:cs="Arial"/>
          <w:sz w:val="24"/>
          <w:szCs w:val="24"/>
        </w:rPr>
        <w:t>interactions between adults and children</w:t>
      </w:r>
      <w:r w:rsidRPr="00E67B48">
        <w:rPr>
          <w:rFonts w:ascii="Arial" w:hAnsi="Arial" w:cs="Arial"/>
          <w:sz w:val="24"/>
          <w:szCs w:val="24"/>
        </w:rPr>
        <w:t xml:space="preserve"> within early years settings. It focuses on five key domains: building trust, confidence</w:t>
      </w:r>
      <w:r>
        <w:rPr>
          <w:rFonts w:ascii="Arial" w:hAnsi="Arial" w:cs="Arial"/>
          <w:sz w:val="24"/>
          <w:szCs w:val="24"/>
        </w:rPr>
        <w:t>,</w:t>
      </w:r>
      <w:r w:rsidRPr="00E67B48">
        <w:rPr>
          <w:rFonts w:ascii="Arial" w:hAnsi="Arial" w:cs="Arial"/>
          <w:sz w:val="24"/>
          <w:szCs w:val="24"/>
        </w:rPr>
        <w:t xml:space="preserve"> and independence; social and emotional well</w:t>
      </w:r>
      <w:r>
        <w:rPr>
          <w:rFonts w:ascii="Arial" w:hAnsi="Arial" w:cs="Arial"/>
          <w:sz w:val="24"/>
          <w:szCs w:val="24"/>
        </w:rPr>
        <w:t>-</w:t>
      </w:r>
      <w:r w:rsidRPr="00E67B48">
        <w:rPr>
          <w:rFonts w:ascii="Arial" w:hAnsi="Arial" w:cs="Arial"/>
          <w:sz w:val="24"/>
          <w:szCs w:val="24"/>
        </w:rPr>
        <w:t xml:space="preserve">being; supporting and extending language and communication; supporting learning and critical thinking; and assessing learning and language. </w:t>
      </w:r>
      <w:r w:rsidR="00D375B1">
        <w:rPr>
          <w:rFonts w:ascii="Arial" w:hAnsi="Arial" w:cs="Arial"/>
          <w:sz w:val="24"/>
          <w:szCs w:val="24"/>
        </w:rPr>
        <w:t>Unlike</w:t>
      </w:r>
      <w:r w:rsidRPr="00E67B48">
        <w:rPr>
          <w:rFonts w:ascii="Arial" w:hAnsi="Arial" w:cs="Arial"/>
          <w:sz w:val="24"/>
          <w:szCs w:val="24"/>
        </w:rPr>
        <w:t xml:space="preserve"> more structural tools such as </w:t>
      </w:r>
      <w:r>
        <w:rPr>
          <w:rFonts w:ascii="Arial" w:hAnsi="Arial" w:cs="Arial"/>
          <w:sz w:val="24"/>
          <w:szCs w:val="24"/>
        </w:rPr>
        <w:t xml:space="preserve">the </w:t>
      </w:r>
      <w:r w:rsidRPr="00E67B48">
        <w:rPr>
          <w:rFonts w:ascii="Arial" w:hAnsi="Arial" w:cs="Arial"/>
          <w:sz w:val="24"/>
          <w:szCs w:val="24"/>
        </w:rPr>
        <w:t>Early Childhood Environment Rating Scale</w:t>
      </w:r>
      <w:r>
        <w:rPr>
          <w:rFonts w:ascii="Arial" w:hAnsi="Arial" w:cs="Arial"/>
          <w:sz w:val="24"/>
          <w:szCs w:val="24"/>
        </w:rPr>
        <w:t xml:space="preserve"> (ECERS)</w:t>
      </w:r>
      <w:r w:rsidRPr="00E67B48">
        <w:rPr>
          <w:rFonts w:ascii="Arial" w:hAnsi="Arial" w:cs="Arial"/>
          <w:sz w:val="24"/>
          <w:szCs w:val="24"/>
        </w:rPr>
        <w:t xml:space="preserve">, the SSTEW scale </w:t>
      </w:r>
      <w:r w:rsidR="006801CA">
        <w:rPr>
          <w:rFonts w:ascii="Arial" w:hAnsi="Arial" w:cs="Arial"/>
          <w:sz w:val="24"/>
          <w:szCs w:val="24"/>
        </w:rPr>
        <w:t>focuses</w:t>
      </w:r>
      <w:r w:rsidRPr="00E67B48">
        <w:rPr>
          <w:rFonts w:ascii="Arial" w:hAnsi="Arial" w:cs="Arial"/>
          <w:sz w:val="24"/>
          <w:szCs w:val="24"/>
        </w:rPr>
        <w:t xml:space="preserve"> on the quality of pedagogy and interactions, reflecting the process features of quality that directly </w:t>
      </w:r>
      <w:r w:rsidR="006801CA">
        <w:rPr>
          <w:rFonts w:ascii="Arial" w:hAnsi="Arial" w:cs="Arial"/>
          <w:sz w:val="24"/>
          <w:szCs w:val="24"/>
        </w:rPr>
        <w:t>affect</w:t>
      </w:r>
      <w:r w:rsidRPr="00E67B48">
        <w:rPr>
          <w:rFonts w:ascii="Arial" w:hAnsi="Arial" w:cs="Arial"/>
          <w:sz w:val="24"/>
          <w:szCs w:val="24"/>
        </w:rPr>
        <w:t xml:space="preserve"> child outcomes </w:t>
      </w:r>
      <w:r w:rsidRPr="00864D76">
        <w:rPr>
          <w:rFonts w:ascii="Arial" w:hAnsi="Arial" w:cs="Arial"/>
          <w:sz w:val="24"/>
          <w:szCs w:val="24"/>
        </w:rPr>
        <w:t xml:space="preserve">(Melhuish </w:t>
      </w:r>
      <w:r w:rsidRPr="00864D76">
        <w:rPr>
          <w:rFonts w:ascii="Arial" w:hAnsi="Arial" w:cs="Arial"/>
          <w:i/>
          <w:iCs/>
          <w:sz w:val="24"/>
          <w:szCs w:val="24"/>
        </w:rPr>
        <w:t>et al.,</w:t>
      </w:r>
      <w:r w:rsidRPr="00864D76">
        <w:rPr>
          <w:rFonts w:ascii="Arial" w:hAnsi="Arial" w:cs="Arial"/>
          <w:sz w:val="24"/>
          <w:szCs w:val="24"/>
        </w:rPr>
        <w:t xml:space="preserve"> 2015).</w:t>
      </w:r>
    </w:p>
    <w:p w14:paraId="6F6B0D27" w14:textId="51280016" w:rsidR="00E67B48" w:rsidRPr="00E67B48" w:rsidRDefault="00E67B48" w:rsidP="00E67B48">
      <w:pPr>
        <w:spacing w:line="360" w:lineRule="auto"/>
        <w:rPr>
          <w:rFonts w:ascii="Arial" w:hAnsi="Arial" w:cs="Arial"/>
          <w:sz w:val="24"/>
          <w:szCs w:val="24"/>
        </w:rPr>
      </w:pPr>
      <w:r w:rsidRPr="00E67B48">
        <w:rPr>
          <w:rFonts w:ascii="Arial" w:hAnsi="Arial" w:cs="Arial"/>
          <w:sz w:val="24"/>
          <w:szCs w:val="24"/>
        </w:rPr>
        <w:t xml:space="preserve">The primary strength of the SSTEW scale lies in its ability to guide practitioners toward deeper, more reflective engagement with children. </w:t>
      </w:r>
      <w:r w:rsidR="00C22F22">
        <w:rPr>
          <w:rFonts w:ascii="Arial" w:hAnsi="Arial" w:cs="Arial"/>
          <w:sz w:val="24"/>
          <w:szCs w:val="24"/>
        </w:rPr>
        <w:t>Focusing on sustained shared thinking (SST)—where adults and children engage in meaningful conversations to explore ideas together—</w:t>
      </w:r>
      <w:r w:rsidRPr="00E67B48">
        <w:rPr>
          <w:rFonts w:ascii="Arial" w:hAnsi="Arial" w:cs="Arial"/>
          <w:sz w:val="24"/>
          <w:szCs w:val="24"/>
        </w:rPr>
        <w:t xml:space="preserve">encourages practitioners to move beyond directive or supervisory roles and become co-constructors of knowledge </w:t>
      </w:r>
      <w:r w:rsidRPr="00864D76">
        <w:rPr>
          <w:rFonts w:ascii="Arial" w:hAnsi="Arial" w:cs="Arial"/>
          <w:sz w:val="24"/>
          <w:szCs w:val="24"/>
        </w:rPr>
        <w:t>(Siraj</w:t>
      </w:r>
      <w:r w:rsidR="00AE660F" w:rsidRPr="00864D76">
        <w:rPr>
          <w:rFonts w:ascii="Arial" w:hAnsi="Arial" w:cs="Arial"/>
          <w:sz w:val="24"/>
          <w:szCs w:val="24"/>
        </w:rPr>
        <w:t xml:space="preserve">, Kingston and </w:t>
      </w:r>
      <w:r w:rsidR="00DB0E55" w:rsidRPr="00864D76">
        <w:rPr>
          <w:rFonts w:ascii="Arial" w:hAnsi="Arial" w:cs="Arial"/>
          <w:sz w:val="24"/>
          <w:szCs w:val="24"/>
        </w:rPr>
        <w:t>Melhuish</w:t>
      </w:r>
      <w:r w:rsidRPr="00864D76">
        <w:rPr>
          <w:rFonts w:ascii="Arial" w:hAnsi="Arial" w:cs="Arial"/>
          <w:sz w:val="24"/>
          <w:szCs w:val="24"/>
        </w:rPr>
        <w:t>, 2015).</w:t>
      </w:r>
      <w:r w:rsidRPr="00E67B48">
        <w:rPr>
          <w:rFonts w:ascii="Arial" w:hAnsi="Arial" w:cs="Arial"/>
          <w:sz w:val="24"/>
          <w:szCs w:val="24"/>
        </w:rPr>
        <w:t xml:space="preserve"> This aligns with </w:t>
      </w:r>
      <w:r w:rsidRPr="0029074B">
        <w:rPr>
          <w:rFonts w:ascii="Arial" w:hAnsi="Arial" w:cs="Arial"/>
          <w:sz w:val="24"/>
          <w:szCs w:val="24"/>
        </w:rPr>
        <w:t>Vygotsky’s (1978)</w:t>
      </w:r>
      <w:r w:rsidRPr="00E67B48">
        <w:rPr>
          <w:rFonts w:ascii="Arial" w:hAnsi="Arial" w:cs="Arial"/>
          <w:sz w:val="24"/>
          <w:szCs w:val="24"/>
        </w:rPr>
        <w:t xml:space="preserve"> socio-cultural theory, which emphasises the role of social interaction in cognitive development.</w:t>
      </w:r>
    </w:p>
    <w:p w14:paraId="78E47D83" w14:textId="2F612807" w:rsidR="00E67B48" w:rsidRPr="00E67B48" w:rsidRDefault="00E67B48" w:rsidP="00E67B48">
      <w:pPr>
        <w:spacing w:line="360" w:lineRule="auto"/>
        <w:rPr>
          <w:rFonts w:ascii="Arial" w:hAnsi="Arial" w:cs="Arial"/>
          <w:sz w:val="24"/>
          <w:szCs w:val="24"/>
        </w:rPr>
      </w:pPr>
      <w:r w:rsidRPr="00E67B48">
        <w:rPr>
          <w:rFonts w:ascii="Arial" w:hAnsi="Arial" w:cs="Arial"/>
          <w:sz w:val="24"/>
          <w:szCs w:val="24"/>
        </w:rPr>
        <w:t xml:space="preserve">One of the key advantages of using the SSTEW scale is its practical application as a professional development tool. It can be used during observations, staff supervisions and appraisals to highlight areas for growth. For example, if practitioners </w:t>
      </w:r>
      <w:r w:rsidR="0097128B">
        <w:rPr>
          <w:rFonts w:ascii="Arial" w:hAnsi="Arial" w:cs="Arial"/>
          <w:sz w:val="24"/>
          <w:szCs w:val="24"/>
        </w:rPr>
        <w:t xml:space="preserve">score low in the domain of critical thinking, targeted CPD can be introduced to strengthen their </w:t>
      </w:r>
      <w:r w:rsidRPr="00E67B48">
        <w:rPr>
          <w:rFonts w:ascii="Arial" w:hAnsi="Arial" w:cs="Arial"/>
          <w:sz w:val="24"/>
          <w:szCs w:val="24"/>
        </w:rPr>
        <w:t xml:space="preserve">questioning strategies. This use of the tool as a reflective prompt not only supports continuous improvement but also demonstrates strong leadership under CIW’s Leadership and Management quality area </w:t>
      </w:r>
      <w:r w:rsidRPr="00864D76">
        <w:rPr>
          <w:rFonts w:ascii="Arial" w:hAnsi="Arial" w:cs="Arial"/>
          <w:sz w:val="24"/>
          <w:szCs w:val="24"/>
        </w:rPr>
        <w:t>(C</w:t>
      </w:r>
      <w:r w:rsidR="00864D76" w:rsidRPr="00864D76">
        <w:rPr>
          <w:rFonts w:ascii="Arial" w:hAnsi="Arial" w:cs="Arial"/>
          <w:sz w:val="24"/>
          <w:szCs w:val="24"/>
        </w:rPr>
        <w:t xml:space="preserve">are </w:t>
      </w:r>
      <w:r w:rsidRPr="00864D76">
        <w:rPr>
          <w:rFonts w:ascii="Arial" w:hAnsi="Arial" w:cs="Arial"/>
          <w:sz w:val="24"/>
          <w:szCs w:val="24"/>
        </w:rPr>
        <w:t>I</w:t>
      </w:r>
      <w:r w:rsidR="00864D76" w:rsidRPr="00864D76">
        <w:rPr>
          <w:rFonts w:ascii="Arial" w:hAnsi="Arial" w:cs="Arial"/>
          <w:sz w:val="24"/>
          <w:szCs w:val="24"/>
        </w:rPr>
        <w:t xml:space="preserve">nspectorate </w:t>
      </w:r>
      <w:r w:rsidRPr="00864D76">
        <w:rPr>
          <w:rFonts w:ascii="Arial" w:hAnsi="Arial" w:cs="Arial"/>
          <w:sz w:val="24"/>
          <w:szCs w:val="24"/>
        </w:rPr>
        <w:t>W</w:t>
      </w:r>
      <w:r w:rsidR="00864D76" w:rsidRPr="00864D76">
        <w:rPr>
          <w:rFonts w:ascii="Arial" w:hAnsi="Arial" w:cs="Arial"/>
          <w:sz w:val="24"/>
          <w:szCs w:val="24"/>
        </w:rPr>
        <w:t>ales</w:t>
      </w:r>
      <w:r w:rsidRPr="00864D76">
        <w:rPr>
          <w:rFonts w:ascii="Arial" w:hAnsi="Arial" w:cs="Arial"/>
          <w:sz w:val="24"/>
          <w:szCs w:val="24"/>
        </w:rPr>
        <w:t>, 2023).</w:t>
      </w:r>
    </w:p>
    <w:p w14:paraId="70B00B3D" w14:textId="5D8AAEB9" w:rsidR="00E67B48" w:rsidRDefault="00E67B48" w:rsidP="00E67B48">
      <w:pPr>
        <w:spacing w:line="360" w:lineRule="auto"/>
        <w:rPr>
          <w:rFonts w:ascii="Arial" w:hAnsi="Arial" w:cs="Arial"/>
          <w:sz w:val="24"/>
          <w:szCs w:val="24"/>
        </w:rPr>
      </w:pPr>
      <w:r w:rsidRPr="00E67B48">
        <w:rPr>
          <w:rFonts w:ascii="Arial" w:hAnsi="Arial" w:cs="Arial"/>
          <w:sz w:val="24"/>
          <w:szCs w:val="24"/>
        </w:rPr>
        <w:t xml:space="preserve">However, the SSTEW scale is not without limitations. First, it is highly dependent on observer interpretation, which can introduce bias or inconsistency. Secondly, using the scale effectively requires significant training and time, which can be barriers for settings already under pressure. Furthermore, the SSTEW scale may not capture the full diversity of children’s experiences or cultural backgrounds, </w:t>
      </w:r>
      <w:r w:rsidR="005C5DC3">
        <w:rPr>
          <w:rFonts w:ascii="Arial" w:hAnsi="Arial" w:cs="Arial"/>
          <w:sz w:val="24"/>
          <w:szCs w:val="24"/>
        </w:rPr>
        <w:t>mainly</w:t>
      </w:r>
      <w:r w:rsidRPr="00E67B48">
        <w:rPr>
          <w:rFonts w:ascii="Arial" w:hAnsi="Arial" w:cs="Arial"/>
          <w:sz w:val="24"/>
          <w:szCs w:val="24"/>
        </w:rPr>
        <w:t xml:space="preserve"> where language development varies significantly </w:t>
      </w:r>
      <w:r w:rsidR="00AF23D8" w:rsidRPr="00864D76">
        <w:rPr>
          <w:rFonts w:ascii="Arial" w:hAnsi="Arial" w:cs="Arial"/>
          <w:sz w:val="24"/>
          <w:szCs w:val="24"/>
        </w:rPr>
        <w:t>(Bonetti, 2018).</w:t>
      </w:r>
    </w:p>
    <w:p w14:paraId="7E3B108C" w14:textId="5849FBB8" w:rsidR="002C0507" w:rsidRDefault="002C0507" w:rsidP="00E67B48">
      <w:pPr>
        <w:spacing w:line="360" w:lineRule="auto"/>
        <w:rPr>
          <w:rFonts w:ascii="Arial" w:hAnsi="Arial" w:cs="Arial"/>
          <w:sz w:val="24"/>
          <w:szCs w:val="24"/>
        </w:rPr>
      </w:pPr>
      <w:r w:rsidRPr="002C0507">
        <w:rPr>
          <w:rFonts w:ascii="Arial" w:hAnsi="Arial" w:cs="Arial"/>
          <w:sz w:val="24"/>
          <w:szCs w:val="24"/>
        </w:rPr>
        <w:lastRenderedPageBreak/>
        <w:t xml:space="preserve">Another critical element of the SSTEW scale is </w:t>
      </w:r>
      <w:r w:rsidR="00E30528">
        <w:rPr>
          <w:rFonts w:ascii="Arial" w:hAnsi="Arial" w:cs="Arial"/>
          <w:sz w:val="24"/>
          <w:szCs w:val="24"/>
        </w:rPr>
        <w:t xml:space="preserve">its ability to empower leadership teams to integrate quality assurance into their </w:t>
      </w:r>
      <w:r w:rsidRPr="002C0507">
        <w:rPr>
          <w:rFonts w:ascii="Arial" w:hAnsi="Arial" w:cs="Arial"/>
          <w:sz w:val="24"/>
          <w:szCs w:val="24"/>
        </w:rPr>
        <w:t xml:space="preserve">everyday routines. Rather than relying solely on formal inspection cycles, </w:t>
      </w:r>
      <w:r w:rsidR="00F47B00">
        <w:rPr>
          <w:rFonts w:ascii="Arial" w:hAnsi="Arial" w:cs="Arial"/>
          <w:sz w:val="24"/>
          <w:szCs w:val="24"/>
        </w:rPr>
        <w:t>t</w:t>
      </w:r>
      <w:r w:rsidR="00F47B00" w:rsidRPr="00F47B00">
        <w:rPr>
          <w:rFonts w:ascii="Arial" w:hAnsi="Arial" w:cs="Arial"/>
          <w:sz w:val="24"/>
          <w:szCs w:val="24"/>
        </w:rPr>
        <w:t>he SSTEW tool supports distributed leadership through ongoing internal evaluation and a culture of co-reflection among all staff</w:t>
      </w:r>
      <w:r w:rsidR="00F47B00">
        <w:rPr>
          <w:rFonts w:ascii="Arial" w:hAnsi="Arial" w:cs="Arial"/>
          <w:sz w:val="24"/>
          <w:szCs w:val="24"/>
        </w:rPr>
        <w:t xml:space="preserve"> </w:t>
      </w:r>
      <w:r w:rsidR="00F47B00" w:rsidRPr="002C0507">
        <w:rPr>
          <w:rFonts w:ascii="Arial" w:hAnsi="Arial" w:cs="Arial"/>
          <w:sz w:val="24"/>
          <w:szCs w:val="24"/>
        </w:rPr>
        <w:t>(</w:t>
      </w:r>
      <w:r w:rsidR="00F47B00" w:rsidRPr="00864D76">
        <w:rPr>
          <w:rFonts w:ascii="Arial" w:hAnsi="Arial" w:cs="Arial"/>
          <w:sz w:val="24"/>
          <w:szCs w:val="24"/>
        </w:rPr>
        <w:t>Siraj-Blatchford and Manni</w:t>
      </w:r>
      <w:r w:rsidR="00F47B00" w:rsidRPr="002C0507">
        <w:rPr>
          <w:rFonts w:ascii="Arial" w:hAnsi="Arial" w:cs="Arial"/>
          <w:sz w:val="24"/>
          <w:szCs w:val="24"/>
        </w:rPr>
        <w:t>, 20</w:t>
      </w:r>
      <w:r w:rsidR="00F47B00" w:rsidRPr="00864D76">
        <w:rPr>
          <w:rFonts w:ascii="Arial" w:hAnsi="Arial" w:cs="Arial"/>
          <w:sz w:val="24"/>
          <w:szCs w:val="24"/>
        </w:rPr>
        <w:t>07</w:t>
      </w:r>
      <w:r w:rsidR="00F47B00" w:rsidRPr="002C0507">
        <w:rPr>
          <w:rFonts w:ascii="Arial" w:hAnsi="Arial" w:cs="Arial"/>
          <w:sz w:val="24"/>
          <w:szCs w:val="24"/>
        </w:rPr>
        <w:t>)</w:t>
      </w:r>
      <w:r w:rsidR="00F47B00" w:rsidRPr="00F47B00">
        <w:rPr>
          <w:rFonts w:ascii="Arial" w:hAnsi="Arial" w:cs="Arial"/>
          <w:sz w:val="24"/>
          <w:szCs w:val="24"/>
        </w:rPr>
        <w:t>.</w:t>
      </w:r>
      <w:r w:rsidR="00F47B00">
        <w:rPr>
          <w:rFonts w:ascii="Arial" w:hAnsi="Arial" w:cs="Arial"/>
          <w:sz w:val="24"/>
          <w:szCs w:val="24"/>
        </w:rPr>
        <w:t xml:space="preserve"> </w:t>
      </w:r>
      <w:r w:rsidRPr="002C0507">
        <w:rPr>
          <w:rFonts w:ascii="Arial" w:hAnsi="Arial" w:cs="Arial"/>
          <w:sz w:val="24"/>
          <w:szCs w:val="24"/>
        </w:rPr>
        <w:t>Moreover, its focus on emotional well-being highlights the interconnectedness of care and education, which is essential in supporting children’s holistic development and aligns closely with the Well-being of Future Generations Act (Welsh Government, 2015). By foregrounding these elements, the SSTEW tool challenges settings to look beyond outcomes and prioritise process-based indicators of quality that genuinely reflect children's lived experiences.</w:t>
      </w:r>
    </w:p>
    <w:p w14:paraId="7DBD0E0E" w14:textId="46160F87" w:rsidR="008E0DF9" w:rsidRPr="00E67B48" w:rsidRDefault="008C1B33" w:rsidP="00E67B48">
      <w:pPr>
        <w:spacing w:line="360" w:lineRule="auto"/>
        <w:rPr>
          <w:rFonts w:ascii="Arial" w:hAnsi="Arial" w:cs="Arial"/>
          <w:sz w:val="24"/>
          <w:szCs w:val="24"/>
        </w:rPr>
      </w:pPr>
      <w:r>
        <w:rPr>
          <w:rFonts w:ascii="Arial" w:hAnsi="Arial" w:cs="Arial"/>
          <w:sz w:val="24"/>
          <w:szCs w:val="24"/>
        </w:rPr>
        <w:t>Additionally, the SSTEW scale can serve</w:t>
      </w:r>
      <w:r w:rsidR="008E0DF9" w:rsidRPr="008E0DF9">
        <w:rPr>
          <w:rFonts w:ascii="Arial" w:hAnsi="Arial" w:cs="Arial"/>
          <w:sz w:val="24"/>
          <w:szCs w:val="24"/>
        </w:rPr>
        <w:t xml:space="preserve"> as a catalyst for curriculum development. </w:t>
      </w:r>
      <w:r w:rsidR="008E0DF9">
        <w:rPr>
          <w:rFonts w:ascii="Arial" w:hAnsi="Arial" w:cs="Arial"/>
          <w:sz w:val="24"/>
          <w:szCs w:val="24"/>
        </w:rPr>
        <w:t>Identifying gaps in practice—such as limited questioning techniques or insufficient emotional support—</w:t>
      </w:r>
      <w:r w:rsidR="008E0DF9" w:rsidRPr="008E0DF9">
        <w:rPr>
          <w:rFonts w:ascii="Arial" w:hAnsi="Arial" w:cs="Arial"/>
          <w:sz w:val="24"/>
          <w:szCs w:val="24"/>
        </w:rPr>
        <w:t>enables leaders to shape targeted improvement plans that align with national frameworks like the Curriculum for Wales (2022). This supports a holistic, child-centred pedagogy and helps staff engage with current educational priorities. It also reinforces the need to link reflective dialogue with measurable practice, thereby closing the gap between what we know about effective teaching and what we do daily (Rodd, 2013).</w:t>
      </w:r>
    </w:p>
    <w:p w14:paraId="2CAC1EB8" w14:textId="2C8798C4" w:rsidR="00E67B48" w:rsidRDefault="00E67B48" w:rsidP="00E67B48">
      <w:pPr>
        <w:spacing w:line="360" w:lineRule="auto"/>
        <w:rPr>
          <w:rFonts w:ascii="Arial" w:hAnsi="Arial" w:cs="Arial"/>
          <w:sz w:val="24"/>
          <w:szCs w:val="24"/>
        </w:rPr>
      </w:pPr>
      <w:r w:rsidRPr="00E67B48">
        <w:rPr>
          <w:rFonts w:ascii="Arial" w:hAnsi="Arial" w:cs="Arial"/>
          <w:sz w:val="24"/>
          <w:szCs w:val="24"/>
        </w:rPr>
        <w:t xml:space="preserve">Despite these challenges, the SSTEW scale provides rich qualitative information that </w:t>
      </w:r>
      <w:r w:rsidR="0097128B">
        <w:rPr>
          <w:rFonts w:ascii="Arial" w:hAnsi="Arial" w:cs="Arial"/>
          <w:sz w:val="24"/>
          <w:szCs w:val="24"/>
        </w:rPr>
        <w:t>exceeds the requirements of</w:t>
      </w:r>
      <w:r w:rsidRPr="00E67B48">
        <w:rPr>
          <w:rFonts w:ascii="Arial" w:hAnsi="Arial" w:cs="Arial"/>
          <w:sz w:val="24"/>
          <w:szCs w:val="24"/>
        </w:rPr>
        <w:t xml:space="preserve"> the National Minimum Standards. It enables leaders and practitioners to focus on the quality of interactions—often the most overlooked but critical aspect of early education </w:t>
      </w:r>
      <w:r w:rsidRPr="00864D76">
        <w:rPr>
          <w:rFonts w:ascii="Arial" w:hAnsi="Arial" w:cs="Arial"/>
          <w:sz w:val="24"/>
          <w:szCs w:val="24"/>
        </w:rPr>
        <w:t xml:space="preserve">(Sylva </w:t>
      </w:r>
      <w:r w:rsidRPr="00864D76">
        <w:rPr>
          <w:rFonts w:ascii="Arial" w:hAnsi="Arial" w:cs="Arial"/>
          <w:i/>
          <w:iCs/>
          <w:sz w:val="24"/>
          <w:szCs w:val="24"/>
        </w:rPr>
        <w:t>et al</w:t>
      </w:r>
      <w:r w:rsidRPr="00864D76">
        <w:rPr>
          <w:rFonts w:ascii="Arial" w:hAnsi="Arial" w:cs="Arial"/>
          <w:sz w:val="24"/>
          <w:szCs w:val="24"/>
        </w:rPr>
        <w:t>., 2010).</w:t>
      </w:r>
      <w:r w:rsidRPr="00E67B48">
        <w:rPr>
          <w:rFonts w:ascii="Arial" w:hAnsi="Arial" w:cs="Arial"/>
          <w:sz w:val="24"/>
          <w:szCs w:val="24"/>
        </w:rPr>
        <w:t xml:space="preserve"> When implemented thoughtfully, the SSTEW scale not only identifies areas for pedagogical development but also promotes a culture of reflective practice and shared professional accountability.</w:t>
      </w:r>
      <w:r w:rsidR="00CB6094">
        <w:rPr>
          <w:rFonts w:ascii="Arial" w:hAnsi="Arial" w:cs="Arial"/>
          <w:sz w:val="24"/>
          <w:szCs w:val="24"/>
        </w:rPr>
        <w:t xml:space="preserve"> </w:t>
      </w:r>
    </w:p>
    <w:p w14:paraId="6082B718" w14:textId="77777777" w:rsidR="00CB6094" w:rsidRDefault="00CB6094" w:rsidP="00E67B48">
      <w:pPr>
        <w:spacing w:line="360" w:lineRule="auto"/>
        <w:rPr>
          <w:rFonts w:ascii="Arial" w:hAnsi="Arial" w:cs="Arial"/>
          <w:sz w:val="24"/>
          <w:szCs w:val="24"/>
        </w:rPr>
      </w:pPr>
    </w:p>
    <w:p w14:paraId="41420807" w14:textId="285FA0B4" w:rsidR="008C1B33" w:rsidRPr="00CB6094" w:rsidRDefault="00CB6094" w:rsidP="00E67B48">
      <w:pPr>
        <w:spacing w:line="360" w:lineRule="auto"/>
        <w:rPr>
          <w:rFonts w:ascii="Arial" w:hAnsi="Arial" w:cs="Arial"/>
          <w:sz w:val="24"/>
          <w:szCs w:val="24"/>
          <w:u w:val="single"/>
        </w:rPr>
      </w:pPr>
      <w:r w:rsidRPr="00CB6094">
        <w:rPr>
          <w:rFonts w:ascii="Arial" w:hAnsi="Arial" w:cs="Arial"/>
          <w:sz w:val="24"/>
          <w:szCs w:val="24"/>
          <w:u w:val="single"/>
        </w:rPr>
        <w:t>The Baby Effective Early Learning (BEEL) Programme</w:t>
      </w:r>
    </w:p>
    <w:p w14:paraId="4136CE8C" w14:textId="7A40D97F"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 xml:space="preserve">The Baby Effective Early Learning (BEEL) Programme is a research-based quality assurance and professional development tool </w:t>
      </w:r>
      <w:r w:rsidR="00A60EA3">
        <w:rPr>
          <w:rFonts w:ascii="Arial" w:hAnsi="Arial" w:cs="Arial"/>
          <w:sz w:val="24"/>
          <w:szCs w:val="24"/>
        </w:rPr>
        <w:t>specifically designed to improve</w:t>
      </w:r>
      <w:r w:rsidRPr="00CB6094">
        <w:rPr>
          <w:rFonts w:ascii="Arial" w:hAnsi="Arial" w:cs="Arial"/>
          <w:sz w:val="24"/>
          <w:szCs w:val="24"/>
        </w:rPr>
        <w:t xml:space="preserve"> outcomes in settings that care for babies and toddlers. </w:t>
      </w:r>
      <w:r w:rsidR="005968C4">
        <w:rPr>
          <w:rFonts w:ascii="Arial" w:hAnsi="Arial" w:cs="Arial"/>
          <w:sz w:val="24"/>
          <w:szCs w:val="24"/>
        </w:rPr>
        <w:t>D</w:t>
      </w:r>
      <w:r w:rsidR="005968C4" w:rsidRPr="005968C4">
        <w:rPr>
          <w:rFonts w:ascii="Arial" w:hAnsi="Arial" w:cs="Arial"/>
          <w:sz w:val="24"/>
          <w:szCs w:val="24"/>
        </w:rPr>
        <w:t>eveloped by Tony Bertram and Christine Pascal</w:t>
      </w:r>
      <w:r w:rsidR="0040008E">
        <w:rPr>
          <w:rFonts w:ascii="Arial" w:hAnsi="Arial" w:cs="Arial"/>
          <w:sz w:val="24"/>
          <w:szCs w:val="24"/>
        </w:rPr>
        <w:t xml:space="preserve"> (2006)</w:t>
      </w:r>
      <w:r w:rsidR="005968C4" w:rsidRPr="005968C4">
        <w:rPr>
          <w:rFonts w:ascii="Arial" w:hAnsi="Arial" w:cs="Arial"/>
          <w:sz w:val="24"/>
          <w:szCs w:val="24"/>
        </w:rPr>
        <w:t xml:space="preserve">, the Baby Effective Early Learning (BEEL) Programme </w:t>
      </w:r>
      <w:r w:rsidR="005968C4" w:rsidRPr="005968C4">
        <w:rPr>
          <w:rFonts w:ascii="Arial" w:hAnsi="Arial" w:cs="Arial"/>
          <w:sz w:val="24"/>
          <w:szCs w:val="24"/>
        </w:rPr>
        <w:lastRenderedPageBreak/>
        <w:t>is used in some UK settings to support reflection and improvement in birth-to-three provision</w:t>
      </w:r>
      <w:r w:rsidR="0040008E" w:rsidRPr="0040008E">
        <w:rPr>
          <w:rFonts w:ascii="Arial" w:hAnsi="Arial" w:cs="Arial"/>
          <w:sz w:val="24"/>
          <w:szCs w:val="24"/>
        </w:rPr>
        <w:t>.</w:t>
      </w:r>
      <w:r w:rsidR="0040008E">
        <w:rPr>
          <w:rFonts w:ascii="Arial" w:hAnsi="Arial" w:cs="Arial"/>
          <w:sz w:val="24"/>
          <w:szCs w:val="24"/>
        </w:rPr>
        <w:t xml:space="preserve"> </w:t>
      </w:r>
      <w:r w:rsidRPr="00CB6094">
        <w:rPr>
          <w:rFonts w:ascii="Arial" w:hAnsi="Arial" w:cs="Arial"/>
          <w:sz w:val="24"/>
          <w:szCs w:val="24"/>
        </w:rPr>
        <w:t>It builds on the foundations of the Effective Early Learning (EEL) programme</w:t>
      </w:r>
      <w:r w:rsidR="00C07326">
        <w:rPr>
          <w:rFonts w:ascii="Arial" w:hAnsi="Arial" w:cs="Arial"/>
          <w:sz w:val="24"/>
          <w:szCs w:val="24"/>
        </w:rPr>
        <w:t xml:space="preserve">, </w:t>
      </w:r>
      <w:r w:rsidR="00BD0258">
        <w:rPr>
          <w:rFonts w:ascii="Arial" w:hAnsi="Arial" w:cs="Arial"/>
          <w:sz w:val="24"/>
          <w:szCs w:val="24"/>
        </w:rPr>
        <w:t>with a particular focus on emotional well-being, interactions, and engagement within birth-to-three provision—areas that are not always thoroughly covered</w:t>
      </w:r>
      <w:r w:rsidRPr="00CB6094">
        <w:rPr>
          <w:rFonts w:ascii="Arial" w:hAnsi="Arial" w:cs="Arial"/>
          <w:sz w:val="24"/>
          <w:szCs w:val="24"/>
        </w:rPr>
        <w:t xml:space="preserve"> by broader environmental rating scales.</w:t>
      </w:r>
    </w:p>
    <w:p w14:paraId="6E9EBAE1" w14:textId="53783923"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One of the key strengths of the BEEL programme is its structured approach to observation. Practitioners are encouraged to reflect on real-time interactions using detailed observation tools that consider elements such as adult responsiveness, communication styles, and the child’s level of engagement. Unlike checklists or scoring-based scales, BEEL supports narrative-style, qualitative observations that can capture the nuances of relational pedagogy (Bertram</w:t>
      </w:r>
      <w:r w:rsidR="003B5134" w:rsidRPr="00B33B4C">
        <w:rPr>
          <w:rFonts w:ascii="Arial" w:hAnsi="Arial" w:cs="Arial"/>
          <w:sz w:val="24"/>
          <w:szCs w:val="24"/>
        </w:rPr>
        <w:t xml:space="preserve"> and Pascal</w:t>
      </w:r>
      <w:r w:rsidRPr="00CB6094">
        <w:rPr>
          <w:rFonts w:ascii="Arial" w:hAnsi="Arial" w:cs="Arial"/>
          <w:sz w:val="24"/>
          <w:szCs w:val="24"/>
        </w:rPr>
        <w:t>, 20</w:t>
      </w:r>
      <w:r w:rsidR="00B33B4C" w:rsidRPr="00B33B4C">
        <w:rPr>
          <w:rFonts w:ascii="Arial" w:hAnsi="Arial" w:cs="Arial"/>
          <w:sz w:val="24"/>
          <w:szCs w:val="24"/>
        </w:rPr>
        <w:t>06</w:t>
      </w:r>
      <w:r w:rsidRPr="00CB6094">
        <w:rPr>
          <w:rFonts w:ascii="Arial" w:hAnsi="Arial" w:cs="Arial"/>
          <w:sz w:val="24"/>
          <w:szCs w:val="24"/>
        </w:rPr>
        <w:t>). This makes it especially valuable in supporting staff development, as it creates opportunities for discussion, peer mentoring, and team-wide reflection on the emotional and cognitive needs of very young children.</w:t>
      </w:r>
    </w:p>
    <w:p w14:paraId="5A744AC3" w14:textId="77777777"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BEEL also aligns closely with the Well-being of Future Generations (Wales) Act 2015, as it encourages practitioners to focus not only on immediate outcomes but on the long-term development of children’s emotional resilience and learning dispositions. By prioritising well-being, emotional security, and individualised care routines, BEEL helps settings exceed the National Minimum Standards (Welsh Government, 2023), which often focus more narrowly on ratios, safety, and basic care requirements.</w:t>
      </w:r>
    </w:p>
    <w:p w14:paraId="3A6512F3" w14:textId="77777777"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However, the BEEL programme is not without its limitations. Its qualitative and interpretive nature means it relies heavily on practitioners' confidence, experience, and ability to engage in reflective dialogue. Without sufficient training or time allocated for professional development, the effectiveness of BEEL can be diminished. Additionally, while it is rich in detail, BEEL does not provide standardised data that can be easily benchmarked across settings. This could pose a challenge for settings required to provide quantifiable evidence of progress or impact, particularly during inspections or external evaluations.</w:t>
      </w:r>
    </w:p>
    <w:p w14:paraId="5294D4A2" w14:textId="0D348B21"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 xml:space="preserve">Compared to tools like SSTEW, BEEL places more emphasis on the youngest age group and promotes a holistic, less prescriptive approach. Where SSTEW offers structured scoring and </w:t>
      </w:r>
      <w:r w:rsidR="00C07326">
        <w:rPr>
          <w:rFonts w:ascii="Arial" w:hAnsi="Arial" w:cs="Arial"/>
          <w:sz w:val="24"/>
          <w:szCs w:val="24"/>
        </w:rPr>
        <w:t>more precise</w:t>
      </w:r>
      <w:r w:rsidRPr="00CB6094">
        <w:rPr>
          <w:rFonts w:ascii="Arial" w:hAnsi="Arial" w:cs="Arial"/>
          <w:sz w:val="24"/>
          <w:szCs w:val="24"/>
        </w:rPr>
        <w:t xml:space="preserve"> benchmarks, BEEL provides a more flexible, </w:t>
      </w:r>
      <w:r w:rsidRPr="00CB6094">
        <w:rPr>
          <w:rFonts w:ascii="Arial" w:hAnsi="Arial" w:cs="Arial"/>
          <w:sz w:val="24"/>
          <w:szCs w:val="24"/>
        </w:rPr>
        <w:lastRenderedPageBreak/>
        <w:t>context-driven model. This allows for deeper insight into emotional well-being but may lack the consistency or comparability of more formalised tools.</w:t>
      </w:r>
    </w:p>
    <w:p w14:paraId="32AE3B52" w14:textId="77777777"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Nonetheless, the collaborative process encouraged by BEEL fosters a culture of professional dialogue and shared responsibility for quality improvement. This supports distributed leadership practices and builds capacity within teams to adapt to children’s evolving needs. In turn, it promotes an environment where care and education are integrated rather than compartmentalised—a key aim of the Curriculum for Wales (2022) and the United Nations Convention on the Rights of the Child (UNCRC, 1989).</w:t>
      </w:r>
    </w:p>
    <w:p w14:paraId="612684EA" w14:textId="6AFE3A46" w:rsidR="00CB6094" w:rsidRPr="00CB6094" w:rsidRDefault="00CB6094" w:rsidP="00CB6094">
      <w:pPr>
        <w:spacing w:line="360" w:lineRule="auto"/>
        <w:rPr>
          <w:rFonts w:ascii="Arial" w:hAnsi="Arial" w:cs="Arial"/>
          <w:sz w:val="24"/>
          <w:szCs w:val="24"/>
        </w:rPr>
      </w:pPr>
      <w:r w:rsidRPr="00CB6094">
        <w:rPr>
          <w:rFonts w:ascii="Arial" w:hAnsi="Arial" w:cs="Arial"/>
          <w:sz w:val="24"/>
          <w:szCs w:val="24"/>
        </w:rPr>
        <w:t xml:space="preserve">In summary, the BEEL programme is a </w:t>
      </w:r>
      <w:r w:rsidR="00C07326">
        <w:rPr>
          <w:rFonts w:ascii="Arial" w:hAnsi="Arial" w:cs="Arial"/>
          <w:sz w:val="24"/>
          <w:szCs w:val="24"/>
        </w:rPr>
        <w:t>robust</w:t>
      </w:r>
      <w:r w:rsidRPr="00CB6094">
        <w:rPr>
          <w:rFonts w:ascii="Arial" w:hAnsi="Arial" w:cs="Arial"/>
          <w:sz w:val="24"/>
          <w:szCs w:val="24"/>
        </w:rPr>
        <w:t xml:space="preserve"> quality assurance and development tool for early years settings working with babies and toddlers. Its focus on relational pedagogy, reflection, and well-being makes it particularly effective at highlighting areas for development that go beyond statutory expectations. While it may lack the standardisation of other tools, its depth, flexibility, and emphasis on long-term impact make it a valuable complement to other quality assurance strategies.</w:t>
      </w:r>
    </w:p>
    <w:p w14:paraId="27987D7F" w14:textId="77777777" w:rsidR="00320851" w:rsidRDefault="00320851" w:rsidP="00E67B48">
      <w:pPr>
        <w:spacing w:line="360" w:lineRule="auto"/>
        <w:rPr>
          <w:rFonts w:ascii="Arial" w:hAnsi="Arial" w:cs="Arial"/>
          <w:sz w:val="24"/>
          <w:szCs w:val="24"/>
          <w:u w:val="single"/>
        </w:rPr>
      </w:pPr>
    </w:p>
    <w:p w14:paraId="74965110" w14:textId="5C7C4CBB" w:rsidR="008C1B33" w:rsidRDefault="00320851" w:rsidP="00E67B48">
      <w:pPr>
        <w:spacing w:line="360" w:lineRule="auto"/>
        <w:rPr>
          <w:rFonts w:ascii="Arial" w:hAnsi="Arial" w:cs="Arial"/>
          <w:sz w:val="24"/>
          <w:szCs w:val="24"/>
          <w:u w:val="single"/>
        </w:rPr>
      </w:pPr>
      <w:r>
        <w:rPr>
          <w:rFonts w:ascii="Arial" w:hAnsi="Arial" w:cs="Arial"/>
          <w:sz w:val="24"/>
          <w:szCs w:val="24"/>
          <w:u w:val="single"/>
        </w:rPr>
        <w:t>Comparison and Synthesis</w:t>
      </w:r>
    </w:p>
    <w:p w14:paraId="5C0FFAA7" w14:textId="10310585" w:rsidR="00320851" w:rsidRPr="00320851" w:rsidRDefault="00320851" w:rsidP="00320851">
      <w:pPr>
        <w:spacing w:line="360" w:lineRule="auto"/>
        <w:rPr>
          <w:rFonts w:ascii="Arial" w:hAnsi="Arial" w:cs="Arial"/>
          <w:sz w:val="24"/>
          <w:szCs w:val="24"/>
        </w:rPr>
      </w:pPr>
      <w:r w:rsidRPr="00320851">
        <w:rPr>
          <w:rFonts w:ascii="Arial" w:hAnsi="Arial" w:cs="Arial"/>
          <w:sz w:val="24"/>
          <w:szCs w:val="24"/>
        </w:rPr>
        <w:t>When comparing the SSTEW Scale and the BEEL Programme, it becomes evident that while both tools aim to raise the quality of provision beyond statutory requirements, they do so through different lenses. SSTEW provides a structured, score-based framework that supports adult-child interactions through sustained shared thinking, language development, and critical reflection. In contrast, BEEL favours a narrative</w:t>
      </w:r>
      <w:r w:rsidR="00134913">
        <w:rPr>
          <w:rFonts w:ascii="Arial" w:hAnsi="Arial" w:cs="Arial"/>
          <w:sz w:val="24"/>
          <w:szCs w:val="24"/>
        </w:rPr>
        <w:t xml:space="preserve"> and observational approach,</w:t>
      </w:r>
      <w:r w:rsidRPr="00320851">
        <w:rPr>
          <w:rFonts w:ascii="Arial" w:hAnsi="Arial" w:cs="Arial"/>
          <w:sz w:val="24"/>
          <w:szCs w:val="24"/>
        </w:rPr>
        <w:t xml:space="preserve"> with an emphasis on emotional well-being, relational pedagogy, and reflective practice with children under the age of three.</w:t>
      </w:r>
    </w:p>
    <w:p w14:paraId="6C0FCC0F" w14:textId="37F8C269" w:rsidR="00320851" w:rsidRPr="00320851" w:rsidRDefault="00320851" w:rsidP="00320851">
      <w:pPr>
        <w:spacing w:line="360" w:lineRule="auto"/>
        <w:rPr>
          <w:rFonts w:ascii="Arial" w:hAnsi="Arial" w:cs="Arial"/>
          <w:sz w:val="24"/>
          <w:szCs w:val="24"/>
        </w:rPr>
      </w:pPr>
      <w:r w:rsidRPr="00320851">
        <w:rPr>
          <w:rFonts w:ascii="Arial" w:hAnsi="Arial" w:cs="Arial"/>
          <w:sz w:val="24"/>
          <w:szCs w:val="24"/>
        </w:rPr>
        <w:t xml:space="preserve">A significant advantage of SSTEW is its clarity and measurability. The scale </w:t>
      </w:r>
      <w:r w:rsidR="00BD22E0">
        <w:rPr>
          <w:rFonts w:ascii="Arial" w:hAnsi="Arial" w:cs="Arial"/>
          <w:sz w:val="24"/>
          <w:szCs w:val="24"/>
        </w:rPr>
        <w:t xml:space="preserve">provides practitioners and leaders with a means to benchmark their </w:t>
      </w:r>
      <w:r w:rsidRPr="00320851">
        <w:rPr>
          <w:rFonts w:ascii="Arial" w:hAnsi="Arial" w:cs="Arial"/>
          <w:sz w:val="24"/>
          <w:szCs w:val="24"/>
        </w:rPr>
        <w:t xml:space="preserve">practice and track progress over time, which is particularly useful for external validation or internal audits. Its focus on cognitive development and critical thinking also supports the aims of the Curriculum for Wales (2022), particularly in nurturing confident, capable learners through rich dialogue and inquiry-based learning. However, this structure </w:t>
      </w:r>
      <w:r w:rsidRPr="00320851">
        <w:rPr>
          <w:rFonts w:ascii="Arial" w:hAnsi="Arial" w:cs="Arial"/>
          <w:sz w:val="24"/>
          <w:szCs w:val="24"/>
        </w:rPr>
        <w:lastRenderedPageBreak/>
        <w:t xml:space="preserve">can sometimes reduce the complexity of interactions into scores, risking an overly simplified interpretation of quality (Mathers </w:t>
      </w:r>
      <w:r w:rsidRPr="00320851">
        <w:rPr>
          <w:rFonts w:ascii="Arial" w:hAnsi="Arial" w:cs="Arial"/>
          <w:i/>
          <w:iCs/>
          <w:sz w:val="24"/>
          <w:szCs w:val="24"/>
        </w:rPr>
        <w:t>et al</w:t>
      </w:r>
      <w:r w:rsidRPr="00320851">
        <w:rPr>
          <w:rFonts w:ascii="Arial" w:hAnsi="Arial" w:cs="Arial"/>
          <w:sz w:val="24"/>
          <w:szCs w:val="24"/>
        </w:rPr>
        <w:t>., 2012).</w:t>
      </w:r>
    </w:p>
    <w:p w14:paraId="351441CD" w14:textId="5385979D" w:rsidR="00320851" w:rsidRPr="00320851" w:rsidRDefault="00320851" w:rsidP="00320851">
      <w:pPr>
        <w:spacing w:line="360" w:lineRule="auto"/>
        <w:rPr>
          <w:rFonts w:ascii="Arial" w:hAnsi="Arial" w:cs="Arial"/>
          <w:sz w:val="24"/>
          <w:szCs w:val="24"/>
        </w:rPr>
      </w:pPr>
      <w:r w:rsidRPr="00320851">
        <w:rPr>
          <w:rFonts w:ascii="Arial" w:hAnsi="Arial" w:cs="Arial"/>
          <w:sz w:val="24"/>
          <w:szCs w:val="24"/>
        </w:rPr>
        <w:t xml:space="preserve">In contrast, BEEL’s flexible and qualitative nature allows for </w:t>
      </w:r>
      <w:r w:rsidR="00BD22E0">
        <w:rPr>
          <w:rFonts w:ascii="Arial" w:hAnsi="Arial" w:cs="Arial"/>
          <w:sz w:val="24"/>
          <w:szCs w:val="24"/>
        </w:rPr>
        <w:t xml:space="preserve">a deeper insight into the emotional climate of the setting, an area that is </w:t>
      </w:r>
      <w:r w:rsidRPr="00320851">
        <w:rPr>
          <w:rFonts w:ascii="Arial" w:hAnsi="Arial" w:cs="Arial"/>
          <w:sz w:val="24"/>
          <w:szCs w:val="24"/>
        </w:rPr>
        <w:t>not always captured by numeric scales. It supports a more holistic view of quality—one that incorporates affective and relational components vital to the well-being of the youngest children. Yet this strength can also be its limitation, as the tool’s interpretive nature may result in inconsistent findings and pose challenges when used to demonstrate outcomes in a measurable format.</w:t>
      </w:r>
    </w:p>
    <w:p w14:paraId="652D341B" w14:textId="5780E2A2" w:rsidR="00320851" w:rsidRPr="00320851" w:rsidRDefault="00320851" w:rsidP="00320851">
      <w:pPr>
        <w:spacing w:line="360" w:lineRule="auto"/>
        <w:rPr>
          <w:rFonts w:ascii="Arial" w:hAnsi="Arial" w:cs="Arial"/>
          <w:sz w:val="24"/>
          <w:szCs w:val="24"/>
        </w:rPr>
      </w:pPr>
      <w:r w:rsidRPr="00320851">
        <w:rPr>
          <w:rFonts w:ascii="Arial" w:hAnsi="Arial" w:cs="Arial"/>
          <w:sz w:val="24"/>
          <w:szCs w:val="24"/>
        </w:rPr>
        <w:t xml:space="preserve">From a leadership perspective, SSTEW aligns well with performance management structures such as appraisals and CPD planning, offering a tangible foundation for setting improvement goals. Meanwhile, BEEL promotes a distributed leadership model </w:t>
      </w:r>
      <w:r w:rsidR="00134913">
        <w:rPr>
          <w:rFonts w:ascii="Arial" w:hAnsi="Arial" w:cs="Arial"/>
          <w:sz w:val="24"/>
          <w:szCs w:val="24"/>
        </w:rPr>
        <w:t>in which staff collaborate and reflect collectively, thereby</w:t>
      </w:r>
      <w:r w:rsidRPr="00320851">
        <w:rPr>
          <w:rFonts w:ascii="Arial" w:hAnsi="Arial" w:cs="Arial"/>
          <w:sz w:val="24"/>
          <w:szCs w:val="24"/>
        </w:rPr>
        <w:t xml:space="preserve"> embedding quality assurance into everyday routines. This supports professional growth and strengthens team cohesion but may be more difficult to integrate within a rigid accountability framework.</w:t>
      </w:r>
    </w:p>
    <w:p w14:paraId="1234D976" w14:textId="3B2A2A89" w:rsidR="00320851" w:rsidRPr="00320851" w:rsidRDefault="00320851" w:rsidP="00320851">
      <w:pPr>
        <w:spacing w:line="360" w:lineRule="auto"/>
        <w:rPr>
          <w:rFonts w:ascii="Arial" w:hAnsi="Arial" w:cs="Arial"/>
          <w:sz w:val="24"/>
          <w:szCs w:val="24"/>
        </w:rPr>
      </w:pPr>
      <w:r w:rsidRPr="00320851">
        <w:rPr>
          <w:rFonts w:ascii="Arial" w:hAnsi="Arial" w:cs="Arial"/>
          <w:sz w:val="24"/>
          <w:szCs w:val="24"/>
        </w:rPr>
        <w:t xml:space="preserve">Ultimately, the two tools complement each other. SSTEW’s structured scoring </w:t>
      </w:r>
      <w:r w:rsidR="0043074F">
        <w:rPr>
          <w:rFonts w:ascii="Arial" w:hAnsi="Arial" w:cs="Arial"/>
          <w:sz w:val="24"/>
          <w:szCs w:val="24"/>
        </w:rPr>
        <w:t xml:space="preserve">enables consistent benchmarking and targeted improvement, while BEEL enhances the understanding of the </w:t>
      </w:r>
      <w:r w:rsidRPr="00320851">
        <w:rPr>
          <w:rFonts w:ascii="Arial" w:hAnsi="Arial" w:cs="Arial"/>
          <w:sz w:val="24"/>
          <w:szCs w:val="24"/>
        </w:rPr>
        <w:t xml:space="preserve">emotional and relational dimensions of care. Using both tools in tandem </w:t>
      </w:r>
      <w:r w:rsidR="0043074F">
        <w:rPr>
          <w:rFonts w:ascii="Arial" w:hAnsi="Arial" w:cs="Arial"/>
          <w:sz w:val="24"/>
          <w:szCs w:val="24"/>
        </w:rPr>
        <w:t xml:space="preserve">can offer a more comprehensive approach to quality assurance </w:t>
      </w:r>
      <w:r w:rsidR="00046C59">
        <w:rPr>
          <w:rFonts w:ascii="Arial" w:hAnsi="Arial" w:cs="Arial"/>
          <w:sz w:val="24"/>
          <w:szCs w:val="24"/>
        </w:rPr>
        <w:t>in which</w:t>
      </w:r>
      <w:r w:rsidRPr="00320851">
        <w:rPr>
          <w:rFonts w:ascii="Arial" w:hAnsi="Arial" w:cs="Arial"/>
          <w:sz w:val="24"/>
          <w:szCs w:val="24"/>
        </w:rPr>
        <w:t xml:space="preserve"> the measurable and the meaningful coexist. Such a dual strategy reflects best practice in early years, as recognised by </w:t>
      </w:r>
      <w:r w:rsidR="00305541">
        <w:rPr>
          <w:rFonts w:ascii="Arial" w:hAnsi="Arial" w:cs="Arial"/>
          <w:sz w:val="24"/>
          <w:szCs w:val="24"/>
        </w:rPr>
        <w:t>the literature, which emphasises the need for both quantitative and qualitative data to inform reflective pedagogy (Urban, Robson,</w:t>
      </w:r>
      <w:r w:rsidR="008A7616" w:rsidRPr="0099207C">
        <w:rPr>
          <w:rFonts w:ascii="Arial" w:hAnsi="Arial" w:cs="Arial"/>
          <w:sz w:val="24"/>
          <w:szCs w:val="24"/>
        </w:rPr>
        <w:t xml:space="preserve"> and Scacchi, 2012</w:t>
      </w:r>
      <w:r w:rsidRPr="00320851">
        <w:rPr>
          <w:rFonts w:ascii="Arial" w:hAnsi="Arial" w:cs="Arial"/>
          <w:sz w:val="24"/>
          <w:szCs w:val="24"/>
        </w:rPr>
        <w:t>).</w:t>
      </w:r>
    </w:p>
    <w:p w14:paraId="10873BB1" w14:textId="77777777" w:rsidR="00320851" w:rsidRPr="00320851" w:rsidRDefault="00320851" w:rsidP="00320851">
      <w:pPr>
        <w:spacing w:line="360" w:lineRule="auto"/>
        <w:rPr>
          <w:rFonts w:ascii="Arial" w:hAnsi="Arial" w:cs="Arial"/>
          <w:sz w:val="24"/>
          <w:szCs w:val="24"/>
        </w:rPr>
      </w:pPr>
      <w:r w:rsidRPr="00320851">
        <w:rPr>
          <w:rFonts w:ascii="Arial" w:hAnsi="Arial" w:cs="Arial"/>
          <w:sz w:val="24"/>
          <w:szCs w:val="24"/>
        </w:rPr>
        <w:t>Therefore, while each tool has its own strengths and limitations, both contribute meaningfully to the pursuit of excellence in early years provision. By critically reflecting on and combining these tools, settings can move beyond compliance and create truly enriching environments where all children can thrive.</w:t>
      </w:r>
    </w:p>
    <w:p w14:paraId="19584B6F" w14:textId="77777777" w:rsidR="00825064" w:rsidRDefault="00825064" w:rsidP="00E67B48">
      <w:pPr>
        <w:spacing w:line="360" w:lineRule="auto"/>
        <w:rPr>
          <w:rFonts w:ascii="Arial" w:hAnsi="Arial" w:cs="Arial"/>
          <w:sz w:val="24"/>
          <w:szCs w:val="24"/>
        </w:rPr>
      </w:pPr>
    </w:p>
    <w:p w14:paraId="5C39F617" w14:textId="77777777" w:rsidR="00825064" w:rsidRDefault="00825064" w:rsidP="00E67B48">
      <w:pPr>
        <w:spacing w:line="360" w:lineRule="auto"/>
        <w:rPr>
          <w:rFonts w:ascii="Arial" w:hAnsi="Arial" w:cs="Arial"/>
          <w:sz w:val="24"/>
          <w:szCs w:val="24"/>
        </w:rPr>
      </w:pPr>
    </w:p>
    <w:p w14:paraId="19739152" w14:textId="77777777" w:rsidR="00825064" w:rsidRDefault="00825064" w:rsidP="00E67B48">
      <w:pPr>
        <w:spacing w:line="360" w:lineRule="auto"/>
        <w:rPr>
          <w:rFonts w:ascii="Arial" w:hAnsi="Arial" w:cs="Arial"/>
          <w:sz w:val="24"/>
          <w:szCs w:val="24"/>
        </w:rPr>
      </w:pPr>
    </w:p>
    <w:p w14:paraId="5DDC036D" w14:textId="4F4EB3E6" w:rsidR="00320851" w:rsidRPr="00825064" w:rsidRDefault="00825064" w:rsidP="00E67B48">
      <w:pPr>
        <w:spacing w:line="360" w:lineRule="auto"/>
        <w:rPr>
          <w:rFonts w:ascii="Arial" w:hAnsi="Arial" w:cs="Arial"/>
          <w:sz w:val="24"/>
          <w:szCs w:val="24"/>
          <w:u w:val="single"/>
        </w:rPr>
      </w:pPr>
      <w:r w:rsidRPr="00825064">
        <w:rPr>
          <w:rFonts w:ascii="Arial" w:hAnsi="Arial" w:cs="Arial"/>
          <w:sz w:val="24"/>
          <w:szCs w:val="24"/>
          <w:u w:val="single"/>
        </w:rPr>
        <w:lastRenderedPageBreak/>
        <w:t>Conclusion</w:t>
      </w:r>
    </w:p>
    <w:p w14:paraId="4F42694A" w14:textId="77777777" w:rsidR="00825064" w:rsidRPr="00825064" w:rsidRDefault="00825064" w:rsidP="00825064">
      <w:pPr>
        <w:spacing w:line="360" w:lineRule="auto"/>
        <w:rPr>
          <w:rFonts w:ascii="Arial" w:hAnsi="Arial" w:cs="Arial"/>
          <w:sz w:val="24"/>
          <w:szCs w:val="24"/>
        </w:rPr>
      </w:pPr>
      <w:r w:rsidRPr="00825064">
        <w:rPr>
          <w:rFonts w:ascii="Arial" w:hAnsi="Arial" w:cs="Arial"/>
          <w:sz w:val="24"/>
          <w:szCs w:val="24"/>
        </w:rPr>
        <w:t>High-quality early years provision is widely recognised as a key determinant of positive developmental outcomes for children, particularly when it is driven by reflective practice, strong leadership, and a commitment to exceeding statutory expectations. This paper has explored the value of two contrasting quality assurance tools—the SSTEW Scale and the BEEL Programme—both of which support continuous professional development and enhanced child outcomes.</w:t>
      </w:r>
    </w:p>
    <w:p w14:paraId="41CE1E57" w14:textId="5A7C7098" w:rsidR="00825064" w:rsidRPr="00825064" w:rsidRDefault="00825064" w:rsidP="00825064">
      <w:pPr>
        <w:spacing w:line="360" w:lineRule="auto"/>
        <w:rPr>
          <w:rFonts w:ascii="Arial" w:hAnsi="Arial" w:cs="Arial"/>
          <w:sz w:val="24"/>
          <w:szCs w:val="24"/>
        </w:rPr>
      </w:pPr>
      <w:r w:rsidRPr="00825064">
        <w:rPr>
          <w:rFonts w:ascii="Arial" w:hAnsi="Arial" w:cs="Arial"/>
          <w:sz w:val="24"/>
          <w:szCs w:val="24"/>
        </w:rPr>
        <w:t xml:space="preserve">Through the use of SSTEW, practitioners are empowered to </w:t>
      </w:r>
      <w:r w:rsidR="00C527AB">
        <w:rPr>
          <w:rFonts w:ascii="Arial" w:hAnsi="Arial" w:cs="Arial"/>
          <w:sz w:val="24"/>
          <w:szCs w:val="24"/>
        </w:rPr>
        <w:t>critically examine their interactions with children, utilising structured benchmarks to support professional growth and align with national priorities, such as</w:t>
      </w:r>
      <w:r w:rsidRPr="00825064">
        <w:rPr>
          <w:rFonts w:ascii="Arial" w:hAnsi="Arial" w:cs="Arial"/>
          <w:sz w:val="24"/>
          <w:szCs w:val="24"/>
        </w:rPr>
        <w:t xml:space="preserve"> the Curriculum for Wales (2022). Meanwhile, the BEEL Programme offers a </w:t>
      </w:r>
      <w:r w:rsidR="00C527AB">
        <w:rPr>
          <w:rFonts w:ascii="Arial" w:hAnsi="Arial" w:cs="Arial"/>
          <w:sz w:val="24"/>
          <w:szCs w:val="24"/>
        </w:rPr>
        <w:t>more profound</w:t>
      </w:r>
      <w:r w:rsidRPr="00825064">
        <w:rPr>
          <w:rFonts w:ascii="Arial" w:hAnsi="Arial" w:cs="Arial"/>
          <w:sz w:val="24"/>
          <w:szCs w:val="24"/>
        </w:rPr>
        <w:t>, narrative-based insight into the emotional and relational dimensions of care, making it a particularly suitable method for birth-to-three settings that require a more flexible, personalised approach.</w:t>
      </w:r>
    </w:p>
    <w:p w14:paraId="1B6EBD02" w14:textId="77777777" w:rsidR="00825064" w:rsidRPr="00825064" w:rsidRDefault="00825064" w:rsidP="00825064">
      <w:pPr>
        <w:spacing w:line="360" w:lineRule="auto"/>
        <w:rPr>
          <w:rFonts w:ascii="Arial" w:hAnsi="Arial" w:cs="Arial"/>
          <w:sz w:val="24"/>
          <w:szCs w:val="24"/>
        </w:rPr>
      </w:pPr>
      <w:r w:rsidRPr="00825064">
        <w:rPr>
          <w:rFonts w:ascii="Arial" w:hAnsi="Arial" w:cs="Arial"/>
          <w:sz w:val="24"/>
          <w:szCs w:val="24"/>
        </w:rPr>
        <w:t>While both tools have limitations—whether due to subjectivity, training requirements, or measurement inconsistencies—they each offer unique contributions to a setting’s journey of improvement. SSTEW provides measurable indicators that support structured improvement plans and leadership accountability, while BEEL fosters collaborative dialogue and holistic understanding. Together, they reflect the balance of rigour and reflection that underpins truly effective early years practice.</w:t>
      </w:r>
    </w:p>
    <w:p w14:paraId="0255C18F" w14:textId="7359D6FF" w:rsidR="00825064" w:rsidRPr="00825064" w:rsidRDefault="00825064" w:rsidP="00825064">
      <w:pPr>
        <w:spacing w:line="360" w:lineRule="auto"/>
        <w:rPr>
          <w:rFonts w:ascii="Arial" w:hAnsi="Arial" w:cs="Arial"/>
          <w:sz w:val="24"/>
          <w:szCs w:val="24"/>
        </w:rPr>
      </w:pPr>
      <w:r w:rsidRPr="00825064">
        <w:rPr>
          <w:rFonts w:ascii="Arial" w:hAnsi="Arial" w:cs="Arial"/>
          <w:sz w:val="24"/>
          <w:szCs w:val="24"/>
        </w:rPr>
        <w:t xml:space="preserve">Ultimately, by </w:t>
      </w:r>
      <w:r w:rsidR="008316BB">
        <w:rPr>
          <w:rFonts w:ascii="Arial" w:hAnsi="Arial" w:cs="Arial"/>
          <w:sz w:val="24"/>
          <w:szCs w:val="24"/>
        </w:rPr>
        <w:t>utilising quality assurance tools that exceed the National Minimum Standards, practitioners demonstrate a commitment to delivering meaningful, child-centred</w:t>
      </w:r>
      <w:r w:rsidRPr="00825064">
        <w:rPr>
          <w:rFonts w:ascii="Arial" w:hAnsi="Arial" w:cs="Arial"/>
          <w:sz w:val="24"/>
          <w:szCs w:val="24"/>
        </w:rPr>
        <w:t xml:space="preserve"> experiences. Embedding tools like SSTEW and BEEL within daily practice not only supports staff development and leadership but also ensures that children’s rights, well-being, and potential remain at the heart of the provision.</w:t>
      </w:r>
    </w:p>
    <w:p w14:paraId="1A89035E" w14:textId="77777777" w:rsidR="00A50854" w:rsidRPr="00E67B48" w:rsidRDefault="00A50854" w:rsidP="00E67B48">
      <w:pPr>
        <w:spacing w:line="360" w:lineRule="auto"/>
        <w:rPr>
          <w:rFonts w:ascii="Arial" w:hAnsi="Arial" w:cs="Arial"/>
          <w:sz w:val="24"/>
          <w:szCs w:val="24"/>
        </w:rPr>
      </w:pPr>
    </w:p>
    <w:p w14:paraId="7D422EBA" w14:textId="38A46F53" w:rsidR="003848A0" w:rsidRDefault="003848A0" w:rsidP="00E67B48">
      <w:pPr>
        <w:jc w:val="center"/>
      </w:pPr>
    </w:p>
    <w:p w14:paraId="47914949" w14:textId="77777777" w:rsidR="00100C64" w:rsidRDefault="00100C64" w:rsidP="00E67B48">
      <w:pPr>
        <w:jc w:val="center"/>
      </w:pPr>
    </w:p>
    <w:p w14:paraId="649E5A82" w14:textId="77777777" w:rsidR="00100C64" w:rsidRDefault="00100C64" w:rsidP="00E67B48">
      <w:pPr>
        <w:jc w:val="center"/>
      </w:pPr>
    </w:p>
    <w:p w14:paraId="52ED94EE" w14:textId="77777777" w:rsidR="00100C64" w:rsidRDefault="00100C64" w:rsidP="00E67B48">
      <w:pPr>
        <w:jc w:val="center"/>
      </w:pPr>
    </w:p>
    <w:p w14:paraId="20ACE629" w14:textId="77777777" w:rsidR="00100C64" w:rsidRDefault="00100C64" w:rsidP="00E67B48">
      <w:pPr>
        <w:jc w:val="center"/>
      </w:pPr>
    </w:p>
    <w:p w14:paraId="2771FB14" w14:textId="77777777" w:rsidR="00100C64" w:rsidRDefault="00100C64" w:rsidP="00E67B48">
      <w:pPr>
        <w:jc w:val="center"/>
      </w:pPr>
    </w:p>
    <w:p w14:paraId="2AE4A75E" w14:textId="743CE4EC" w:rsidR="00100C64" w:rsidRDefault="00100C64" w:rsidP="00100C64">
      <w:pPr>
        <w:spacing w:line="360" w:lineRule="auto"/>
        <w:rPr>
          <w:rFonts w:ascii="Arial" w:hAnsi="Arial" w:cs="Arial"/>
          <w:b/>
          <w:bCs/>
          <w:sz w:val="24"/>
          <w:szCs w:val="24"/>
          <w:u w:val="single"/>
        </w:rPr>
      </w:pPr>
      <w:r w:rsidRPr="00100C64">
        <w:rPr>
          <w:rFonts w:ascii="Arial" w:hAnsi="Arial" w:cs="Arial"/>
          <w:b/>
          <w:bCs/>
          <w:sz w:val="24"/>
          <w:szCs w:val="24"/>
          <w:u w:val="single"/>
        </w:rPr>
        <w:lastRenderedPageBreak/>
        <w:t>Reference List</w:t>
      </w:r>
    </w:p>
    <w:p w14:paraId="5235865A" w14:textId="77777777" w:rsidR="00B33B4C" w:rsidRDefault="00B33B4C" w:rsidP="00B33B4C">
      <w:pPr>
        <w:spacing w:line="360" w:lineRule="auto"/>
        <w:rPr>
          <w:rFonts w:ascii="Arial" w:hAnsi="Arial" w:cs="Arial"/>
          <w:sz w:val="24"/>
          <w:szCs w:val="24"/>
        </w:rPr>
      </w:pPr>
      <w:r w:rsidRPr="00864D76">
        <w:rPr>
          <w:rFonts w:ascii="Arial" w:hAnsi="Arial" w:cs="Arial"/>
          <w:sz w:val="24"/>
          <w:szCs w:val="24"/>
        </w:rPr>
        <w:t xml:space="preserve">Bertram, T. and Pascal, C. (2006) </w:t>
      </w:r>
      <w:r w:rsidRPr="00864D76">
        <w:rPr>
          <w:rFonts w:ascii="Arial" w:hAnsi="Arial" w:cs="Arial"/>
          <w:i/>
          <w:iCs/>
          <w:sz w:val="24"/>
          <w:szCs w:val="24"/>
        </w:rPr>
        <w:t>The Baby Effective Early Learning Programme: Improving Quality in Early Childhood Settings for Children from Birth to Three Years.</w:t>
      </w:r>
      <w:r w:rsidRPr="00864D76">
        <w:rPr>
          <w:rFonts w:ascii="Arial" w:hAnsi="Arial" w:cs="Arial"/>
          <w:sz w:val="24"/>
          <w:szCs w:val="24"/>
        </w:rPr>
        <w:t xml:space="preserve"> Birmingham: Amber Publishing.</w:t>
      </w:r>
    </w:p>
    <w:p w14:paraId="17408E59" w14:textId="3D381F7E" w:rsidR="00580C74" w:rsidRDefault="00580C74" w:rsidP="00100C64">
      <w:pPr>
        <w:spacing w:line="360" w:lineRule="auto"/>
        <w:rPr>
          <w:rFonts w:ascii="Arial" w:hAnsi="Arial" w:cs="Arial"/>
          <w:sz w:val="24"/>
          <w:szCs w:val="24"/>
        </w:rPr>
      </w:pPr>
      <w:r w:rsidRPr="00864D76">
        <w:rPr>
          <w:rFonts w:ascii="Arial" w:hAnsi="Arial" w:cs="Arial"/>
          <w:sz w:val="24"/>
          <w:szCs w:val="24"/>
        </w:rPr>
        <w:t xml:space="preserve">Bonetti, S. (2018) </w:t>
      </w:r>
      <w:r w:rsidRPr="00864D76">
        <w:rPr>
          <w:rFonts w:ascii="Arial" w:hAnsi="Arial" w:cs="Arial"/>
          <w:i/>
          <w:iCs/>
          <w:sz w:val="24"/>
          <w:szCs w:val="24"/>
        </w:rPr>
        <w:t>The Early Years Workforce in England: A Comparative Analysis Using the Labour Force Survey.</w:t>
      </w:r>
      <w:r w:rsidRPr="00864D76">
        <w:rPr>
          <w:rFonts w:ascii="Arial" w:hAnsi="Arial" w:cs="Arial"/>
          <w:sz w:val="24"/>
          <w:szCs w:val="24"/>
        </w:rPr>
        <w:t xml:space="preserve"> London: Education Policy Institute. Available at: https://epi.org.uk/publications-and-research/early-years-workforce-england/ (Accessed: 28 March 2025).</w:t>
      </w:r>
    </w:p>
    <w:p w14:paraId="5BF63B83" w14:textId="77777777" w:rsidR="00CC6086" w:rsidRDefault="00100C64" w:rsidP="00100C64">
      <w:pPr>
        <w:spacing w:line="360" w:lineRule="auto"/>
      </w:pPr>
      <w:r w:rsidRPr="00100C64">
        <w:rPr>
          <w:rFonts w:ascii="Arial" w:hAnsi="Arial" w:cs="Arial"/>
          <w:sz w:val="24"/>
          <w:szCs w:val="24"/>
        </w:rPr>
        <w:t xml:space="preserve">Care Inspectorate Wales (2023) </w:t>
      </w:r>
      <w:r w:rsidRPr="00100C64">
        <w:rPr>
          <w:rFonts w:ascii="Arial" w:hAnsi="Arial" w:cs="Arial"/>
          <w:i/>
          <w:iCs/>
          <w:sz w:val="24"/>
          <w:szCs w:val="24"/>
        </w:rPr>
        <w:t>Care Quality Review Framework.</w:t>
      </w:r>
      <w:r w:rsidRPr="00100C64">
        <w:rPr>
          <w:rFonts w:ascii="Arial" w:hAnsi="Arial" w:cs="Arial"/>
          <w:sz w:val="24"/>
          <w:szCs w:val="24"/>
        </w:rPr>
        <w:t xml:space="preserve"> Available at: https://careinspectorate.wales (Accessed: </w:t>
      </w:r>
      <w:r w:rsidR="00820AF8" w:rsidRPr="00864D76">
        <w:rPr>
          <w:rFonts w:ascii="Arial" w:hAnsi="Arial" w:cs="Arial"/>
          <w:sz w:val="24"/>
          <w:szCs w:val="24"/>
        </w:rPr>
        <w:t>28</w:t>
      </w:r>
      <w:r w:rsidRPr="00100C64">
        <w:rPr>
          <w:rFonts w:ascii="Arial" w:hAnsi="Arial" w:cs="Arial"/>
          <w:sz w:val="24"/>
          <w:szCs w:val="24"/>
        </w:rPr>
        <w:t xml:space="preserve"> March 2025).</w:t>
      </w:r>
      <w:r w:rsidR="00CC6086" w:rsidRPr="00CC6086">
        <w:t xml:space="preserve"> </w:t>
      </w:r>
    </w:p>
    <w:p w14:paraId="067A8F61" w14:textId="77777777"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Curriculum for Wales (2022) </w:t>
      </w:r>
      <w:r w:rsidRPr="00100C64">
        <w:rPr>
          <w:rFonts w:ascii="Arial" w:hAnsi="Arial" w:cs="Arial"/>
          <w:i/>
          <w:iCs/>
          <w:sz w:val="24"/>
          <w:szCs w:val="24"/>
        </w:rPr>
        <w:t>Curriculum for funded non-maintained nursery settings.</w:t>
      </w:r>
      <w:r w:rsidRPr="00100C64">
        <w:rPr>
          <w:rFonts w:ascii="Arial" w:hAnsi="Arial" w:cs="Arial"/>
          <w:sz w:val="24"/>
          <w:szCs w:val="24"/>
        </w:rPr>
        <w:t xml:space="preserve"> Welsh Government. Available at: https://gov.wales</w:t>
      </w:r>
    </w:p>
    <w:p w14:paraId="43F2D7EF" w14:textId="77777777"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Mathers, S., Ranns, H., </w:t>
      </w:r>
      <w:proofErr w:type="spellStart"/>
      <w:r w:rsidRPr="00100C64">
        <w:rPr>
          <w:rFonts w:ascii="Arial" w:hAnsi="Arial" w:cs="Arial"/>
          <w:sz w:val="24"/>
          <w:szCs w:val="24"/>
        </w:rPr>
        <w:t>Karemaker</w:t>
      </w:r>
      <w:proofErr w:type="spellEnd"/>
      <w:r w:rsidRPr="00100C64">
        <w:rPr>
          <w:rFonts w:ascii="Arial" w:hAnsi="Arial" w:cs="Arial"/>
          <w:sz w:val="24"/>
          <w:szCs w:val="24"/>
        </w:rPr>
        <w:t xml:space="preserve">, A., Moody, A., Sylva, K., Graham, J. and Siraj-Blatchford, I. (2012) </w:t>
      </w:r>
      <w:r w:rsidRPr="00100C64">
        <w:rPr>
          <w:rFonts w:ascii="Arial" w:hAnsi="Arial" w:cs="Arial"/>
          <w:i/>
          <w:iCs/>
          <w:sz w:val="24"/>
          <w:szCs w:val="24"/>
        </w:rPr>
        <w:t>Evaluation of the Graduate Leader Fund.</w:t>
      </w:r>
      <w:r w:rsidRPr="00100C64">
        <w:rPr>
          <w:rFonts w:ascii="Arial" w:hAnsi="Arial" w:cs="Arial"/>
          <w:sz w:val="24"/>
          <w:szCs w:val="24"/>
        </w:rPr>
        <w:t xml:space="preserve"> London: Department for Education.</w:t>
      </w:r>
    </w:p>
    <w:p w14:paraId="5652C73C" w14:textId="77777777"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Melhuish, E., </w:t>
      </w:r>
      <w:proofErr w:type="spellStart"/>
      <w:r w:rsidRPr="00100C64">
        <w:rPr>
          <w:rFonts w:ascii="Arial" w:hAnsi="Arial" w:cs="Arial"/>
          <w:sz w:val="24"/>
          <w:szCs w:val="24"/>
        </w:rPr>
        <w:t>Ereky</w:t>
      </w:r>
      <w:proofErr w:type="spellEnd"/>
      <w:r w:rsidRPr="00100C64">
        <w:rPr>
          <w:rFonts w:ascii="Arial" w:hAnsi="Arial" w:cs="Arial"/>
          <w:sz w:val="24"/>
          <w:szCs w:val="24"/>
        </w:rPr>
        <w:t xml:space="preserve">-Stevens, K., </w:t>
      </w:r>
      <w:proofErr w:type="spellStart"/>
      <w:r w:rsidRPr="00100C64">
        <w:rPr>
          <w:rFonts w:ascii="Arial" w:hAnsi="Arial" w:cs="Arial"/>
          <w:sz w:val="24"/>
          <w:szCs w:val="24"/>
        </w:rPr>
        <w:t>Petrogiannis</w:t>
      </w:r>
      <w:proofErr w:type="spellEnd"/>
      <w:r w:rsidRPr="00100C64">
        <w:rPr>
          <w:rFonts w:ascii="Arial" w:hAnsi="Arial" w:cs="Arial"/>
          <w:sz w:val="24"/>
          <w:szCs w:val="24"/>
        </w:rPr>
        <w:t xml:space="preserve">, K., </w:t>
      </w:r>
      <w:proofErr w:type="spellStart"/>
      <w:r w:rsidRPr="00100C64">
        <w:rPr>
          <w:rFonts w:ascii="Arial" w:hAnsi="Arial" w:cs="Arial"/>
          <w:sz w:val="24"/>
          <w:szCs w:val="24"/>
        </w:rPr>
        <w:t>Ariescu</w:t>
      </w:r>
      <w:proofErr w:type="spellEnd"/>
      <w:r w:rsidRPr="00100C64">
        <w:rPr>
          <w:rFonts w:ascii="Arial" w:hAnsi="Arial" w:cs="Arial"/>
          <w:sz w:val="24"/>
          <w:szCs w:val="24"/>
        </w:rPr>
        <w:t xml:space="preserve">, A., </w:t>
      </w:r>
      <w:proofErr w:type="spellStart"/>
      <w:r w:rsidRPr="00100C64">
        <w:rPr>
          <w:rFonts w:ascii="Arial" w:hAnsi="Arial" w:cs="Arial"/>
          <w:sz w:val="24"/>
          <w:szCs w:val="24"/>
        </w:rPr>
        <w:t>Penderi</w:t>
      </w:r>
      <w:proofErr w:type="spellEnd"/>
      <w:r w:rsidRPr="00100C64">
        <w:rPr>
          <w:rFonts w:ascii="Arial" w:hAnsi="Arial" w:cs="Arial"/>
          <w:sz w:val="24"/>
          <w:szCs w:val="24"/>
        </w:rPr>
        <w:t xml:space="preserve">, E., </w:t>
      </w:r>
      <w:proofErr w:type="spellStart"/>
      <w:r w:rsidRPr="00100C64">
        <w:rPr>
          <w:rFonts w:ascii="Arial" w:hAnsi="Arial" w:cs="Arial"/>
          <w:sz w:val="24"/>
          <w:szCs w:val="24"/>
        </w:rPr>
        <w:t>Rentzou</w:t>
      </w:r>
      <w:proofErr w:type="spellEnd"/>
      <w:r w:rsidRPr="00100C64">
        <w:rPr>
          <w:rFonts w:ascii="Arial" w:hAnsi="Arial" w:cs="Arial"/>
          <w:sz w:val="24"/>
          <w:szCs w:val="24"/>
        </w:rPr>
        <w:t xml:space="preserve">, K., Leseman, P. and Broekhuizen, M. (2015) </w:t>
      </w:r>
      <w:r w:rsidRPr="00100C64">
        <w:rPr>
          <w:rFonts w:ascii="Arial" w:hAnsi="Arial" w:cs="Arial"/>
          <w:i/>
          <w:iCs/>
          <w:sz w:val="24"/>
          <w:szCs w:val="24"/>
        </w:rPr>
        <w:t>A Review of Research on the Effects of Early Childhood Education and Care (ECEC) upon Child Development.</w:t>
      </w:r>
      <w:r w:rsidRPr="00100C64">
        <w:rPr>
          <w:rFonts w:ascii="Arial" w:hAnsi="Arial" w:cs="Arial"/>
          <w:sz w:val="24"/>
          <w:szCs w:val="24"/>
        </w:rPr>
        <w:t xml:space="preserve"> CARE Project, European Union.</w:t>
      </w:r>
    </w:p>
    <w:p w14:paraId="40B239B7" w14:textId="77777777"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Moss, P. (2016) </w:t>
      </w:r>
      <w:r w:rsidRPr="00100C64">
        <w:rPr>
          <w:rFonts w:ascii="Arial" w:hAnsi="Arial" w:cs="Arial"/>
          <w:i/>
          <w:iCs/>
          <w:sz w:val="24"/>
          <w:szCs w:val="24"/>
        </w:rPr>
        <w:t>Why can't we get beyond quality?</w:t>
      </w:r>
      <w:r w:rsidRPr="00100C64">
        <w:rPr>
          <w:rFonts w:ascii="Arial" w:hAnsi="Arial" w:cs="Arial"/>
          <w:sz w:val="24"/>
          <w:szCs w:val="24"/>
        </w:rPr>
        <w:t xml:space="preserve"> London: Routledge.</w:t>
      </w:r>
    </w:p>
    <w:p w14:paraId="58987C2D" w14:textId="515A5AF0"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Rodd, J. (2013) </w:t>
      </w:r>
      <w:r w:rsidRPr="00100C64">
        <w:rPr>
          <w:rFonts w:ascii="Arial" w:hAnsi="Arial" w:cs="Arial"/>
          <w:i/>
          <w:iCs/>
          <w:sz w:val="24"/>
          <w:szCs w:val="24"/>
        </w:rPr>
        <w:t>Leadership in Early Childhood.</w:t>
      </w:r>
      <w:r w:rsidRPr="00100C64">
        <w:rPr>
          <w:rFonts w:ascii="Arial" w:hAnsi="Arial" w:cs="Arial"/>
          <w:sz w:val="24"/>
          <w:szCs w:val="24"/>
        </w:rPr>
        <w:t xml:space="preserve"> 4th </w:t>
      </w:r>
      <w:r w:rsidR="00A60EA3">
        <w:rPr>
          <w:rFonts w:ascii="Arial" w:hAnsi="Arial" w:cs="Arial"/>
          <w:sz w:val="24"/>
          <w:szCs w:val="24"/>
        </w:rPr>
        <w:t>ed</w:t>
      </w:r>
      <w:r w:rsidRPr="00100C64">
        <w:rPr>
          <w:rFonts w:ascii="Arial" w:hAnsi="Arial" w:cs="Arial"/>
          <w:sz w:val="24"/>
          <w:szCs w:val="24"/>
        </w:rPr>
        <w:t>. Maidenhead: Open University Press.</w:t>
      </w:r>
    </w:p>
    <w:p w14:paraId="465F1E76" w14:textId="77777777" w:rsidR="004C0211" w:rsidRDefault="00EC5AD7" w:rsidP="004C0211">
      <w:pPr>
        <w:spacing w:line="360" w:lineRule="auto"/>
        <w:rPr>
          <w:rFonts w:ascii="Times New Roman" w:eastAsia="Times New Roman" w:hAnsi="Times New Roman" w:cs="Times New Roman"/>
          <w:b/>
          <w:bCs/>
          <w:kern w:val="0"/>
          <w:sz w:val="24"/>
          <w:szCs w:val="24"/>
          <w:lang w:eastAsia="en-GB"/>
          <w14:ligatures w14:val="none"/>
        </w:rPr>
      </w:pPr>
      <w:r w:rsidRPr="00864D76">
        <w:rPr>
          <w:rFonts w:ascii="Arial" w:hAnsi="Arial" w:cs="Arial"/>
          <w:sz w:val="24"/>
          <w:szCs w:val="24"/>
        </w:rPr>
        <w:t xml:space="preserve">Siraj, I., Kingston, D. and Melhuish, E. (2015) </w:t>
      </w:r>
      <w:r w:rsidRPr="00864D76">
        <w:rPr>
          <w:rFonts w:ascii="Arial" w:hAnsi="Arial" w:cs="Arial"/>
          <w:i/>
          <w:iCs/>
          <w:sz w:val="24"/>
          <w:szCs w:val="24"/>
        </w:rPr>
        <w:t>Assessing the Quality of Early Years Learning Environments: Sustained Shared Thinking and Emotional Wellbeing (SSTEW) Scale.</w:t>
      </w:r>
      <w:r w:rsidRPr="00864D76">
        <w:rPr>
          <w:rFonts w:ascii="Arial" w:hAnsi="Arial" w:cs="Arial"/>
          <w:sz w:val="24"/>
          <w:szCs w:val="24"/>
        </w:rPr>
        <w:t xml:space="preserve"> London: UCL Institute of Education.</w:t>
      </w:r>
      <w:r w:rsidR="004C0211" w:rsidRPr="004C0211">
        <w:rPr>
          <w:rFonts w:ascii="Times New Roman" w:eastAsia="Times New Roman" w:hAnsi="Times New Roman" w:cs="Times New Roman"/>
          <w:b/>
          <w:bCs/>
          <w:kern w:val="0"/>
          <w:sz w:val="24"/>
          <w:szCs w:val="24"/>
          <w:lang w:eastAsia="en-GB"/>
          <w14:ligatures w14:val="none"/>
        </w:rPr>
        <w:t xml:space="preserve"> </w:t>
      </w:r>
    </w:p>
    <w:p w14:paraId="532A5303" w14:textId="2D6993FD" w:rsidR="004C0211" w:rsidRPr="00864D76" w:rsidRDefault="004C0211" w:rsidP="004C0211">
      <w:pPr>
        <w:spacing w:line="360" w:lineRule="auto"/>
        <w:rPr>
          <w:rFonts w:ascii="Arial" w:hAnsi="Arial" w:cs="Arial"/>
          <w:sz w:val="24"/>
          <w:szCs w:val="24"/>
        </w:rPr>
      </w:pPr>
      <w:r w:rsidRPr="00864D76">
        <w:rPr>
          <w:rFonts w:ascii="Arial" w:hAnsi="Arial" w:cs="Arial"/>
          <w:sz w:val="24"/>
          <w:szCs w:val="24"/>
        </w:rPr>
        <w:t xml:space="preserve">Siraj-Blatchford, I. and Manni, L. (2007) </w:t>
      </w:r>
      <w:r w:rsidRPr="00864D76">
        <w:rPr>
          <w:rFonts w:ascii="Arial" w:hAnsi="Arial" w:cs="Arial"/>
          <w:i/>
          <w:iCs/>
          <w:sz w:val="24"/>
          <w:szCs w:val="24"/>
        </w:rPr>
        <w:t>Effective Leadership in the Early Years Sector: The ELEYS Study.</w:t>
      </w:r>
      <w:r w:rsidRPr="00864D76">
        <w:rPr>
          <w:rFonts w:ascii="Arial" w:hAnsi="Arial" w:cs="Arial"/>
          <w:sz w:val="24"/>
          <w:szCs w:val="24"/>
        </w:rPr>
        <w:t xml:space="preserve"> London: Institute of Education, University of London.</w:t>
      </w:r>
    </w:p>
    <w:p w14:paraId="7FB66733" w14:textId="19BF6A0A" w:rsidR="00EC5AD7" w:rsidRDefault="004C0211" w:rsidP="00100C64">
      <w:pPr>
        <w:spacing w:line="360" w:lineRule="auto"/>
        <w:rPr>
          <w:rFonts w:ascii="Arial" w:hAnsi="Arial" w:cs="Arial"/>
          <w:sz w:val="24"/>
          <w:szCs w:val="24"/>
          <w:highlight w:val="yellow"/>
        </w:rPr>
      </w:pPr>
      <w:r>
        <w:rPr>
          <w:rFonts w:ascii="Arial" w:hAnsi="Arial" w:cs="Arial"/>
          <w:sz w:val="24"/>
          <w:szCs w:val="24"/>
          <w:highlight w:val="yellow"/>
        </w:rPr>
        <w:br/>
      </w:r>
    </w:p>
    <w:p w14:paraId="0515486D" w14:textId="535BB187"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lastRenderedPageBreak/>
        <w:t xml:space="preserve">Sylva, K., Melhuish, E., Sammons, P., Siraj-Blatchford, I. and Taggart, B. (2010) </w:t>
      </w:r>
      <w:r w:rsidRPr="00100C64">
        <w:rPr>
          <w:rFonts w:ascii="Arial" w:hAnsi="Arial" w:cs="Arial"/>
          <w:i/>
          <w:iCs/>
          <w:sz w:val="24"/>
          <w:szCs w:val="24"/>
        </w:rPr>
        <w:t>Early Childhood Matters: Evidence from the Effective Pre-school and Primary Education Project.</w:t>
      </w:r>
      <w:r w:rsidRPr="00100C64">
        <w:rPr>
          <w:rFonts w:ascii="Arial" w:hAnsi="Arial" w:cs="Arial"/>
          <w:sz w:val="24"/>
          <w:szCs w:val="24"/>
        </w:rPr>
        <w:t xml:space="preserve"> London: Routledge.</w:t>
      </w:r>
    </w:p>
    <w:p w14:paraId="3105E99C" w14:textId="77777777"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United Nations (1989) </w:t>
      </w:r>
      <w:r w:rsidRPr="00100C64">
        <w:rPr>
          <w:rFonts w:ascii="Arial" w:hAnsi="Arial" w:cs="Arial"/>
          <w:i/>
          <w:iCs/>
          <w:sz w:val="24"/>
          <w:szCs w:val="24"/>
        </w:rPr>
        <w:t>Convention on the Rights of the Child.</w:t>
      </w:r>
      <w:r w:rsidRPr="00100C64">
        <w:rPr>
          <w:rFonts w:ascii="Arial" w:hAnsi="Arial" w:cs="Arial"/>
          <w:sz w:val="24"/>
          <w:szCs w:val="24"/>
        </w:rPr>
        <w:t xml:space="preserve"> New York: United Nations.</w:t>
      </w:r>
    </w:p>
    <w:p w14:paraId="0851B551" w14:textId="77777777" w:rsidR="0029074B" w:rsidRDefault="001F7793" w:rsidP="0029074B">
      <w:pPr>
        <w:spacing w:line="360" w:lineRule="auto"/>
        <w:rPr>
          <w:rFonts w:ascii="Arial" w:hAnsi="Arial" w:cs="Arial"/>
          <w:sz w:val="24"/>
          <w:szCs w:val="24"/>
        </w:rPr>
      </w:pPr>
      <w:r w:rsidRPr="001F7793">
        <w:rPr>
          <w:rFonts w:ascii="Arial" w:hAnsi="Arial" w:cs="Arial"/>
          <w:sz w:val="24"/>
          <w:szCs w:val="24"/>
        </w:rPr>
        <w:t xml:space="preserve">Urban, M., Robson, S. and Scacchi, V. (2012) ‘Towards competent systems in early childhood education and care: implications for policy and practice’, </w:t>
      </w:r>
      <w:r w:rsidRPr="001F7793">
        <w:rPr>
          <w:rFonts w:ascii="Arial" w:hAnsi="Arial" w:cs="Arial"/>
          <w:i/>
          <w:iCs/>
          <w:sz w:val="24"/>
          <w:szCs w:val="24"/>
        </w:rPr>
        <w:t>European Journal of Education</w:t>
      </w:r>
      <w:r w:rsidRPr="001F7793">
        <w:rPr>
          <w:rFonts w:ascii="Arial" w:hAnsi="Arial" w:cs="Arial"/>
          <w:sz w:val="24"/>
          <w:szCs w:val="24"/>
        </w:rPr>
        <w:t>, 47(4), pp. 508–526. Available at: https://vbjk.be/storage/files/f55971c5-69b1-4544-8e38-62fbfc32ac40/european-journal-of-education-2012-towards-competent-systems-in-early-childhood-education-and-care-implications-for-poli.pdf</w:t>
      </w:r>
      <w:r w:rsidRPr="0099207C">
        <w:rPr>
          <w:rFonts w:ascii="Arial" w:hAnsi="Arial" w:cs="Arial"/>
          <w:sz w:val="24"/>
          <w:szCs w:val="24"/>
        </w:rPr>
        <w:t xml:space="preserve"> </w:t>
      </w:r>
      <w:r w:rsidRPr="00100C64">
        <w:rPr>
          <w:rFonts w:ascii="Arial" w:hAnsi="Arial" w:cs="Arial"/>
          <w:sz w:val="24"/>
          <w:szCs w:val="24"/>
        </w:rPr>
        <w:t xml:space="preserve">(Accessed: </w:t>
      </w:r>
      <w:r w:rsidRPr="0099207C">
        <w:rPr>
          <w:rFonts w:ascii="Arial" w:hAnsi="Arial" w:cs="Arial"/>
          <w:sz w:val="24"/>
          <w:szCs w:val="24"/>
        </w:rPr>
        <w:t>26</w:t>
      </w:r>
      <w:r w:rsidRPr="00100C64">
        <w:rPr>
          <w:rFonts w:ascii="Arial" w:hAnsi="Arial" w:cs="Arial"/>
          <w:sz w:val="24"/>
          <w:szCs w:val="24"/>
        </w:rPr>
        <w:t xml:space="preserve"> March 2025).</w:t>
      </w:r>
      <w:r w:rsidR="0029074B">
        <w:rPr>
          <w:rFonts w:ascii="Arial" w:hAnsi="Arial" w:cs="Arial"/>
          <w:sz w:val="24"/>
          <w:szCs w:val="24"/>
        </w:rPr>
        <w:t xml:space="preserve"> </w:t>
      </w:r>
    </w:p>
    <w:p w14:paraId="4E40FDF7" w14:textId="6A658D17" w:rsidR="001F7793" w:rsidRPr="001F7793" w:rsidRDefault="0029074B" w:rsidP="001F7793">
      <w:pPr>
        <w:spacing w:line="360" w:lineRule="auto"/>
        <w:rPr>
          <w:rFonts w:ascii="Arial" w:hAnsi="Arial" w:cs="Arial"/>
          <w:sz w:val="24"/>
          <w:szCs w:val="24"/>
        </w:rPr>
      </w:pPr>
      <w:r w:rsidRPr="0029074B">
        <w:rPr>
          <w:rFonts w:ascii="Arial" w:hAnsi="Arial" w:cs="Arial"/>
          <w:sz w:val="24"/>
          <w:szCs w:val="24"/>
        </w:rPr>
        <w:t xml:space="preserve">Vygotsky, L. S. (1978) </w:t>
      </w:r>
      <w:r w:rsidRPr="0029074B">
        <w:rPr>
          <w:rFonts w:ascii="Arial" w:hAnsi="Arial" w:cs="Arial"/>
          <w:i/>
          <w:iCs/>
          <w:sz w:val="24"/>
          <w:szCs w:val="24"/>
        </w:rPr>
        <w:t>Mind in Society: The Development of Higher Psychological Processes.</w:t>
      </w:r>
      <w:r w:rsidRPr="0029074B">
        <w:rPr>
          <w:rFonts w:ascii="Arial" w:hAnsi="Arial" w:cs="Arial"/>
          <w:sz w:val="24"/>
          <w:szCs w:val="24"/>
        </w:rPr>
        <w:t xml:space="preserve"> Cambridge, MA: Harvard University Press.</w:t>
      </w:r>
    </w:p>
    <w:p w14:paraId="0607DEE0" w14:textId="6D586AFF" w:rsidR="00100C64" w:rsidRPr="00100C64" w:rsidRDefault="00100C64" w:rsidP="00100C64">
      <w:pPr>
        <w:spacing w:line="360" w:lineRule="auto"/>
        <w:rPr>
          <w:rFonts w:ascii="Arial" w:hAnsi="Arial" w:cs="Arial"/>
          <w:sz w:val="24"/>
          <w:szCs w:val="24"/>
        </w:rPr>
      </w:pPr>
      <w:r w:rsidRPr="00100C64">
        <w:rPr>
          <w:rFonts w:ascii="Arial" w:hAnsi="Arial" w:cs="Arial"/>
          <w:sz w:val="24"/>
          <w:szCs w:val="24"/>
        </w:rPr>
        <w:t xml:space="preserve">Welsh Government (2015) </w:t>
      </w:r>
      <w:r w:rsidRPr="00100C64">
        <w:rPr>
          <w:rFonts w:ascii="Arial" w:hAnsi="Arial" w:cs="Arial"/>
          <w:i/>
          <w:iCs/>
          <w:sz w:val="24"/>
          <w:szCs w:val="24"/>
        </w:rPr>
        <w:t>Well-being of Future Generations (Wales) Act 2015.</w:t>
      </w:r>
      <w:r w:rsidRPr="00100C64">
        <w:rPr>
          <w:rFonts w:ascii="Arial" w:hAnsi="Arial" w:cs="Arial"/>
          <w:sz w:val="24"/>
          <w:szCs w:val="24"/>
        </w:rPr>
        <w:t xml:space="preserve"> Available at: https://www.legislation.gov.uk/anaw/2015/2/contents (Accessed: </w:t>
      </w:r>
      <w:r w:rsidR="00820AF8" w:rsidRPr="0099207C">
        <w:rPr>
          <w:rFonts w:ascii="Arial" w:hAnsi="Arial" w:cs="Arial"/>
          <w:sz w:val="24"/>
          <w:szCs w:val="24"/>
        </w:rPr>
        <w:t>26</w:t>
      </w:r>
      <w:r w:rsidRPr="00100C64">
        <w:rPr>
          <w:rFonts w:ascii="Arial" w:hAnsi="Arial" w:cs="Arial"/>
          <w:sz w:val="24"/>
          <w:szCs w:val="24"/>
        </w:rPr>
        <w:t xml:space="preserve"> March 2025).</w:t>
      </w:r>
    </w:p>
    <w:p w14:paraId="76FDE00F" w14:textId="22448A24" w:rsidR="00100C64" w:rsidRDefault="00100C64" w:rsidP="00100C64">
      <w:pPr>
        <w:spacing w:line="360" w:lineRule="auto"/>
        <w:rPr>
          <w:rFonts w:ascii="Arial" w:hAnsi="Arial" w:cs="Arial"/>
          <w:sz w:val="24"/>
          <w:szCs w:val="24"/>
        </w:rPr>
      </w:pPr>
      <w:r w:rsidRPr="00100C64">
        <w:rPr>
          <w:rFonts w:ascii="Arial" w:hAnsi="Arial" w:cs="Arial"/>
          <w:sz w:val="24"/>
          <w:szCs w:val="24"/>
        </w:rPr>
        <w:t xml:space="preserve">Welsh Government (2023) </w:t>
      </w:r>
      <w:r w:rsidRPr="00100C64">
        <w:rPr>
          <w:rFonts w:ascii="Arial" w:hAnsi="Arial" w:cs="Arial"/>
          <w:i/>
          <w:iCs/>
          <w:sz w:val="24"/>
          <w:szCs w:val="24"/>
        </w:rPr>
        <w:t>National Minimum Standards for Regulated Childcare.</w:t>
      </w:r>
      <w:r w:rsidRPr="00100C64">
        <w:rPr>
          <w:rFonts w:ascii="Arial" w:hAnsi="Arial" w:cs="Arial"/>
          <w:sz w:val="24"/>
          <w:szCs w:val="24"/>
        </w:rPr>
        <w:t xml:space="preserve"> Available at: https://gov.wales/national-minimum-standards-regulated-childcare (Accessed: </w:t>
      </w:r>
      <w:r w:rsidR="00820AF8" w:rsidRPr="0099207C">
        <w:rPr>
          <w:rFonts w:ascii="Arial" w:hAnsi="Arial" w:cs="Arial"/>
          <w:sz w:val="24"/>
          <w:szCs w:val="24"/>
        </w:rPr>
        <w:t>26</w:t>
      </w:r>
      <w:r w:rsidRPr="00100C64">
        <w:rPr>
          <w:rFonts w:ascii="Arial" w:hAnsi="Arial" w:cs="Arial"/>
          <w:sz w:val="24"/>
          <w:szCs w:val="24"/>
        </w:rPr>
        <w:t xml:space="preserve"> March 2025).</w:t>
      </w:r>
    </w:p>
    <w:p w14:paraId="2A55259D" w14:textId="77777777" w:rsidR="00EA716F" w:rsidRPr="00100C64" w:rsidRDefault="00EA716F" w:rsidP="00100C64">
      <w:pPr>
        <w:spacing w:line="360" w:lineRule="auto"/>
        <w:rPr>
          <w:rFonts w:ascii="Arial" w:hAnsi="Arial" w:cs="Arial"/>
          <w:sz w:val="24"/>
          <w:szCs w:val="24"/>
        </w:rPr>
      </w:pPr>
    </w:p>
    <w:p w14:paraId="08AFEACD" w14:textId="77777777" w:rsidR="00100C64" w:rsidRPr="00100C64" w:rsidRDefault="00100C64" w:rsidP="00100C64">
      <w:pPr>
        <w:spacing w:line="360" w:lineRule="auto"/>
        <w:rPr>
          <w:rFonts w:ascii="Arial" w:hAnsi="Arial" w:cs="Arial"/>
          <w:sz w:val="24"/>
          <w:szCs w:val="24"/>
        </w:rPr>
      </w:pPr>
    </w:p>
    <w:p w14:paraId="3F5F19AA" w14:textId="77777777" w:rsidR="00100C64" w:rsidRPr="00100C64" w:rsidRDefault="00100C64" w:rsidP="00100C64">
      <w:pPr>
        <w:rPr>
          <w:rFonts w:ascii="Arial" w:hAnsi="Arial" w:cs="Arial"/>
          <w:b/>
          <w:bCs/>
          <w:sz w:val="24"/>
          <w:szCs w:val="24"/>
          <w:u w:val="single"/>
        </w:rPr>
      </w:pPr>
    </w:p>
    <w:sectPr w:rsidR="00100C64" w:rsidRPr="00100C6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B2BAE" w14:textId="77777777" w:rsidR="00A307F9" w:rsidRDefault="00A307F9" w:rsidP="003848A0">
      <w:pPr>
        <w:spacing w:after="0" w:line="240" w:lineRule="auto"/>
      </w:pPr>
      <w:r>
        <w:separator/>
      </w:r>
    </w:p>
  </w:endnote>
  <w:endnote w:type="continuationSeparator" w:id="0">
    <w:p w14:paraId="0EF1EC0A" w14:textId="77777777" w:rsidR="00A307F9" w:rsidRDefault="00A307F9" w:rsidP="00384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499596"/>
      <w:docPartObj>
        <w:docPartGallery w:val="Page Numbers (Bottom of Page)"/>
        <w:docPartUnique/>
      </w:docPartObj>
    </w:sdtPr>
    <w:sdtContent>
      <w:p w14:paraId="6897E18E" w14:textId="6CF715C0" w:rsidR="00B229F1" w:rsidRDefault="00B229F1">
        <w:pPr>
          <w:pStyle w:val="Footer"/>
          <w:jc w:val="center"/>
        </w:pPr>
        <w:r>
          <w:fldChar w:fldCharType="begin"/>
        </w:r>
        <w:r>
          <w:instrText>PAGE   \* MERGEFORMAT</w:instrText>
        </w:r>
        <w:r>
          <w:fldChar w:fldCharType="separate"/>
        </w:r>
        <w:r>
          <w:t>2</w:t>
        </w:r>
        <w:r>
          <w:fldChar w:fldCharType="end"/>
        </w:r>
      </w:p>
    </w:sdtContent>
  </w:sdt>
  <w:p w14:paraId="3A8AC59A" w14:textId="77777777" w:rsidR="002B0737" w:rsidRDefault="002B0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56546" w14:textId="77777777" w:rsidR="00A307F9" w:rsidRDefault="00A307F9" w:rsidP="003848A0">
      <w:pPr>
        <w:spacing w:after="0" w:line="240" w:lineRule="auto"/>
      </w:pPr>
      <w:r>
        <w:separator/>
      </w:r>
    </w:p>
  </w:footnote>
  <w:footnote w:type="continuationSeparator" w:id="0">
    <w:p w14:paraId="0979E264" w14:textId="77777777" w:rsidR="00A307F9" w:rsidRDefault="00A307F9" w:rsidP="00384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F0AD1" w14:textId="6919DE84" w:rsidR="003848A0" w:rsidRPr="003848A0" w:rsidRDefault="003848A0">
    <w:pPr>
      <w:pStyle w:val="Header"/>
      <w:rPr>
        <w:b/>
        <w:bCs/>
      </w:rPr>
    </w:pPr>
    <w:r w:rsidRPr="003848A0">
      <w:rPr>
        <w:b/>
        <w:bCs/>
      </w:rPr>
      <w:t>ECEY6011 – Leadership and Management for Systems of Quality</w:t>
    </w:r>
    <w:r>
      <w:tab/>
    </w:r>
    <w:r w:rsidRPr="003848A0">
      <w:rPr>
        <w:b/>
        <w:bCs/>
      </w:rPr>
      <w:t>2314177</w:t>
    </w:r>
  </w:p>
  <w:p w14:paraId="1270D6C3" w14:textId="3D979E65" w:rsidR="003848A0" w:rsidRPr="003848A0" w:rsidRDefault="003848A0">
    <w:pPr>
      <w:pStyle w:val="Header"/>
      <w:rPr>
        <w:b/>
        <w:bCs/>
      </w:rPr>
    </w:pPr>
    <w:r w:rsidRPr="003848A0">
      <w:rPr>
        <w:b/>
        <w:bCs/>
      </w:rPr>
      <w:tab/>
    </w:r>
    <w:r w:rsidRPr="003848A0">
      <w:rPr>
        <w:b/>
        <w:bCs/>
      </w:rPr>
      <w:tab/>
      <w:t>Word Count:</w:t>
    </w:r>
    <w:r w:rsidR="007A0F0D">
      <w:rPr>
        <w:b/>
        <w:bCs/>
      </w:rPr>
      <w:t xml:space="preserve"> 2</w:t>
    </w:r>
    <w:r w:rsidR="002B0737">
      <w:rPr>
        <w:b/>
        <w:bCs/>
      </w:rPr>
      <w:t>182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02DF"/>
    <w:multiLevelType w:val="multilevel"/>
    <w:tmpl w:val="84A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E23F7"/>
    <w:multiLevelType w:val="multilevel"/>
    <w:tmpl w:val="D9DC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C12173"/>
    <w:multiLevelType w:val="multilevel"/>
    <w:tmpl w:val="CD68A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DC1EDA"/>
    <w:multiLevelType w:val="multilevel"/>
    <w:tmpl w:val="911ED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8330140">
    <w:abstractNumId w:val="2"/>
  </w:num>
  <w:num w:numId="2" w16cid:durableId="1560356536">
    <w:abstractNumId w:val="0"/>
  </w:num>
  <w:num w:numId="3" w16cid:durableId="758328482">
    <w:abstractNumId w:val="3"/>
  </w:num>
  <w:num w:numId="4" w16cid:durableId="1396202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8A0"/>
    <w:rsid w:val="00046C59"/>
    <w:rsid w:val="000618C3"/>
    <w:rsid w:val="000A00AF"/>
    <w:rsid w:val="00100C64"/>
    <w:rsid w:val="001224A3"/>
    <w:rsid w:val="00134913"/>
    <w:rsid w:val="001B630B"/>
    <w:rsid w:val="001F7793"/>
    <w:rsid w:val="00232188"/>
    <w:rsid w:val="0029074B"/>
    <w:rsid w:val="002A48FB"/>
    <w:rsid w:val="002B0737"/>
    <w:rsid w:val="002C0507"/>
    <w:rsid w:val="00305541"/>
    <w:rsid w:val="00320851"/>
    <w:rsid w:val="003848A0"/>
    <w:rsid w:val="003B5134"/>
    <w:rsid w:val="003C28A3"/>
    <w:rsid w:val="0040008E"/>
    <w:rsid w:val="00406EAF"/>
    <w:rsid w:val="0043074F"/>
    <w:rsid w:val="004C0211"/>
    <w:rsid w:val="004F2CEF"/>
    <w:rsid w:val="00580C74"/>
    <w:rsid w:val="005968C4"/>
    <w:rsid w:val="005A5EE1"/>
    <w:rsid w:val="005C5DC3"/>
    <w:rsid w:val="005D0E13"/>
    <w:rsid w:val="005D3645"/>
    <w:rsid w:val="006801CA"/>
    <w:rsid w:val="006F5A63"/>
    <w:rsid w:val="007A0F0D"/>
    <w:rsid w:val="00820AF8"/>
    <w:rsid w:val="00825064"/>
    <w:rsid w:val="008316BB"/>
    <w:rsid w:val="00864D76"/>
    <w:rsid w:val="00870D87"/>
    <w:rsid w:val="008744B4"/>
    <w:rsid w:val="008A7616"/>
    <w:rsid w:val="008C1B33"/>
    <w:rsid w:val="008C58FF"/>
    <w:rsid w:val="008E0DF9"/>
    <w:rsid w:val="0097128B"/>
    <w:rsid w:val="0099207C"/>
    <w:rsid w:val="00A307F9"/>
    <w:rsid w:val="00A50854"/>
    <w:rsid w:val="00A60EA3"/>
    <w:rsid w:val="00A9698C"/>
    <w:rsid w:val="00AE660F"/>
    <w:rsid w:val="00AF0591"/>
    <w:rsid w:val="00AF23D8"/>
    <w:rsid w:val="00B12D54"/>
    <w:rsid w:val="00B229F1"/>
    <w:rsid w:val="00B33B4C"/>
    <w:rsid w:val="00B643FF"/>
    <w:rsid w:val="00BD0258"/>
    <w:rsid w:val="00BD22E0"/>
    <w:rsid w:val="00C07326"/>
    <w:rsid w:val="00C22F22"/>
    <w:rsid w:val="00C23BE6"/>
    <w:rsid w:val="00C379EB"/>
    <w:rsid w:val="00C527AB"/>
    <w:rsid w:val="00C67F1E"/>
    <w:rsid w:val="00CB29B2"/>
    <w:rsid w:val="00CB6094"/>
    <w:rsid w:val="00CC6086"/>
    <w:rsid w:val="00D31419"/>
    <w:rsid w:val="00D375B1"/>
    <w:rsid w:val="00D41D1B"/>
    <w:rsid w:val="00DB0E55"/>
    <w:rsid w:val="00E30528"/>
    <w:rsid w:val="00E67B48"/>
    <w:rsid w:val="00E96D4B"/>
    <w:rsid w:val="00EA716F"/>
    <w:rsid w:val="00EC5AD7"/>
    <w:rsid w:val="00EF793A"/>
    <w:rsid w:val="00EF7B73"/>
    <w:rsid w:val="00F16CA5"/>
    <w:rsid w:val="00F47B00"/>
    <w:rsid w:val="00F60D46"/>
    <w:rsid w:val="00FB4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66A6C2"/>
  <w15:chartTrackingRefBased/>
  <w15:docId w15:val="{8D1F9322-36A4-4DAC-A177-ED552DA74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8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8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8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8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8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8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8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8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8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8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8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8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8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8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8A0"/>
    <w:rPr>
      <w:rFonts w:eastAsiaTheme="majorEastAsia" w:cstheme="majorBidi"/>
      <w:color w:val="272727" w:themeColor="text1" w:themeTint="D8"/>
    </w:rPr>
  </w:style>
  <w:style w:type="paragraph" w:styleId="Title">
    <w:name w:val="Title"/>
    <w:basedOn w:val="Normal"/>
    <w:next w:val="Normal"/>
    <w:link w:val="TitleChar"/>
    <w:uiPriority w:val="10"/>
    <w:qFormat/>
    <w:rsid w:val="00384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8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8A0"/>
    <w:pPr>
      <w:spacing w:before="160"/>
      <w:jc w:val="center"/>
    </w:pPr>
    <w:rPr>
      <w:i/>
      <w:iCs/>
      <w:color w:val="404040" w:themeColor="text1" w:themeTint="BF"/>
    </w:rPr>
  </w:style>
  <w:style w:type="character" w:customStyle="1" w:styleId="QuoteChar">
    <w:name w:val="Quote Char"/>
    <w:basedOn w:val="DefaultParagraphFont"/>
    <w:link w:val="Quote"/>
    <w:uiPriority w:val="29"/>
    <w:rsid w:val="003848A0"/>
    <w:rPr>
      <w:i/>
      <w:iCs/>
      <w:color w:val="404040" w:themeColor="text1" w:themeTint="BF"/>
    </w:rPr>
  </w:style>
  <w:style w:type="paragraph" w:styleId="ListParagraph">
    <w:name w:val="List Paragraph"/>
    <w:basedOn w:val="Normal"/>
    <w:uiPriority w:val="34"/>
    <w:qFormat/>
    <w:rsid w:val="003848A0"/>
    <w:pPr>
      <w:ind w:left="720"/>
      <w:contextualSpacing/>
    </w:pPr>
  </w:style>
  <w:style w:type="character" w:styleId="IntenseEmphasis">
    <w:name w:val="Intense Emphasis"/>
    <w:basedOn w:val="DefaultParagraphFont"/>
    <w:uiPriority w:val="21"/>
    <w:qFormat/>
    <w:rsid w:val="003848A0"/>
    <w:rPr>
      <w:i/>
      <w:iCs/>
      <w:color w:val="0F4761" w:themeColor="accent1" w:themeShade="BF"/>
    </w:rPr>
  </w:style>
  <w:style w:type="paragraph" w:styleId="IntenseQuote">
    <w:name w:val="Intense Quote"/>
    <w:basedOn w:val="Normal"/>
    <w:next w:val="Normal"/>
    <w:link w:val="IntenseQuoteChar"/>
    <w:uiPriority w:val="30"/>
    <w:qFormat/>
    <w:rsid w:val="003848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8A0"/>
    <w:rPr>
      <w:i/>
      <w:iCs/>
      <w:color w:val="0F4761" w:themeColor="accent1" w:themeShade="BF"/>
    </w:rPr>
  </w:style>
  <w:style w:type="character" w:styleId="IntenseReference">
    <w:name w:val="Intense Reference"/>
    <w:basedOn w:val="DefaultParagraphFont"/>
    <w:uiPriority w:val="32"/>
    <w:qFormat/>
    <w:rsid w:val="003848A0"/>
    <w:rPr>
      <w:b/>
      <w:bCs/>
      <w:smallCaps/>
      <w:color w:val="0F4761" w:themeColor="accent1" w:themeShade="BF"/>
      <w:spacing w:val="5"/>
    </w:rPr>
  </w:style>
  <w:style w:type="paragraph" w:styleId="Header">
    <w:name w:val="header"/>
    <w:basedOn w:val="Normal"/>
    <w:link w:val="HeaderChar"/>
    <w:uiPriority w:val="99"/>
    <w:unhideWhenUsed/>
    <w:rsid w:val="003848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8A0"/>
  </w:style>
  <w:style w:type="paragraph" w:styleId="Footer">
    <w:name w:val="footer"/>
    <w:basedOn w:val="Normal"/>
    <w:link w:val="FooterChar"/>
    <w:uiPriority w:val="99"/>
    <w:unhideWhenUsed/>
    <w:rsid w:val="003848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8A0"/>
  </w:style>
  <w:style w:type="character" w:styleId="Hyperlink">
    <w:name w:val="Hyperlink"/>
    <w:basedOn w:val="DefaultParagraphFont"/>
    <w:uiPriority w:val="99"/>
    <w:unhideWhenUsed/>
    <w:rsid w:val="001F7793"/>
    <w:rPr>
      <w:color w:val="467886" w:themeColor="hyperlink"/>
      <w:u w:val="single"/>
    </w:rPr>
  </w:style>
  <w:style w:type="character" w:styleId="UnresolvedMention">
    <w:name w:val="Unresolved Mention"/>
    <w:basedOn w:val="DefaultParagraphFont"/>
    <w:uiPriority w:val="99"/>
    <w:semiHidden/>
    <w:unhideWhenUsed/>
    <w:rsid w:val="001F7793"/>
    <w:rPr>
      <w:color w:val="605E5C"/>
      <w:shd w:val="clear" w:color="auto" w:fill="E1DFDD"/>
    </w:rPr>
  </w:style>
  <w:style w:type="paragraph" w:styleId="NormalWeb">
    <w:name w:val="Normal (Web)"/>
    <w:basedOn w:val="Normal"/>
    <w:uiPriority w:val="99"/>
    <w:semiHidden/>
    <w:unhideWhenUsed/>
    <w:rsid w:val="0029074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17811">
      <w:bodyDiv w:val="1"/>
      <w:marLeft w:val="0"/>
      <w:marRight w:val="0"/>
      <w:marTop w:val="0"/>
      <w:marBottom w:val="0"/>
      <w:divBdr>
        <w:top w:val="none" w:sz="0" w:space="0" w:color="auto"/>
        <w:left w:val="none" w:sz="0" w:space="0" w:color="auto"/>
        <w:bottom w:val="none" w:sz="0" w:space="0" w:color="auto"/>
        <w:right w:val="none" w:sz="0" w:space="0" w:color="auto"/>
      </w:divBdr>
    </w:div>
    <w:div w:id="148979520">
      <w:bodyDiv w:val="1"/>
      <w:marLeft w:val="0"/>
      <w:marRight w:val="0"/>
      <w:marTop w:val="0"/>
      <w:marBottom w:val="0"/>
      <w:divBdr>
        <w:top w:val="none" w:sz="0" w:space="0" w:color="auto"/>
        <w:left w:val="none" w:sz="0" w:space="0" w:color="auto"/>
        <w:bottom w:val="none" w:sz="0" w:space="0" w:color="auto"/>
        <w:right w:val="none" w:sz="0" w:space="0" w:color="auto"/>
      </w:divBdr>
    </w:div>
    <w:div w:id="152918049">
      <w:bodyDiv w:val="1"/>
      <w:marLeft w:val="0"/>
      <w:marRight w:val="0"/>
      <w:marTop w:val="0"/>
      <w:marBottom w:val="0"/>
      <w:divBdr>
        <w:top w:val="none" w:sz="0" w:space="0" w:color="auto"/>
        <w:left w:val="none" w:sz="0" w:space="0" w:color="auto"/>
        <w:bottom w:val="none" w:sz="0" w:space="0" w:color="auto"/>
        <w:right w:val="none" w:sz="0" w:space="0" w:color="auto"/>
      </w:divBdr>
    </w:div>
    <w:div w:id="165829050">
      <w:bodyDiv w:val="1"/>
      <w:marLeft w:val="0"/>
      <w:marRight w:val="0"/>
      <w:marTop w:val="0"/>
      <w:marBottom w:val="0"/>
      <w:divBdr>
        <w:top w:val="none" w:sz="0" w:space="0" w:color="auto"/>
        <w:left w:val="none" w:sz="0" w:space="0" w:color="auto"/>
        <w:bottom w:val="none" w:sz="0" w:space="0" w:color="auto"/>
        <w:right w:val="none" w:sz="0" w:space="0" w:color="auto"/>
      </w:divBdr>
    </w:div>
    <w:div w:id="188489633">
      <w:bodyDiv w:val="1"/>
      <w:marLeft w:val="0"/>
      <w:marRight w:val="0"/>
      <w:marTop w:val="0"/>
      <w:marBottom w:val="0"/>
      <w:divBdr>
        <w:top w:val="none" w:sz="0" w:space="0" w:color="auto"/>
        <w:left w:val="none" w:sz="0" w:space="0" w:color="auto"/>
        <w:bottom w:val="none" w:sz="0" w:space="0" w:color="auto"/>
        <w:right w:val="none" w:sz="0" w:space="0" w:color="auto"/>
      </w:divBdr>
    </w:div>
    <w:div w:id="198050669">
      <w:bodyDiv w:val="1"/>
      <w:marLeft w:val="0"/>
      <w:marRight w:val="0"/>
      <w:marTop w:val="0"/>
      <w:marBottom w:val="0"/>
      <w:divBdr>
        <w:top w:val="none" w:sz="0" w:space="0" w:color="auto"/>
        <w:left w:val="none" w:sz="0" w:space="0" w:color="auto"/>
        <w:bottom w:val="none" w:sz="0" w:space="0" w:color="auto"/>
        <w:right w:val="none" w:sz="0" w:space="0" w:color="auto"/>
      </w:divBdr>
    </w:div>
    <w:div w:id="204485332">
      <w:bodyDiv w:val="1"/>
      <w:marLeft w:val="0"/>
      <w:marRight w:val="0"/>
      <w:marTop w:val="0"/>
      <w:marBottom w:val="0"/>
      <w:divBdr>
        <w:top w:val="none" w:sz="0" w:space="0" w:color="auto"/>
        <w:left w:val="none" w:sz="0" w:space="0" w:color="auto"/>
        <w:bottom w:val="none" w:sz="0" w:space="0" w:color="auto"/>
        <w:right w:val="none" w:sz="0" w:space="0" w:color="auto"/>
      </w:divBdr>
    </w:div>
    <w:div w:id="273828139">
      <w:bodyDiv w:val="1"/>
      <w:marLeft w:val="0"/>
      <w:marRight w:val="0"/>
      <w:marTop w:val="0"/>
      <w:marBottom w:val="0"/>
      <w:divBdr>
        <w:top w:val="none" w:sz="0" w:space="0" w:color="auto"/>
        <w:left w:val="none" w:sz="0" w:space="0" w:color="auto"/>
        <w:bottom w:val="none" w:sz="0" w:space="0" w:color="auto"/>
        <w:right w:val="none" w:sz="0" w:space="0" w:color="auto"/>
      </w:divBdr>
    </w:div>
    <w:div w:id="345131773">
      <w:bodyDiv w:val="1"/>
      <w:marLeft w:val="0"/>
      <w:marRight w:val="0"/>
      <w:marTop w:val="0"/>
      <w:marBottom w:val="0"/>
      <w:divBdr>
        <w:top w:val="none" w:sz="0" w:space="0" w:color="auto"/>
        <w:left w:val="none" w:sz="0" w:space="0" w:color="auto"/>
        <w:bottom w:val="none" w:sz="0" w:space="0" w:color="auto"/>
        <w:right w:val="none" w:sz="0" w:space="0" w:color="auto"/>
      </w:divBdr>
    </w:div>
    <w:div w:id="374355863">
      <w:bodyDiv w:val="1"/>
      <w:marLeft w:val="0"/>
      <w:marRight w:val="0"/>
      <w:marTop w:val="0"/>
      <w:marBottom w:val="0"/>
      <w:divBdr>
        <w:top w:val="none" w:sz="0" w:space="0" w:color="auto"/>
        <w:left w:val="none" w:sz="0" w:space="0" w:color="auto"/>
        <w:bottom w:val="none" w:sz="0" w:space="0" w:color="auto"/>
        <w:right w:val="none" w:sz="0" w:space="0" w:color="auto"/>
      </w:divBdr>
    </w:div>
    <w:div w:id="374887858">
      <w:bodyDiv w:val="1"/>
      <w:marLeft w:val="0"/>
      <w:marRight w:val="0"/>
      <w:marTop w:val="0"/>
      <w:marBottom w:val="0"/>
      <w:divBdr>
        <w:top w:val="none" w:sz="0" w:space="0" w:color="auto"/>
        <w:left w:val="none" w:sz="0" w:space="0" w:color="auto"/>
        <w:bottom w:val="none" w:sz="0" w:space="0" w:color="auto"/>
        <w:right w:val="none" w:sz="0" w:space="0" w:color="auto"/>
      </w:divBdr>
    </w:div>
    <w:div w:id="458962617">
      <w:bodyDiv w:val="1"/>
      <w:marLeft w:val="0"/>
      <w:marRight w:val="0"/>
      <w:marTop w:val="0"/>
      <w:marBottom w:val="0"/>
      <w:divBdr>
        <w:top w:val="none" w:sz="0" w:space="0" w:color="auto"/>
        <w:left w:val="none" w:sz="0" w:space="0" w:color="auto"/>
        <w:bottom w:val="none" w:sz="0" w:space="0" w:color="auto"/>
        <w:right w:val="none" w:sz="0" w:space="0" w:color="auto"/>
      </w:divBdr>
    </w:div>
    <w:div w:id="467356039">
      <w:bodyDiv w:val="1"/>
      <w:marLeft w:val="0"/>
      <w:marRight w:val="0"/>
      <w:marTop w:val="0"/>
      <w:marBottom w:val="0"/>
      <w:divBdr>
        <w:top w:val="none" w:sz="0" w:space="0" w:color="auto"/>
        <w:left w:val="none" w:sz="0" w:space="0" w:color="auto"/>
        <w:bottom w:val="none" w:sz="0" w:space="0" w:color="auto"/>
        <w:right w:val="none" w:sz="0" w:space="0" w:color="auto"/>
      </w:divBdr>
    </w:div>
    <w:div w:id="488443534">
      <w:bodyDiv w:val="1"/>
      <w:marLeft w:val="0"/>
      <w:marRight w:val="0"/>
      <w:marTop w:val="0"/>
      <w:marBottom w:val="0"/>
      <w:divBdr>
        <w:top w:val="none" w:sz="0" w:space="0" w:color="auto"/>
        <w:left w:val="none" w:sz="0" w:space="0" w:color="auto"/>
        <w:bottom w:val="none" w:sz="0" w:space="0" w:color="auto"/>
        <w:right w:val="none" w:sz="0" w:space="0" w:color="auto"/>
      </w:divBdr>
    </w:div>
    <w:div w:id="567959482">
      <w:bodyDiv w:val="1"/>
      <w:marLeft w:val="0"/>
      <w:marRight w:val="0"/>
      <w:marTop w:val="0"/>
      <w:marBottom w:val="0"/>
      <w:divBdr>
        <w:top w:val="none" w:sz="0" w:space="0" w:color="auto"/>
        <w:left w:val="none" w:sz="0" w:space="0" w:color="auto"/>
        <w:bottom w:val="none" w:sz="0" w:space="0" w:color="auto"/>
        <w:right w:val="none" w:sz="0" w:space="0" w:color="auto"/>
      </w:divBdr>
    </w:div>
    <w:div w:id="729426505">
      <w:bodyDiv w:val="1"/>
      <w:marLeft w:val="0"/>
      <w:marRight w:val="0"/>
      <w:marTop w:val="0"/>
      <w:marBottom w:val="0"/>
      <w:divBdr>
        <w:top w:val="none" w:sz="0" w:space="0" w:color="auto"/>
        <w:left w:val="none" w:sz="0" w:space="0" w:color="auto"/>
        <w:bottom w:val="none" w:sz="0" w:space="0" w:color="auto"/>
        <w:right w:val="none" w:sz="0" w:space="0" w:color="auto"/>
      </w:divBdr>
    </w:div>
    <w:div w:id="784497839">
      <w:bodyDiv w:val="1"/>
      <w:marLeft w:val="0"/>
      <w:marRight w:val="0"/>
      <w:marTop w:val="0"/>
      <w:marBottom w:val="0"/>
      <w:divBdr>
        <w:top w:val="none" w:sz="0" w:space="0" w:color="auto"/>
        <w:left w:val="none" w:sz="0" w:space="0" w:color="auto"/>
        <w:bottom w:val="none" w:sz="0" w:space="0" w:color="auto"/>
        <w:right w:val="none" w:sz="0" w:space="0" w:color="auto"/>
      </w:divBdr>
    </w:div>
    <w:div w:id="893274188">
      <w:bodyDiv w:val="1"/>
      <w:marLeft w:val="0"/>
      <w:marRight w:val="0"/>
      <w:marTop w:val="0"/>
      <w:marBottom w:val="0"/>
      <w:divBdr>
        <w:top w:val="none" w:sz="0" w:space="0" w:color="auto"/>
        <w:left w:val="none" w:sz="0" w:space="0" w:color="auto"/>
        <w:bottom w:val="none" w:sz="0" w:space="0" w:color="auto"/>
        <w:right w:val="none" w:sz="0" w:space="0" w:color="auto"/>
      </w:divBdr>
    </w:div>
    <w:div w:id="1080909574">
      <w:bodyDiv w:val="1"/>
      <w:marLeft w:val="0"/>
      <w:marRight w:val="0"/>
      <w:marTop w:val="0"/>
      <w:marBottom w:val="0"/>
      <w:divBdr>
        <w:top w:val="none" w:sz="0" w:space="0" w:color="auto"/>
        <w:left w:val="none" w:sz="0" w:space="0" w:color="auto"/>
        <w:bottom w:val="none" w:sz="0" w:space="0" w:color="auto"/>
        <w:right w:val="none" w:sz="0" w:space="0" w:color="auto"/>
      </w:divBdr>
    </w:div>
    <w:div w:id="1091511499">
      <w:bodyDiv w:val="1"/>
      <w:marLeft w:val="0"/>
      <w:marRight w:val="0"/>
      <w:marTop w:val="0"/>
      <w:marBottom w:val="0"/>
      <w:divBdr>
        <w:top w:val="none" w:sz="0" w:space="0" w:color="auto"/>
        <w:left w:val="none" w:sz="0" w:space="0" w:color="auto"/>
        <w:bottom w:val="none" w:sz="0" w:space="0" w:color="auto"/>
        <w:right w:val="none" w:sz="0" w:space="0" w:color="auto"/>
      </w:divBdr>
    </w:div>
    <w:div w:id="1262956036">
      <w:bodyDiv w:val="1"/>
      <w:marLeft w:val="0"/>
      <w:marRight w:val="0"/>
      <w:marTop w:val="0"/>
      <w:marBottom w:val="0"/>
      <w:divBdr>
        <w:top w:val="none" w:sz="0" w:space="0" w:color="auto"/>
        <w:left w:val="none" w:sz="0" w:space="0" w:color="auto"/>
        <w:bottom w:val="none" w:sz="0" w:space="0" w:color="auto"/>
        <w:right w:val="none" w:sz="0" w:space="0" w:color="auto"/>
      </w:divBdr>
    </w:div>
    <w:div w:id="1315067536">
      <w:bodyDiv w:val="1"/>
      <w:marLeft w:val="0"/>
      <w:marRight w:val="0"/>
      <w:marTop w:val="0"/>
      <w:marBottom w:val="0"/>
      <w:divBdr>
        <w:top w:val="none" w:sz="0" w:space="0" w:color="auto"/>
        <w:left w:val="none" w:sz="0" w:space="0" w:color="auto"/>
        <w:bottom w:val="none" w:sz="0" w:space="0" w:color="auto"/>
        <w:right w:val="none" w:sz="0" w:space="0" w:color="auto"/>
      </w:divBdr>
    </w:div>
    <w:div w:id="1316378266">
      <w:bodyDiv w:val="1"/>
      <w:marLeft w:val="0"/>
      <w:marRight w:val="0"/>
      <w:marTop w:val="0"/>
      <w:marBottom w:val="0"/>
      <w:divBdr>
        <w:top w:val="none" w:sz="0" w:space="0" w:color="auto"/>
        <w:left w:val="none" w:sz="0" w:space="0" w:color="auto"/>
        <w:bottom w:val="none" w:sz="0" w:space="0" w:color="auto"/>
        <w:right w:val="none" w:sz="0" w:space="0" w:color="auto"/>
      </w:divBdr>
    </w:div>
    <w:div w:id="1324235965">
      <w:bodyDiv w:val="1"/>
      <w:marLeft w:val="0"/>
      <w:marRight w:val="0"/>
      <w:marTop w:val="0"/>
      <w:marBottom w:val="0"/>
      <w:divBdr>
        <w:top w:val="none" w:sz="0" w:space="0" w:color="auto"/>
        <w:left w:val="none" w:sz="0" w:space="0" w:color="auto"/>
        <w:bottom w:val="none" w:sz="0" w:space="0" w:color="auto"/>
        <w:right w:val="none" w:sz="0" w:space="0" w:color="auto"/>
      </w:divBdr>
    </w:div>
    <w:div w:id="1362782662">
      <w:bodyDiv w:val="1"/>
      <w:marLeft w:val="0"/>
      <w:marRight w:val="0"/>
      <w:marTop w:val="0"/>
      <w:marBottom w:val="0"/>
      <w:divBdr>
        <w:top w:val="none" w:sz="0" w:space="0" w:color="auto"/>
        <w:left w:val="none" w:sz="0" w:space="0" w:color="auto"/>
        <w:bottom w:val="none" w:sz="0" w:space="0" w:color="auto"/>
        <w:right w:val="none" w:sz="0" w:space="0" w:color="auto"/>
      </w:divBdr>
    </w:div>
    <w:div w:id="1424380369">
      <w:bodyDiv w:val="1"/>
      <w:marLeft w:val="0"/>
      <w:marRight w:val="0"/>
      <w:marTop w:val="0"/>
      <w:marBottom w:val="0"/>
      <w:divBdr>
        <w:top w:val="none" w:sz="0" w:space="0" w:color="auto"/>
        <w:left w:val="none" w:sz="0" w:space="0" w:color="auto"/>
        <w:bottom w:val="none" w:sz="0" w:space="0" w:color="auto"/>
        <w:right w:val="none" w:sz="0" w:space="0" w:color="auto"/>
      </w:divBdr>
    </w:div>
    <w:div w:id="1433159522">
      <w:bodyDiv w:val="1"/>
      <w:marLeft w:val="0"/>
      <w:marRight w:val="0"/>
      <w:marTop w:val="0"/>
      <w:marBottom w:val="0"/>
      <w:divBdr>
        <w:top w:val="none" w:sz="0" w:space="0" w:color="auto"/>
        <w:left w:val="none" w:sz="0" w:space="0" w:color="auto"/>
        <w:bottom w:val="none" w:sz="0" w:space="0" w:color="auto"/>
        <w:right w:val="none" w:sz="0" w:space="0" w:color="auto"/>
      </w:divBdr>
    </w:div>
    <w:div w:id="1512454056">
      <w:bodyDiv w:val="1"/>
      <w:marLeft w:val="0"/>
      <w:marRight w:val="0"/>
      <w:marTop w:val="0"/>
      <w:marBottom w:val="0"/>
      <w:divBdr>
        <w:top w:val="none" w:sz="0" w:space="0" w:color="auto"/>
        <w:left w:val="none" w:sz="0" w:space="0" w:color="auto"/>
        <w:bottom w:val="none" w:sz="0" w:space="0" w:color="auto"/>
        <w:right w:val="none" w:sz="0" w:space="0" w:color="auto"/>
      </w:divBdr>
    </w:div>
    <w:div w:id="1513179118">
      <w:bodyDiv w:val="1"/>
      <w:marLeft w:val="0"/>
      <w:marRight w:val="0"/>
      <w:marTop w:val="0"/>
      <w:marBottom w:val="0"/>
      <w:divBdr>
        <w:top w:val="none" w:sz="0" w:space="0" w:color="auto"/>
        <w:left w:val="none" w:sz="0" w:space="0" w:color="auto"/>
        <w:bottom w:val="none" w:sz="0" w:space="0" w:color="auto"/>
        <w:right w:val="none" w:sz="0" w:space="0" w:color="auto"/>
      </w:divBdr>
    </w:div>
    <w:div w:id="1517303917">
      <w:bodyDiv w:val="1"/>
      <w:marLeft w:val="0"/>
      <w:marRight w:val="0"/>
      <w:marTop w:val="0"/>
      <w:marBottom w:val="0"/>
      <w:divBdr>
        <w:top w:val="none" w:sz="0" w:space="0" w:color="auto"/>
        <w:left w:val="none" w:sz="0" w:space="0" w:color="auto"/>
        <w:bottom w:val="none" w:sz="0" w:space="0" w:color="auto"/>
        <w:right w:val="none" w:sz="0" w:space="0" w:color="auto"/>
      </w:divBdr>
    </w:div>
    <w:div w:id="1713995052">
      <w:bodyDiv w:val="1"/>
      <w:marLeft w:val="0"/>
      <w:marRight w:val="0"/>
      <w:marTop w:val="0"/>
      <w:marBottom w:val="0"/>
      <w:divBdr>
        <w:top w:val="none" w:sz="0" w:space="0" w:color="auto"/>
        <w:left w:val="none" w:sz="0" w:space="0" w:color="auto"/>
        <w:bottom w:val="none" w:sz="0" w:space="0" w:color="auto"/>
        <w:right w:val="none" w:sz="0" w:space="0" w:color="auto"/>
      </w:divBdr>
    </w:div>
    <w:div w:id="1875919570">
      <w:bodyDiv w:val="1"/>
      <w:marLeft w:val="0"/>
      <w:marRight w:val="0"/>
      <w:marTop w:val="0"/>
      <w:marBottom w:val="0"/>
      <w:divBdr>
        <w:top w:val="none" w:sz="0" w:space="0" w:color="auto"/>
        <w:left w:val="none" w:sz="0" w:space="0" w:color="auto"/>
        <w:bottom w:val="none" w:sz="0" w:space="0" w:color="auto"/>
        <w:right w:val="none" w:sz="0" w:space="0" w:color="auto"/>
      </w:divBdr>
    </w:div>
    <w:div w:id="1884562763">
      <w:bodyDiv w:val="1"/>
      <w:marLeft w:val="0"/>
      <w:marRight w:val="0"/>
      <w:marTop w:val="0"/>
      <w:marBottom w:val="0"/>
      <w:divBdr>
        <w:top w:val="none" w:sz="0" w:space="0" w:color="auto"/>
        <w:left w:val="none" w:sz="0" w:space="0" w:color="auto"/>
        <w:bottom w:val="none" w:sz="0" w:space="0" w:color="auto"/>
        <w:right w:val="none" w:sz="0" w:space="0" w:color="auto"/>
      </w:divBdr>
    </w:div>
    <w:div w:id="1930890853">
      <w:bodyDiv w:val="1"/>
      <w:marLeft w:val="0"/>
      <w:marRight w:val="0"/>
      <w:marTop w:val="0"/>
      <w:marBottom w:val="0"/>
      <w:divBdr>
        <w:top w:val="none" w:sz="0" w:space="0" w:color="auto"/>
        <w:left w:val="none" w:sz="0" w:space="0" w:color="auto"/>
        <w:bottom w:val="none" w:sz="0" w:space="0" w:color="auto"/>
        <w:right w:val="none" w:sz="0" w:space="0" w:color="auto"/>
      </w:divBdr>
    </w:div>
    <w:div w:id="2005358235">
      <w:bodyDiv w:val="1"/>
      <w:marLeft w:val="0"/>
      <w:marRight w:val="0"/>
      <w:marTop w:val="0"/>
      <w:marBottom w:val="0"/>
      <w:divBdr>
        <w:top w:val="none" w:sz="0" w:space="0" w:color="auto"/>
        <w:left w:val="none" w:sz="0" w:space="0" w:color="auto"/>
        <w:bottom w:val="none" w:sz="0" w:space="0" w:color="auto"/>
        <w:right w:val="none" w:sz="0" w:space="0" w:color="auto"/>
      </w:divBdr>
    </w:div>
    <w:div w:id="209350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10</Pages>
  <Words>2664</Words>
  <Characters>16412</Characters>
  <Application>Microsoft Office Word</Application>
  <DocSecurity>0</DocSecurity>
  <Lines>302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65</cp:revision>
  <dcterms:created xsi:type="dcterms:W3CDTF">2025-03-30T16:41:00Z</dcterms:created>
  <dcterms:modified xsi:type="dcterms:W3CDTF">2025-03-30T19:28:00Z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b474caff-af38-4181-adf0-340b0d8252e8</vt:lpwstr>
  </property>
</Properties>
</file>