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E599" w:themeColor="accent4" w:themeTint="66"/>
  <w:body>
    <w:p w:rsidR="00494001" w:rsidRDefault="00494001" w:rsidP="00494001">
      <w:bookmarkStart w:id="0" w:name="_GoBack"/>
      <w:bookmarkEnd w:id="0"/>
    </w:p>
    <w:p w:rsidR="00494001" w:rsidRDefault="003C12D1" w:rsidP="00494001">
      <w:r w:rsidRPr="00D464A7">
        <w:t xml:space="preserve">Court and Society </w:t>
      </w:r>
    </w:p>
    <w:p w:rsidR="003C12D1" w:rsidRPr="00D464A7" w:rsidRDefault="00494001" w:rsidP="00494001">
      <w:r>
        <w:t>P</w:t>
      </w:r>
      <w:r w:rsidR="003C12D1" w:rsidRPr="00D464A7">
        <w:t xml:space="preserve">roposed actions to be taken </w:t>
      </w:r>
      <w:r w:rsidR="00B74DA2" w:rsidRPr="00D464A7">
        <w:t>during</w:t>
      </w:r>
      <w:r w:rsidR="003C12D1" w:rsidRPr="00D464A7">
        <w:t xml:space="preserve"> the model based on historical precedent and an analysis of the outcome of those actions.</w:t>
      </w:r>
    </w:p>
    <w:p w:rsidR="003C12D1" w:rsidRPr="00D464A7" w:rsidRDefault="003C12D1" w:rsidP="00494001">
      <w:r w:rsidRPr="00D464A7">
        <w:t>The character Berenice the Younger was the daughter of Berenice the Elder and Ptolemy III, and the sister of Arsinoe and Ptolemy IV.</w:t>
      </w:r>
      <w:r w:rsidR="00B20348" w:rsidRPr="00D464A7">
        <w:rPr>
          <w:rStyle w:val="FootnoteReference"/>
        </w:rPr>
        <w:footnoteReference w:id="1"/>
      </w:r>
      <w:r w:rsidR="00B20348" w:rsidRPr="00D464A7">
        <w:t xml:space="preserve"> The character</w:t>
      </w:r>
      <w:r w:rsidRPr="00D464A7">
        <w:t xml:space="preserve"> was born</w:t>
      </w:r>
      <w:r w:rsidRPr="00D464A7">
        <w:t xml:space="preserve"> in</w:t>
      </w:r>
      <w:r w:rsidRPr="00D464A7">
        <w:t xml:space="preserve"> 243</w:t>
      </w:r>
      <w:r w:rsidR="00B20348" w:rsidRPr="00D464A7">
        <w:t xml:space="preserve">. </w:t>
      </w:r>
      <w:r w:rsidR="00B20348" w:rsidRPr="00D464A7">
        <w:t>The character</w:t>
      </w:r>
      <w:r w:rsidR="00B20348" w:rsidRPr="00D464A7">
        <w:t>’s birth year was moved by</w:t>
      </w:r>
      <w:r w:rsidR="00B20348" w:rsidRPr="00D464A7">
        <w:t xml:space="preserve"> four years to make her a modern adult.</w:t>
      </w:r>
    </w:p>
    <w:p w:rsidR="00B20348" w:rsidRPr="00D464A7" w:rsidRDefault="00B20348" w:rsidP="00494001"/>
    <w:p w:rsidR="00084F9D" w:rsidRPr="00D464A7" w:rsidRDefault="003C12D1" w:rsidP="00494001">
      <w:r w:rsidRPr="00D464A7">
        <w:t>Marriage</w:t>
      </w:r>
    </w:p>
    <w:p w:rsidR="003C12D1" w:rsidRPr="00D464A7" w:rsidRDefault="003C12D1" w:rsidP="00494001">
      <w:r w:rsidRPr="00D464A7">
        <w:t xml:space="preserve">At the start of the module, </w:t>
      </w:r>
      <w:r w:rsidRPr="00D464A7">
        <w:t xml:space="preserve">Berenice the Younger </w:t>
      </w:r>
      <w:r w:rsidRPr="00D464A7">
        <w:t>was</w:t>
      </w:r>
      <w:r w:rsidRPr="00D464A7">
        <w:t xml:space="preserve"> married to Eumenes II</w:t>
      </w:r>
      <w:r w:rsidRPr="00D464A7">
        <w:t xml:space="preserve"> of Antioch. This took place in Alexandria, in 255 BC. Berenice the character was 18, but her historical counterpart would have been 14, </w:t>
      </w:r>
      <w:r w:rsidRPr="00D464A7">
        <w:t xml:space="preserve">the more common </w:t>
      </w:r>
      <w:r w:rsidRPr="00D464A7">
        <w:t xml:space="preserve">age at first marriage. </w:t>
      </w:r>
    </w:p>
    <w:p w:rsidR="00382818" w:rsidRPr="00D464A7" w:rsidRDefault="00382818" w:rsidP="00494001">
      <w:r w:rsidRPr="00D464A7">
        <w:t xml:space="preserve">Egypt did not traditionally require a ceremony, religious or legal, to cement marriage. Wedding celebrations, however, commonly involved a procession and lasted well into the night.Egyptian wives retained their independence and ability to administer money; one text from Ptolemaic Egypt records a formal loan with a hefty interest rate, money loaned from a wife to her husband. </w:t>
      </w:r>
    </w:p>
    <w:p w:rsidR="00382818" w:rsidRPr="00D464A7" w:rsidRDefault="00382818" w:rsidP="00494001">
      <w:r w:rsidRPr="00D464A7">
        <w:t xml:space="preserve">Marriage ended with death or divorce: a widow had the right to inherit one third of her husband's property. Remarriage after widowhood was very common, and some funerary stelae record three or four marriages. Divorce was private and not state regulated, as marriage was, and marriage could be effectively be ended at will. Where a marriage contract had been created, it had to be honoured, and there were legal methods to resolve disputes over the division of property upon divorce. These were rare, however. After divorce, both parties could remarry at will. </w:t>
      </w:r>
    </w:p>
    <w:p w:rsidR="00382818" w:rsidRPr="00D464A7" w:rsidRDefault="00382818" w:rsidP="00494001">
      <w:r w:rsidRPr="00D464A7">
        <w:t xml:space="preserve">Robins </w:t>
      </w:r>
      <w:r w:rsidR="00D464A7" w:rsidRPr="00D464A7">
        <w:t>corroborates this, citing the</w:t>
      </w:r>
      <w:r w:rsidRPr="00D464A7">
        <w:t xml:space="preserve"> lack of any mention in sources of any "legal or religious ceremony to formalise a marriage"</w:t>
      </w:r>
      <w:r w:rsidR="00D464A7" w:rsidRPr="00D464A7">
        <w:t xml:space="preserve">. </w:t>
      </w:r>
      <w:r w:rsidRPr="00D464A7">
        <w:t xml:space="preserve">The important part </w:t>
      </w:r>
      <w:r w:rsidR="00D464A7" w:rsidRPr="00D464A7">
        <w:t xml:space="preserve">in ancient Egypt </w:t>
      </w:r>
      <w:r w:rsidRPr="00D464A7">
        <w:t xml:space="preserve">is cohabitation; Robins gives the Egyptian terms usually taken to indicate marriage are more literally "to establish a household" </w:t>
      </w:r>
      <w:r w:rsidR="00D464A7" w:rsidRPr="00D464A7">
        <w:t xml:space="preserve">and </w:t>
      </w:r>
      <w:r w:rsidRPr="00D464A7">
        <w:t>"to live together"</w:t>
      </w:r>
      <w:r w:rsidR="00D464A7" w:rsidRPr="00D464A7">
        <w:t xml:space="preserve">. </w:t>
      </w:r>
      <w:r w:rsidRPr="00D464A7">
        <w:t>Divorce is described as "expulsion" and "departure"</w:t>
      </w:r>
      <w:r w:rsidR="00D464A7" w:rsidRPr="00D464A7">
        <w:rPr>
          <w:rStyle w:val="FootnoteReference"/>
        </w:rPr>
        <w:footnoteReference w:id="2"/>
      </w:r>
    </w:p>
    <w:p w:rsidR="00A46688" w:rsidRPr="00D464A7" w:rsidRDefault="00D464A7" w:rsidP="00494001">
      <w:r w:rsidRPr="00D464A7">
        <w:t>The marriage of Berenice and Eumenes II of Antioch</w:t>
      </w:r>
      <w:r w:rsidR="003C12D1" w:rsidRPr="00D464A7">
        <w:t xml:space="preserve"> was a political marriage, which happened commonly in the period following the death of Alexander </w:t>
      </w:r>
      <w:r w:rsidR="00B20348" w:rsidRPr="00D464A7">
        <w:t xml:space="preserve">the Great. The character’s historical aunt, </w:t>
      </w:r>
      <w:r w:rsidR="00D14B75" w:rsidRPr="00D464A7">
        <w:t>Berenike the daughter of Ptolemy II</w:t>
      </w:r>
      <w:r w:rsidR="00B20348" w:rsidRPr="00D464A7">
        <w:t>,</w:t>
      </w:r>
      <w:r w:rsidR="00D14B75" w:rsidRPr="00D464A7">
        <w:t xml:space="preserve"> was married to Antiochus II</w:t>
      </w:r>
      <w:r w:rsidR="00A46688" w:rsidRPr="00D464A7">
        <w:t xml:space="preserve"> as part of dipl</w:t>
      </w:r>
      <w:r w:rsidR="00B74DA2" w:rsidRPr="00D464A7">
        <w:t>omatic relations with the Seleuc</w:t>
      </w:r>
      <w:r w:rsidR="00A46688" w:rsidRPr="00D464A7">
        <w:t>ids.</w:t>
      </w:r>
      <w:r w:rsidR="00C3665F" w:rsidRPr="00D464A7">
        <w:rPr>
          <w:rStyle w:val="FootnoteReference"/>
        </w:rPr>
        <w:footnoteReference w:id="3"/>
      </w:r>
      <w:r w:rsidR="00C3665F" w:rsidRPr="00D464A7">
        <w:rPr>
          <w:rStyle w:val="FootnoteReference"/>
        </w:rPr>
        <w:footnoteReference w:id="4"/>
      </w:r>
      <w:r w:rsidR="00B20348" w:rsidRPr="00D464A7">
        <w:t xml:space="preserve"> </w:t>
      </w:r>
      <w:r w:rsidR="00B20348" w:rsidRPr="00D464A7">
        <w:t>The name Berenice has Berenike as a variant spelling, which is used here to avoid confus</w:t>
      </w:r>
      <w:r w:rsidR="00B20348" w:rsidRPr="00D464A7">
        <w:t>ion between aunt and niece.</w:t>
      </w:r>
    </w:p>
    <w:p w:rsidR="00C3665F" w:rsidRPr="00D464A7" w:rsidRDefault="00B20348" w:rsidP="00494001">
      <w:r w:rsidRPr="00D464A7">
        <w:t xml:space="preserve">The character </w:t>
      </w:r>
      <w:r w:rsidRPr="00D464A7">
        <w:t>Berenice had a</w:t>
      </w:r>
      <w:r w:rsidRPr="00D464A7">
        <w:t xml:space="preserve"> dowry of five ships and 360 silver talents. </w:t>
      </w:r>
      <w:r w:rsidR="00A46688" w:rsidRPr="00D464A7">
        <w:t>B</w:t>
      </w:r>
      <w:r w:rsidRPr="00D464A7">
        <w:t>erenik</w:t>
      </w:r>
      <w:r w:rsidR="00A46688" w:rsidRPr="00D464A7">
        <w:t>e when she married Antiochus II had a vast dowry of silver and gold, which gave her the epithet Phernophorus, "the dowry bringer"</w:t>
      </w:r>
      <w:r w:rsidRPr="00D464A7">
        <w:t>.</w:t>
      </w:r>
      <w:r w:rsidR="00C3665F" w:rsidRPr="00D464A7">
        <w:rPr>
          <w:rStyle w:val="FootnoteReference"/>
        </w:rPr>
        <w:footnoteReference w:id="5"/>
      </w:r>
      <w:r w:rsidRPr="00D464A7">
        <w:t xml:space="preserve"> When</w:t>
      </w:r>
      <w:r w:rsidR="00A46688" w:rsidRPr="00D464A7">
        <w:t xml:space="preserve"> Berenice II married Ptolemy III, </w:t>
      </w:r>
      <w:r w:rsidRPr="00D464A7">
        <w:t>she</w:t>
      </w:r>
      <w:r w:rsidR="00A46688" w:rsidRPr="00D464A7">
        <w:t xml:space="preserve"> brought Cyrene as her dowry, which shared its association with perfumes with her.</w:t>
      </w:r>
      <w:r w:rsidRPr="00D464A7">
        <w:t xml:space="preserve"> </w:t>
      </w:r>
      <w:r w:rsidR="00C3665F" w:rsidRPr="00D464A7">
        <w:rPr>
          <w:rStyle w:val="FootnoteReference"/>
        </w:rPr>
        <w:footnoteReference w:id="6"/>
      </w:r>
    </w:p>
    <w:p w:rsidR="00C3665F" w:rsidRPr="00D464A7" w:rsidRDefault="00C3665F" w:rsidP="00494001">
      <w:r w:rsidRPr="00D464A7">
        <w:lastRenderedPageBreak/>
        <w:t>These actions had relatively little impact; the marriage sealed an agreement with Antioch, and the dowry enabled Berenice to move freely.</w:t>
      </w:r>
    </w:p>
    <w:p w:rsidR="00A46688" w:rsidRPr="00D464A7" w:rsidRDefault="00A46688" w:rsidP="00494001"/>
    <w:p w:rsidR="003C12D1" w:rsidRPr="00D464A7" w:rsidRDefault="003C12D1" w:rsidP="00494001">
      <w:r w:rsidRPr="00D464A7">
        <w:t>223</w:t>
      </w:r>
    </w:p>
    <w:p w:rsidR="003C12D1" w:rsidRPr="00D464A7" w:rsidRDefault="003C12D1" w:rsidP="00494001">
      <w:r w:rsidRPr="00D464A7">
        <w:t xml:space="preserve">Ptolemy III died and a grand procession was held. </w:t>
      </w:r>
    </w:p>
    <w:p w:rsidR="00A46688" w:rsidRPr="00D464A7" w:rsidRDefault="00A46688" w:rsidP="00494001"/>
    <w:p w:rsidR="003C12D1" w:rsidRPr="00D464A7" w:rsidRDefault="003C12D1" w:rsidP="00494001">
      <w:r w:rsidRPr="00D464A7">
        <w:t>222 Week 2</w:t>
      </w:r>
    </w:p>
    <w:p w:rsidR="003C12D1" w:rsidRPr="00D464A7" w:rsidRDefault="003C12D1" w:rsidP="00494001">
      <w:pPr>
        <w:rPr>
          <w:rFonts w:asciiTheme="majorHAnsi" w:eastAsiaTheme="majorEastAsia" w:hAnsiTheme="majorHAnsi" w:cstheme="majorBidi"/>
          <w:color w:val="1F3763" w:themeColor="accent1" w:themeShade="7F"/>
          <w:sz w:val="24"/>
          <w:szCs w:val="24"/>
        </w:rPr>
      </w:pPr>
      <w:r w:rsidRPr="00D464A7">
        <w:t>Berenice returned from Laodike with the whole army; invasion cancelled because Alexandria is revolting. Berenice is 6mths pregnant. Eumenes II tried and failed to poison Ptolemy IV, was caught and executed. Berenice gave birth to Ptolemy Eumenes. B travelled to inform father-in-law Attalus of the death of his son and the birth of his grandson; Attalus apologised and asked for the body, which was sent. Attalus offered sanctuary should B and child need it, involving Berenice becoming a priestess. Pergamese princess Artemisia offered to adopt son</w:t>
      </w:r>
    </w:p>
    <w:p w:rsidR="003C12D1" w:rsidRPr="00D464A7" w:rsidRDefault="003C12D1" w:rsidP="00494001">
      <w:r w:rsidRPr="00D464A7">
        <w:t>220</w:t>
      </w:r>
    </w:p>
    <w:p w:rsidR="003C12D1" w:rsidRPr="00D464A7" w:rsidRDefault="00C3665F" w:rsidP="00494001">
      <w:r w:rsidRPr="00D464A7">
        <w:t>Ptolemy IV has a son</w:t>
      </w:r>
      <w:r w:rsidR="003C12D1" w:rsidRPr="00D464A7">
        <w:t xml:space="preserve">. </w:t>
      </w:r>
      <w:r w:rsidRPr="00D464A7">
        <w:t xml:space="preserve">Zeno Costos, a high official of Alexandria </w:t>
      </w:r>
      <w:r w:rsidR="003C12D1" w:rsidRPr="00D464A7">
        <w:t>was named regent for the child should Pt</w:t>
      </w:r>
      <w:r w:rsidR="00B74DA2" w:rsidRPr="00D464A7">
        <w:t>olemy</w:t>
      </w:r>
      <w:r w:rsidR="003C12D1" w:rsidRPr="00D464A7">
        <w:t xml:space="preserve"> IV die. </w:t>
      </w:r>
    </w:p>
    <w:p w:rsidR="003C12D1" w:rsidRPr="00D464A7" w:rsidRDefault="003C12D1" w:rsidP="00494001">
      <w:r w:rsidRPr="00D464A7">
        <w:t xml:space="preserve">219 </w:t>
      </w:r>
    </w:p>
    <w:p w:rsidR="003C12D1" w:rsidRPr="00D464A7" w:rsidRDefault="003C12D1" w:rsidP="00494001">
      <w:r w:rsidRPr="00D464A7">
        <w:t xml:space="preserve">Berenice the Younger is married to Zeno Costos (Mikey) with a festival and a procession. </w:t>
      </w:r>
    </w:p>
    <w:p w:rsidR="0049313E" w:rsidRPr="00D464A7" w:rsidRDefault="0049313E" w:rsidP="00494001">
      <w:r w:rsidRPr="00D464A7">
        <w:t>This means that Berenice and her husband would rule for the young king if something happened to the current king.</w:t>
      </w:r>
    </w:p>
    <w:p w:rsidR="003C12D1" w:rsidRPr="00D464A7" w:rsidRDefault="003C12D1" w:rsidP="00494001">
      <w:r w:rsidRPr="00D464A7">
        <w:t>Ptolemy IV takes custody of B’s son Ptolemy Eumenes, and refuses to let B</w:t>
      </w:r>
      <w:r w:rsidR="0049313E" w:rsidRPr="00D464A7">
        <w:t>erenice</w:t>
      </w:r>
      <w:r w:rsidRPr="00D464A7">
        <w:t xml:space="preserve"> see him. Fearing for her child’s life, B</w:t>
      </w:r>
      <w:r w:rsidR="0049313E" w:rsidRPr="00D464A7">
        <w:t>erenice</w:t>
      </w:r>
      <w:r w:rsidRPr="00D464A7">
        <w:t xml:space="preserve"> swaps him out for a body double. </w:t>
      </w:r>
      <w:r w:rsidR="0049313E" w:rsidRPr="00D464A7">
        <w:t>Three-year-old</w:t>
      </w:r>
      <w:r w:rsidRPr="00D464A7">
        <w:t xml:space="preserve"> Ptolemy Eumenes is hidden with his aunt Artemisia of Pergamum, who adopts him and intends to marry him to a Seleucid Princess, to make him heir to both Ptolemaic and Seleucid Empires and to Antioch. </w:t>
      </w:r>
    </w:p>
    <w:p w:rsidR="00C3665F" w:rsidRPr="00D464A7" w:rsidRDefault="0049313E" w:rsidP="00494001">
      <w:r w:rsidRPr="00D464A7">
        <w:t>Adoption was socially acceptable, often used in cases where a couple had no children of their own</w:t>
      </w:r>
      <w:r w:rsidRPr="00D464A7">
        <w:t>.</w:t>
      </w:r>
      <w:r w:rsidR="00E55812" w:rsidRPr="00D464A7">
        <w:rPr>
          <w:rStyle w:val="FootnoteReference"/>
        </w:rPr>
        <w:footnoteReference w:id="7"/>
      </w:r>
      <w:r w:rsidRPr="00D464A7">
        <w:t xml:space="preserve"> Ptolemy Eumenes was the only son of the first prince of Antioch, and adoption by the second prince and his wife Artemisia would have reinforced that as their legal heir. As the son of a Ptolemaic princess, he would have been a viable heir to Egypt, and a possible complication to the inheritance of Ptolemy IV’s son.</w:t>
      </w:r>
    </w:p>
    <w:p w:rsidR="0049313E" w:rsidRPr="00D464A7" w:rsidRDefault="003C12D1" w:rsidP="00494001">
      <w:r w:rsidRPr="00D464A7">
        <w:t xml:space="preserve">Arsinoe and Berenice the Elder fall ill, and </w:t>
      </w:r>
      <w:r w:rsidR="0049313E" w:rsidRPr="00D464A7">
        <w:t xml:space="preserve">Berenice takes the opportunity to poison them. They die, and the </w:t>
      </w:r>
      <w:r w:rsidRPr="00D464A7">
        <w:t xml:space="preserve">fake Ptolemy Eumenes dies the same way. A funeral is held. </w:t>
      </w:r>
      <w:r w:rsidR="00E55812" w:rsidRPr="00D464A7">
        <w:t>This removes the likelihood of the fake being discovered, and removed the likelihood of Arsinoe being regent upon Ptolemy IV’s death.</w:t>
      </w:r>
    </w:p>
    <w:p w:rsidR="003C12D1" w:rsidRPr="00D464A7" w:rsidRDefault="003C12D1" w:rsidP="00494001">
      <w:r w:rsidRPr="00D464A7">
        <w:t>B</w:t>
      </w:r>
      <w:r w:rsidR="00C3665F" w:rsidRPr="00D464A7">
        <w:t>erenice is 3 months</w:t>
      </w:r>
      <w:r w:rsidR="00E55812" w:rsidRPr="00D464A7">
        <w:t xml:space="preserve"> pregnant with her second child.</w:t>
      </w:r>
    </w:p>
    <w:p w:rsidR="003C12D1" w:rsidRPr="00D464A7" w:rsidRDefault="003C12D1" w:rsidP="00494001">
      <w:r w:rsidRPr="00D464A7">
        <w:t>Berenice receives 100 talents to upgrade her bodyguard from Artemisia in Antioch, and does so.</w:t>
      </w:r>
    </w:p>
    <w:p w:rsidR="003C12D1" w:rsidRPr="00D464A7" w:rsidRDefault="003C12D1" w:rsidP="00494001"/>
    <w:p w:rsidR="003C12D1" w:rsidRPr="00D464A7" w:rsidRDefault="003C12D1" w:rsidP="00494001">
      <w:r w:rsidRPr="00D464A7">
        <w:lastRenderedPageBreak/>
        <w:t>218</w:t>
      </w:r>
    </w:p>
    <w:p w:rsidR="003C12D1" w:rsidRPr="00D464A7" w:rsidRDefault="003C12D1" w:rsidP="00494001">
      <w:r w:rsidRPr="00D464A7">
        <w:t>Berenice’s second son is born</w:t>
      </w:r>
      <w:r w:rsidR="00C3665F" w:rsidRPr="00D464A7">
        <w:t>, Ptolemy Alexander.</w:t>
      </w:r>
      <w:r w:rsidR="00E55812" w:rsidRPr="00D464A7">
        <w:t xml:space="preserve"> This child is also a potential Ptolemaic heir.</w:t>
      </w:r>
    </w:p>
    <w:p w:rsidR="00382818" w:rsidRPr="00D464A7" w:rsidRDefault="003C12D1" w:rsidP="00494001">
      <w:r w:rsidRPr="00D464A7">
        <w:t>Ptolemy IV’s Persian-Medean wife dies in childbirth, as does the child. The poison helped. Berenice tells her brother his wife died in childbirth</w:t>
      </w:r>
      <w:r w:rsidR="00E55812" w:rsidRPr="00D464A7">
        <w:t>, which was a common risk. This meant that the expected set up of regencies after the death of Ptolemy IV did not change.</w:t>
      </w:r>
      <w:r w:rsidR="00382818" w:rsidRPr="00D464A7">
        <w:t xml:space="preserve"> </w:t>
      </w:r>
      <w:r w:rsidR="00382818" w:rsidRPr="00D464A7">
        <w:t xml:space="preserve">Childbirth and midwifery were exclusive to women; males were not involved in care or delivery of a pregnant woman.  A child was named immediately after birth by the mother, to avoid a babe dying without a name. </w:t>
      </w:r>
      <w:r w:rsidR="00382818" w:rsidRPr="00D464A7">
        <w:rPr>
          <w:rStyle w:val="FootnoteReference"/>
        </w:rPr>
        <w:footnoteReference w:id="8"/>
      </w:r>
    </w:p>
    <w:p w:rsidR="003C12D1" w:rsidRPr="00D464A7" w:rsidRDefault="003C12D1" w:rsidP="00494001"/>
    <w:p w:rsidR="003C12D1" w:rsidRPr="00D464A7" w:rsidRDefault="003C12D1" w:rsidP="00494001">
      <w:r w:rsidRPr="00D464A7">
        <w:t>215</w:t>
      </w:r>
    </w:p>
    <w:p w:rsidR="003C12D1" w:rsidRPr="00D464A7" w:rsidRDefault="003C12D1" w:rsidP="00494001">
      <w:r w:rsidRPr="00D464A7">
        <w:t xml:space="preserve">Alexandria revolts and burns down 40% of the city. Berenice removes herself to safer parts of Egypt. </w:t>
      </w:r>
      <w:r w:rsidR="00E55812" w:rsidRPr="00D464A7">
        <w:t xml:space="preserve">Alexandria </w:t>
      </w:r>
      <w:r w:rsidRPr="00D464A7">
        <w:t xml:space="preserve">throw a Ptolemiai festival, </w:t>
      </w:r>
      <w:r w:rsidR="00E55812" w:rsidRPr="00D464A7">
        <w:t>which Berenice attends.</w:t>
      </w:r>
    </w:p>
    <w:p w:rsidR="003C12D1" w:rsidRPr="00D464A7" w:rsidRDefault="003C12D1" w:rsidP="00494001">
      <w:r w:rsidRPr="00D464A7">
        <w:t>Ptolemy IV inadvisably overindulges in opium and becomes ill; B</w:t>
      </w:r>
      <w:r w:rsidR="00E55812" w:rsidRPr="00D464A7">
        <w:t>erenice</w:t>
      </w:r>
      <w:r w:rsidR="0077534F" w:rsidRPr="00D464A7">
        <w:t xml:space="preserve"> takes the opportunity to poison him</w:t>
      </w:r>
      <w:r w:rsidRPr="00D464A7">
        <w:t xml:space="preserve"> </w:t>
      </w:r>
      <w:r w:rsidR="0077534F" w:rsidRPr="00D464A7">
        <w:t>and causes his death. This causes Ptolemy V to succeed his father.</w:t>
      </w:r>
      <w:r w:rsidRPr="00D464A7">
        <w:t xml:space="preserve"> </w:t>
      </w:r>
    </w:p>
    <w:p w:rsidR="003C12D1" w:rsidRPr="00D464A7" w:rsidRDefault="003C12D1" w:rsidP="00494001">
      <w:r w:rsidRPr="00D464A7">
        <w:t>The character Berenike becomes regent in 215 for the young Ptolemy V alongside h</w:t>
      </w:r>
      <w:r w:rsidR="0077534F" w:rsidRPr="00D464A7">
        <w:t xml:space="preserve">er second husband, Zeno Costas. Regency is standard practice for an underage ruler, and there are many examples of female regency. Tydesley gives three in her article on the Cleopatras: </w:t>
      </w:r>
      <w:r w:rsidRPr="00D464A7">
        <w:t xml:space="preserve">Cleopatra I acted as guardian and coregent for her son Ptolemy VI, who was five </w:t>
      </w:r>
      <w:r w:rsidR="0077534F" w:rsidRPr="00D464A7">
        <w:t>when his father Ptolemy V died.</w:t>
      </w:r>
      <w:r w:rsidR="00E55812" w:rsidRPr="00D464A7">
        <w:rPr>
          <w:rStyle w:val="FootnoteReference"/>
        </w:rPr>
        <w:footnoteReference w:id="9"/>
      </w:r>
      <w:r w:rsidR="0077534F" w:rsidRPr="00D464A7">
        <w:t xml:space="preserve"> </w:t>
      </w:r>
      <w:r w:rsidRPr="00D464A7">
        <w:t xml:space="preserve">Cleopatra III acted as regent for her sons Ptolemy IX and Ptolemy X, and acted as </w:t>
      </w:r>
      <w:r w:rsidR="0077534F" w:rsidRPr="00D464A7">
        <w:t>coruler with Ptolemy X until her death</w:t>
      </w:r>
      <w:r w:rsidRPr="00D464A7">
        <w:t>.</w:t>
      </w:r>
      <w:r w:rsidR="00E55812" w:rsidRPr="00D464A7">
        <w:rPr>
          <w:rStyle w:val="FootnoteReference"/>
        </w:rPr>
        <w:footnoteReference w:id="10"/>
      </w:r>
      <w:r w:rsidR="0077534F" w:rsidRPr="00D464A7">
        <w:t xml:space="preserve"> </w:t>
      </w:r>
      <w:r w:rsidRPr="00D464A7">
        <w:t xml:space="preserve">Cleopatra VII ruled alongside her younger brother, but the age difference between them meant that Cleopatra was effectively sole ruler. She later repeated this after her death with the next brother, </w:t>
      </w:r>
      <w:r w:rsidR="00B74DA2" w:rsidRPr="00D464A7">
        <w:t>eleven-year-old</w:t>
      </w:r>
      <w:r w:rsidRPr="00D464A7">
        <w:t xml:space="preserve"> Ptolemy XIV.</w:t>
      </w:r>
      <w:r w:rsidR="00E55812" w:rsidRPr="00D464A7">
        <w:rPr>
          <w:rStyle w:val="FootnoteReference"/>
        </w:rPr>
        <w:footnoteReference w:id="11"/>
      </w:r>
    </w:p>
    <w:p w:rsidR="003C12D1" w:rsidRPr="00D464A7" w:rsidRDefault="003C12D1" w:rsidP="00494001"/>
    <w:p w:rsidR="003C12D1" w:rsidRPr="00D464A7" w:rsidRDefault="003C12D1" w:rsidP="00494001">
      <w:r w:rsidRPr="00D464A7">
        <w:t>214</w:t>
      </w:r>
    </w:p>
    <w:p w:rsidR="0077534F" w:rsidRPr="00D464A7" w:rsidRDefault="003C12D1" w:rsidP="00494001">
      <w:r w:rsidRPr="00D464A7">
        <w:t>Upper Egypt rebels</w:t>
      </w:r>
      <w:r w:rsidR="0077534F" w:rsidRPr="00D464A7">
        <w:t>, primarily caused by conflict between Greek and native Egyptians</w:t>
      </w:r>
      <w:r w:rsidRPr="00D464A7">
        <w:t>.</w:t>
      </w:r>
      <w:r w:rsidR="0077534F" w:rsidRPr="00D464A7">
        <w:t xml:space="preserve"> With most of the army out of the country, negotiations are used to solve the rebellion.</w:t>
      </w:r>
      <w:r w:rsidRPr="00D464A7">
        <w:t xml:space="preserve"> B</w:t>
      </w:r>
      <w:r w:rsidR="0077534F" w:rsidRPr="00D464A7">
        <w:t>erenice</w:t>
      </w:r>
      <w:r w:rsidRPr="00D464A7">
        <w:t xml:space="preserve"> marries the ringleader</w:t>
      </w:r>
      <w:r w:rsidR="0077534F" w:rsidRPr="00D464A7">
        <w:t>, the priest</w:t>
      </w:r>
      <w:r w:rsidRPr="00D464A7">
        <w:t xml:space="preserve"> Imhotep (Troy), which pacifies the revolt but </w:t>
      </w:r>
      <w:r w:rsidR="0077534F" w:rsidRPr="00D464A7">
        <w:t>gives</w:t>
      </w:r>
      <w:r w:rsidRPr="00D464A7">
        <w:t xml:space="preserve"> Egypt</w:t>
      </w:r>
      <w:r w:rsidR="0077534F" w:rsidRPr="00D464A7">
        <w:t xml:space="preserve"> two kings.</w:t>
      </w:r>
      <w:r w:rsidRPr="00D464A7">
        <w:t xml:space="preserve"> Berenice </w:t>
      </w:r>
      <w:r w:rsidR="0077534F" w:rsidRPr="00D464A7">
        <w:t>remains the Queen of</w:t>
      </w:r>
      <w:r w:rsidRPr="00D464A7">
        <w:t xml:space="preserve"> Egypt, </w:t>
      </w:r>
      <w:r w:rsidR="0077534F" w:rsidRPr="00D464A7">
        <w:t xml:space="preserve">Zeno Costos remains king of </w:t>
      </w:r>
      <w:r w:rsidRPr="00D464A7">
        <w:t>Lower Egypt and Imhotep</w:t>
      </w:r>
      <w:r w:rsidR="0077534F" w:rsidRPr="00D464A7">
        <w:t xml:space="preserve"> controls</w:t>
      </w:r>
      <w:r w:rsidRPr="00D464A7">
        <w:t xml:space="preserve"> Upper Egypt. </w:t>
      </w:r>
    </w:p>
    <w:p w:rsidR="003C12D1" w:rsidRPr="00D464A7" w:rsidRDefault="0077534F" w:rsidP="00494001">
      <w:r w:rsidRPr="00D464A7">
        <w:t xml:space="preserve">There is precedent for joint kings: </w:t>
      </w:r>
      <w:r w:rsidRPr="00D464A7">
        <w:t>Ptolemy VI, Ptolemy VIII and Cleop</w:t>
      </w:r>
      <w:r w:rsidRPr="00D464A7">
        <w:t>atra II were named joint kings upon the death of their mother, Cleopatra I.</w:t>
      </w:r>
      <w:r w:rsidRPr="00D464A7">
        <w:rPr>
          <w:rStyle w:val="FootnoteReference"/>
        </w:rPr>
        <w:footnoteReference w:id="12"/>
      </w:r>
      <w:r w:rsidRPr="00D464A7">
        <w:t xml:space="preserve"> </w:t>
      </w:r>
    </w:p>
    <w:p w:rsidR="003C12D1" w:rsidRPr="00D464A7" w:rsidRDefault="003C12D1" w:rsidP="00494001">
      <w:r w:rsidRPr="00D464A7">
        <w:t xml:space="preserve">Multiple marriage was permitted in Ancient </w:t>
      </w:r>
      <w:r w:rsidR="00B74DA2" w:rsidRPr="00D464A7">
        <w:t>Egypt</w:t>
      </w:r>
      <w:r w:rsidRPr="00D464A7">
        <w:t xml:space="preserve">, though never common. </w:t>
      </w:r>
      <w:r w:rsidR="00B20348" w:rsidRPr="00D464A7">
        <w:t>Tyldesley</w:t>
      </w:r>
      <w:r w:rsidRPr="00D464A7">
        <w:t xml:space="preserve"> quotes a papyrus which details a polygamous marriage.</w:t>
      </w:r>
      <w:r w:rsidR="00382818" w:rsidRPr="00D464A7">
        <w:rPr>
          <w:rStyle w:val="FootnoteReference"/>
        </w:rPr>
        <w:footnoteReference w:id="13"/>
      </w:r>
    </w:p>
    <w:p w:rsidR="003C12D1" w:rsidRPr="00D464A7" w:rsidRDefault="003C12D1" w:rsidP="00494001"/>
    <w:p w:rsidR="00382818" w:rsidRPr="00D464A7" w:rsidRDefault="00382818" w:rsidP="00494001">
      <w:r w:rsidRPr="00D464A7">
        <w:lastRenderedPageBreak/>
        <w:t xml:space="preserve">Berenice, fearing her husbands intend to kill her, sends her second son to join her first, hidden in Pergamum with her sister-in-law Artemisia. </w:t>
      </w:r>
    </w:p>
    <w:p w:rsidR="00382818" w:rsidRPr="00D464A7" w:rsidRDefault="00382818" w:rsidP="00494001">
      <w:r w:rsidRPr="00D464A7">
        <w:t>Zeno Costos defects to the Seleucid king (Brad), leaving Imhotep as the sole King and allowing Egypt to reconcile. He took a small part of the army with him; the rest is returning to Egypt.</w:t>
      </w:r>
    </w:p>
    <w:p w:rsidR="00382818" w:rsidRPr="00D464A7" w:rsidRDefault="00382818" w:rsidP="00494001">
      <w:r w:rsidRPr="00D464A7">
        <w:t>Pergamum is under attack: Artemisia offers to kill her husband and declare the baby Ptolemy Eumenes King of Pergamum and all Egypt, and open the gates to the Egyptian Army.</w:t>
      </w:r>
    </w:p>
    <w:p w:rsidR="00382818" w:rsidRPr="00D464A7" w:rsidRDefault="00382818" w:rsidP="00494001">
      <w:r w:rsidRPr="00D464A7">
        <w:t>Alexandria has revolted, and negotiations are settled to stop the riots: the young Ptolemy is to be crowned in a grand ceremony at Alexandria, and Berenice and Imhotep are to be regents. Alexandria is also to get a stipend to repair the city, and a tax break.</w:t>
      </w:r>
    </w:p>
    <w:p w:rsidR="00382818" w:rsidRPr="00D464A7" w:rsidRDefault="00382818" w:rsidP="00494001">
      <w:r w:rsidRPr="00D464A7">
        <w:t>Pergamum is under attack: the young Ptolemaic king must be crowned. Artemisia dies before she can get the children safely out of Pergamum, and the next ruler, her widowed husband and Berenice’s first brother in law negotiates with Egypt, giving the children back in exchange for the Ptolemaic Empire pledging not to attack Antioch for the next two years, and four hundred talents.</w:t>
      </w:r>
    </w:p>
    <w:p w:rsidR="00382818" w:rsidRPr="00D464A7" w:rsidRDefault="00382818" w:rsidP="00494001"/>
    <w:p w:rsidR="003C12D1" w:rsidRPr="00D464A7" w:rsidRDefault="003C12D1" w:rsidP="00494001"/>
    <w:p w:rsidR="003C12D1" w:rsidRPr="00D464A7" w:rsidRDefault="003C12D1" w:rsidP="00494001"/>
    <w:p w:rsidR="003C12D1" w:rsidRPr="00D464A7" w:rsidRDefault="003C12D1" w:rsidP="00494001">
      <w:r w:rsidRPr="00D464A7">
        <w:t>213 Week 5</w:t>
      </w:r>
    </w:p>
    <w:p w:rsidR="003C12D1" w:rsidRPr="00D464A7" w:rsidRDefault="003C12D1" w:rsidP="00494001">
      <w:r w:rsidRPr="00D464A7">
        <w:t>Berenice currently queen</w:t>
      </w:r>
      <w:r w:rsidR="00382818" w:rsidRPr="00D464A7">
        <w:t xml:space="preserve"> regent</w:t>
      </w:r>
      <w:r w:rsidRPr="00D464A7">
        <w:t xml:space="preserve"> of Egypt, crowned alongside husband Imhotep and son Ptolemy VI in a ceremony at Alexandria attended by priests from both sides and sacrifices to all gods, attended by emissaries from various nations currently allied.</w:t>
      </w:r>
      <w:r w:rsidR="00382818" w:rsidRPr="00D464A7">
        <w:t xml:space="preserve"> This takes place</w:t>
      </w:r>
      <w:r w:rsidRPr="00D464A7">
        <w:t xml:space="preserve"> </w:t>
      </w:r>
      <w:r w:rsidR="00382818" w:rsidRPr="00D464A7">
        <w:t>at Alexandria, with a sacrifice of every animal and prayers to all gods from the priesthoods of Upper and Lower Egypt, and diplomatic envoys in attendance.</w:t>
      </w:r>
    </w:p>
    <w:p w:rsidR="003C12D1" w:rsidRPr="00D464A7" w:rsidRDefault="003C12D1" w:rsidP="00494001">
      <w:r w:rsidRPr="00D464A7">
        <w:t>210 Week 6</w:t>
      </w:r>
    </w:p>
    <w:p w:rsidR="00B74DA2" w:rsidRPr="00D464A7" w:rsidRDefault="003C12D1" w:rsidP="00494001">
      <w:r w:rsidRPr="00D464A7">
        <w:t>Plan: Kill Zeno Costos</w:t>
      </w:r>
      <w:r w:rsidR="00B74DA2" w:rsidRPr="00D464A7">
        <w:t>.</w:t>
      </w:r>
      <w:r w:rsidRPr="00D464A7">
        <w:t xml:space="preserve"> second husband. Don’t kill third husband unless I </w:t>
      </w:r>
      <w:r w:rsidR="00C3665F" w:rsidRPr="00D464A7">
        <w:t>must</w:t>
      </w:r>
      <w:r w:rsidRPr="00D464A7">
        <w:t>, or unless I can so</w:t>
      </w:r>
      <w:r w:rsidR="00B74DA2" w:rsidRPr="00D464A7">
        <w:t>mehow end up Empress twice over</w:t>
      </w:r>
      <w:r w:rsidRPr="00D464A7">
        <w:t>.</w:t>
      </w:r>
      <w:r w:rsidR="00B74DA2" w:rsidRPr="00D464A7">
        <w:t xml:space="preserve"> Tried and failed to kill him, but he is unware I did it.</w:t>
      </w:r>
    </w:p>
    <w:p w:rsidR="003C12D1" w:rsidRPr="00D464A7" w:rsidRDefault="003C12D1" w:rsidP="00494001">
      <w:r w:rsidRPr="00D464A7">
        <w:t>209</w:t>
      </w:r>
    </w:p>
    <w:p w:rsidR="003C12D1" w:rsidRPr="00D464A7" w:rsidRDefault="00382818" w:rsidP="00494001">
      <w:r w:rsidRPr="00D464A7">
        <w:t xml:space="preserve"> A great plague came to Egypt. Berenice became ill with</w:t>
      </w:r>
      <w:r w:rsidR="003C12D1" w:rsidRPr="00D464A7">
        <w:t xml:space="preserve"> plague</w:t>
      </w:r>
      <w:r w:rsidRPr="00D464A7">
        <w:t xml:space="preserve">, locked herself in a temple and ordered her sons to be isolated from anyone carrying the plague. Berenice ordered the response to the plague, declaring that quarantine be in place and burial and medical treatment be expediated, and that prayers and sacrifices to all gods be made. Berenice survived the plague but </w:t>
      </w:r>
      <w:r w:rsidR="003C12D1" w:rsidRPr="00D464A7">
        <w:t xml:space="preserve">60 per cent </w:t>
      </w:r>
      <w:r w:rsidRPr="00D464A7">
        <w:t>of the population did not.</w:t>
      </w:r>
    </w:p>
    <w:p w:rsidR="003C12D1" w:rsidRPr="00D464A7" w:rsidRDefault="00382818" w:rsidP="00494001">
      <w:r w:rsidRPr="00D464A7">
        <w:t>Berenice ordered prayers to be made in thanks of survival, and b</w:t>
      </w:r>
      <w:r w:rsidR="003C12D1" w:rsidRPr="00D464A7">
        <w:t xml:space="preserve">rought </w:t>
      </w:r>
      <w:r w:rsidRPr="00D464A7">
        <w:t xml:space="preserve">back </w:t>
      </w:r>
      <w:r w:rsidR="003C12D1" w:rsidRPr="00D464A7">
        <w:t xml:space="preserve">the army and </w:t>
      </w:r>
      <w:r w:rsidRPr="00D464A7">
        <w:t xml:space="preserve">demobilised </w:t>
      </w:r>
      <w:r w:rsidR="003C12D1" w:rsidRPr="00D464A7">
        <w:t>them to</w:t>
      </w:r>
      <w:r w:rsidRPr="00D464A7">
        <w:t xml:space="preserve"> bring up population numbers and ensure the fields were worked.</w:t>
      </w:r>
      <w:r w:rsidR="003C12D1" w:rsidRPr="00D464A7">
        <w:t xml:space="preserve"> </w:t>
      </w:r>
    </w:p>
    <w:p w:rsidR="00D464A7" w:rsidRPr="00D464A7" w:rsidRDefault="00D464A7" w:rsidP="00494001">
      <w:r w:rsidRPr="00D464A7">
        <w:t>Harper, although discussing later time periods, links disease events in Roman Egypt as causing "abrupt and severe" demographic impacts. He gives the mortality rate of three notable disease events as 10-20% for the Antonine Plague, 15-25% for the Plague of Cyprian, and 33-66% for the Justinian Plague.  All three of these were followed by economic change.</w:t>
      </w:r>
      <w:r w:rsidRPr="00D464A7">
        <w:rPr>
          <w:rStyle w:val="FootnoteReference"/>
        </w:rPr>
        <w:footnoteReference w:id="14"/>
      </w:r>
    </w:p>
    <w:p w:rsidR="00D464A7" w:rsidRPr="00D464A7" w:rsidRDefault="00D464A7" w:rsidP="00494001">
      <w:r w:rsidRPr="00D464A7">
        <w:lastRenderedPageBreak/>
        <w:t xml:space="preserve">Bowman </w:t>
      </w:r>
      <w:r w:rsidRPr="00D464A7">
        <w:t>and Wilson discuss</w:t>
      </w:r>
      <w:r w:rsidRPr="00D464A7">
        <w:t xml:space="preserve"> the effect the Antonine Plague had on demographics and economics in Egypt, using archaeological evidence and Roman tax records.</w:t>
      </w:r>
      <w:r w:rsidRPr="00D464A7">
        <w:rPr>
          <w:rStyle w:val="FootnoteReference"/>
        </w:rPr>
        <w:footnoteReference w:id="15"/>
      </w:r>
      <w:r w:rsidRPr="00D464A7">
        <w:t xml:space="preserve"> </w:t>
      </w:r>
      <w:r w:rsidRPr="00D464A7">
        <w:t>The village of Karanis shows evidence of a recession following the Antonine Plague.</w:t>
      </w:r>
      <w:r w:rsidRPr="00D464A7">
        <w:rPr>
          <w:rStyle w:val="FootnoteReference"/>
        </w:rPr>
        <w:footnoteReference w:id="16"/>
      </w:r>
    </w:p>
    <w:p w:rsidR="00D464A7" w:rsidRPr="00D464A7" w:rsidRDefault="00D464A7" w:rsidP="00494001">
      <w:r w:rsidRPr="00D464A7">
        <w:t>Bowman</w:t>
      </w:r>
      <w:r w:rsidRPr="00D464A7">
        <w:t xml:space="preserve"> and Wilson give</w:t>
      </w:r>
      <w:r w:rsidRPr="00D464A7">
        <w:t xml:space="preserve"> the Antonine plague as a major cause in the decline of the Egyptian population after the mid-second century AD, which is a departure from the previous growth in population since the early Ptolemaic period. </w:t>
      </w:r>
      <w:r w:rsidRPr="00D464A7">
        <w:rPr>
          <w:rStyle w:val="FootnoteReference"/>
        </w:rPr>
        <w:footnoteReference w:id="17"/>
      </w:r>
      <w:r w:rsidRPr="00D464A7">
        <w:t xml:space="preserve"> They also connect</w:t>
      </w:r>
      <w:r w:rsidRPr="00D464A7">
        <w:t xml:space="preserve"> the Antonine Plague with severe neglect of the irrigation system, as well as a catastrophic effect on population numbers. </w:t>
      </w:r>
      <w:r w:rsidRPr="00D464A7">
        <w:rPr>
          <w:rStyle w:val="FootnoteReference"/>
        </w:rPr>
        <w:footnoteReference w:id="18"/>
      </w:r>
    </w:p>
    <w:p w:rsidR="00D464A7" w:rsidRPr="00D464A7" w:rsidRDefault="00D464A7" w:rsidP="00494001">
      <w:r w:rsidRPr="00D464A7">
        <w:t>T</w:t>
      </w:r>
      <w:r w:rsidRPr="00D464A7">
        <w:t>he recovery from the Antonine plague, demographically, is hard to track, but is estimated as between a sixty and one-hundred-year climb to pre- plague levels.</w:t>
      </w:r>
      <w:r w:rsidRPr="00D464A7">
        <w:rPr>
          <w:rStyle w:val="FootnoteReference"/>
        </w:rPr>
        <w:footnoteReference w:id="19"/>
      </w:r>
      <w:r w:rsidRPr="00D464A7">
        <w:t xml:space="preserve"> However, the recovery within a half century of the plague was likely significant. </w:t>
      </w:r>
      <w:r w:rsidRPr="00D464A7">
        <w:rPr>
          <w:rStyle w:val="FootnoteReference"/>
        </w:rPr>
        <w:footnoteReference w:id="20"/>
      </w:r>
    </w:p>
    <w:p w:rsidR="00D464A7" w:rsidRPr="00D464A7" w:rsidRDefault="00D464A7" w:rsidP="00494001"/>
    <w:p w:rsidR="003C12D1" w:rsidRPr="00D464A7" w:rsidRDefault="003C12D1" w:rsidP="00494001">
      <w:r w:rsidRPr="00D464A7">
        <w:t>208</w:t>
      </w:r>
    </w:p>
    <w:p w:rsidR="003C12D1" w:rsidRPr="00D464A7" w:rsidRDefault="00382818" w:rsidP="00494001">
      <w:r w:rsidRPr="00D464A7">
        <w:t>Berenice f</w:t>
      </w:r>
      <w:r w:rsidR="003C12D1" w:rsidRPr="00D464A7">
        <w:t xml:space="preserve">inally </w:t>
      </w:r>
      <w:r w:rsidRPr="00D464A7">
        <w:t xml:space="preserve">succeeded in </w:t>
      </w:r>
      <w:r w:rsidR="003C12D1" w:rsidRPr="00D464A7">
        <w:t xml:space="preserve">assassinated </w:t>
      </w:r>
      <w:r w:rsidR="00B74DA2" w:rsidRPr="00D464A7">
        <w:t>Zeno Costas</w:t>
      </w:r>
      <w:r w:rsidR="003C12D1" w:rsidRPr="00D464A7">
        <w:t xml:space="preserve">. However, that was because </w:t>
      </w:r>
      <w:r w:rsidRPr="00D464A7">
        <w:t>Zeno Costas</w:t>
      </w:r>
      <w:r w:rsidR="003C12D1" w:rsidRPr="00D464A7">
        <w:t xml:space="preserve"> came back into the Ptolemaic empire as part o</w:t>
      </w:r>
      <w:r w:rsidRPr="00D464A7">
        <w:t>f the huge Seleucid army that invaded</w:t>
      </w:r>
      <w:r w:rsidR="003C12D1" w:rsidRPr="00D464A7">
        <w:t xml:space="preserve"> via Coele Syria, who have </w:t>
      </w:r>
      <w:r w:rsidRPr="00D464A7">
        <w:t xml:space="preserve">surrendered and </w:t>
      </w:r>
      <w:r w:rsidR="003C12D1" w:rsidRPr="00D464A7">
        <w:t xml:space="preserve">switched sides. </w:t>
      </w:r>
    </w:p>
    <w:p w:rsidR="00D464A7" w:rsidRPr="00D464A7" w:rsidRDefault="00D464A7" w:rsidP="00494001">
      <w:r w:rsidRPr="00D464A7">
        <w:t xml:space="preserve">According to Justin, </w:t>
      </w:r>
      <w:r w:rsidRPr="00D464A7">
        <w:t>Berenice II had assassins kill her first husband, Demetrius the Fair.</w:t>
      </w:r>
      <w:r w:rsidRPr="00D464A7">
        <w:rPr>
          <w:rStyle w:val="FootnoteReference"/>
        </w:rPr>
        <w:footnoteReference w:id="21"/>
      </w:r>
    </w:p>
    <w:p w:rsidR="00D464A7" w:rsidRPr="00D464A7" w:rsidRDefault="00D464A7" w:rsidP="00494001"/>
    <w:p w:rsidR="003C12D1" w:rsidRPr="00D464A7" w:rsidRDefault="003C12D1" w:rsidP="00494001">
      <w:r w:rsidRPr="00D464A7">
        <w:t xml:space="preserve">The king </w:t>
      </w:r>
      <w:r w:rsidR="00D464A7" w:rsidRPr="00D464A7">
        <w:t>of this army of the Seleucids (B</w:t>
      </w:r>
      <w:r w:rsidRPr="00D464A7">
        <w:t>rad) is the</w:t>
      </w:r>
      <w:r w:rsidR="00D464A7" w:rsidRPr="00D464A7">
        <w:t xml:space="preserve"> cousin of the late king (also B</w:t>
      </w:r>
      <w:r w:rsidRPr="00D464A7">
        <w:t>rad)</w:t>
      </w:r>
      <w:r w:rsidR="00D464A7" w:rsidRPr="00D464A7">
        <w:t>. He has offered to adopt</w:t>
      </w:r>
      <w:r w:rsidRPr="00D464A7">
        <w:t xml:space="preserve"> Ptolemy Eumenes, the current Pharaoh, </w:t>
      </w:r>
      <w:r w:rsidR="00D464A7" w:rsidRPr="00D464A7">
        <w:t>and have him and Berenice</w:t>
      </w:r>
      <w:r w:rsidR="00382818" w:rsidRPr="00D464A7">
        <w:t xml:space="preserve"> run Egypt for </w:t>
      </w:r>
      <w:r w:rsidR="00D464A7" w:rsidRPr="00D464A7">
        <w:t>the Seleucids</w:t>
      </w:r>
      <w:r w:rsidR="00382818" w:rsidRPr="00D464A7">
        <w:t>, if Berenice s</w:t>
      </w:r>
      <w:r w:rsidRPr="00D464A7">
        <w:t>urrender</w:t>
      </w:r>
      <w:r w:rsidR="00382818" w:rsidRPr="00D464A7">
        <w:t>s</w:t>
      </w:r>
      <w:r w:rsidRPr="00D464A7">
        <w:t>, annul</w:t>
      </w:r>
      <w:r w:rsidR="00382818" w:rsidRPr="00D464A7">
        <w:t>s her</w:t>
      </w:r>
      <w:r w:rsidRPr="00D464A7">
        <w:t xml:space="preserve"> remaining marriage and </w:t>
      </w:r>
      <w:r w:rsidR="00382818" w:rsidRPr="00D464A7">
        <w:t>Imhotep</w:t>
      </w:r>
      <w:r w:rsidRPr="00D464A7">
        <w:t xml:space="preserve"> swears not to hold any non-priestly authority. </w:t>
      </w:r>
    </w:p>
    <w:p w:rsidR="003C12D1" w:rsidRPr="00D464A7" w:rsidRDefault="003C12D1" w:rsidP="00494001">
      <w:r w:rsidRPr="00D464A7">
        <w:t>Last session:</w:t>
      </w:r>
    </w:p>
    <w:p w:rsidR="003C12D1" w:rsidRPr="00D464A7" w:rsidRDefault="003C12D1" w:rsidP="00494001">
      <w:r w:rsidRPr="00D464A7">
        <w:t>The small Ptolemaic army will fight the huge Seleucid army</w:t>
      </w:r>
    </w:p>
    <w:p w:rsidR="003C12D1" w:rsidRPr="00D464A7" w:rsidRDefault="003C12D1" w:rsidP="00494001"/>
    <w:p w:rsidR="003C12D1" w:rsidRPr="00D464A7" w:rsidRDefault="003C12D1" w:rsidP="00494001">
      <w:r w:rsidRPr="00D464A7">
        <w:t xml:space="preserve">Divorcing and banishing has a royal </w:t>
      </w:r>
      <w:r w:rsidR="00B74DA2" w:rsidRPr="00D464A7">
        <w:t>precedent</w:t>
      </w:r>
      <w:r w:rsidRPr="00D464A7">
        <w:t>: Ptolemy II divorced and banished his queen Arsinoe I to upper Egypt before marrying Arsinoe II , per Bianchi</w:t>
      </w:r>
      <w:r w:rsidR="00494001">
        <w:t>.</w:t>
      </w:r>
      <w:r w:rsidR="00494001">
        <w:rPr>
          <w:rStyle w:val="FootnoteReference"/>
        </w:rPr>
        <w:footnoteReference w:id="22"/>
      </w:r>
    </w:p>
    <w:p w:rsidR="003C12D1" w:rsidRPr="00D464A7" w:rsidRDefault="003C12D1" w:rsidP="00494001"/>
    <w:p w:rsidR="003C12D1" w:rsidRPr="00D464A7" w:rsidRDefault="003C12D1" w:rsidP="00494001">
      <w:r w:rsidRPr="00D464A7">
        <w:t>Precedent for female regency</w:t>
      </w:r>
    </w:p>
    <w:p w:rsidR="003C12D1" w:rsidRPr="00D464A7" w:rsidRDefault="00C3665F" w:rsidP="00494001">
      <w:r w:rsidRPr="00D464A7">
        <w:lastRenderedPageBreak/>
        <w:t>Cleopatra,</w:t>
      </w:r>
      <w:r w:rsidR="003C12D1" w:rsidRPr="00D464A7">
        <w:t xml:space="preserve"> I acted as guardian </w:t>
      </w:r>
      <w:r w:rsidRPr="00D464A7">
        <w:t>and</w:t>
      </w:r>
      <w:r w:rsidR="003C12D1" w:rsidRPr="00D464A7">
        <w:t xml:space="preserve"> coregent for her son Ptolemy VI, who was five when his father </w:t>
      </w:r>
      <w:r w:rsidRPr="00D464A7">
        <w:t>Ptolemy</w:t>
      </w:r>
      <w:r w:rsidR="003C12D1" w:rsidRPr="00D464A7">
        <w:t xml:space="preserve"> V died. Cleopatra died four years later, whereupon Ptolemy VI, Ptolemy VIII and Cleopatra II were named joint kings. These were all children of Cleopatra I </w:t>
      </w:r>
    </w:p>
    <w:p w:rsidR="003C12D1" w:rsidRPr="00D464A7" w:rsidRDefault="003C12D1" w:rsidP="00494001">
      <w:r w:rsidRPr="00D464A7">
        <w:t>Cleopatra III acted as regent for her sons Ptolemy IX and Ptolemy X, and acted as co</w:t>
      </w:r>
      <w:r w:rsidR="00C3665F" w:rsidRPr="00D464A7">
        <w:t>-</w:t>
      </w:r>
      <w:r w:rsidRPr="00D464A7">
        <w:t>ruler with Ptolemy X until she died.</w:t>
      </w:r>
    </w:p>
    <w:p w:rsidR="003C12D1" w:rsidRPr="00D464A7" w:rsidRDefault="003C12D1" w:rsidP="00494001">
      <w:r w:rsidRPr="00D464A7">
        <w:t xml:space="preserve">Cleopatra VII ruled </w:t>
      </w:r>
      <w:r w:rsidR="00C3665F" w:rsidRPr="00D464A7">
        <w:t>alongside</w:t>
      </w:r>
      <w:r w:rsidRPr="00D464A7">
        <w:t xml:space="preserve"> her younger brother, but the age difference between them meant that Cleopatra was effectively sole ruler. She later repeated this after her death with the next brother, </w:t>
      </w:r>
      <w:r w:rsidR="00C3665F" w:rsidRPr="00D464A7">
        <w:t>eleven-year-old</w:t>
      </w:r>
      <w:r w:rsidRPr="00D464A7">
        <w:t xml:space="preserve"> </w:t>
      </w:r>
      <w:r w:rsidR="00C3665F" w:rsidRPr="00D464A7">
        <w:t>Ptolemy</w:t>
      </w:r>
      <w:r w:rsidRPr="00D464A7">
        <w:t xml:space="preserve"> XIV.</w:t>
      </w:r>
    </w:p>
    <w:p w:rsidR="003C12D1" w:rsidRPr="00D464A7" w:rsidRDefault="003C12D1" w:rsidP="00494001"/>
    <w:p w:rsidR="003C12D1" w:rsidRPr="00D464A7" w:rsidRDefault="00C3665F" w:rsidP="00494001">
      <w:r w:rsidRPr="00D464A7">
        <w:t>Invasion</w:t>
      </w:r>
      <w:r w:rsidR="003C12D1" w:rsidRPr="00D464A7">
        <w:t xml:space="preserve"> of </w:t>
      </w:r>
      <w:r w:rsidRPr="00D464A7">
        <w:t>Egypt</w:t>
      </w:r>
      <w:r w:rsidR="003C12D1" w:rsidRPr="00D464A7">
        <w:t xml:space="preserve"> c 168bc, </w:t>
      </w:r>
      <w:r w:rsidRPr="00D464A7">
        <w:t>Ptolemy</w:t>
      </w:r>
      <w:r w:rsidR="003C12D1" w:rsidRPr="00D464A7">
        <w:t xml:space="preserve"> VI.</w:t>
      </w:r>
    </w:p>
    <w:p w:rsidR="003C12D1" w:rsidRPr="00D464A7" w:rsidRDefault="003C12D1" w:rsidP="00494001"/>
    <w:p w:rsidR="00B74DA2" w:rsidRPr="00D464A7" w:rsidRDefault="00B74DA2" w:rsidP="00494001"/>
    <w:p w:rsidR="00D464A7" w:rsidRPr="00D464A7" w:rsidRDefault="00D464A7" w:rsidP="00494001"/>
    <w:p w:rsidR="00D464A7" w:rsidRPr="00D464A7" w:rsidRDefault="00D464A7" w:rsidP="00494001"/>
    <w:p w:rsidR="00D464A7" w:rsidRPr="00D464A7" w:rsidRDefault="00D464A7" w:rsidP="00494001">
      <w:pPr>
        <w:rPr>
          <w:rStyle w:val="Heading1Char"/>
        </w:rPr>
      </w:pPr>
      <w:r w:rsidRPr="00D464A7">
        <w:rPr>
          <w:rStyle w:val="Heading1Char"/>
        </w:rPr>
        <w:t>Bibliography and References.</w:t>
      </w:r>
    </w:p>
    <w:p w:rsidR="00D464A7" w:rsidRDefault="00D464A7" w:rsidP="00494001">
      <w:r w:rsidRPr="00D464A7">
        <w:t>Ager, S. 2006. The Power of Excess: Royal</w:t>
      </w:r>
      <w:r>
        <w:t xml:space="preserve"> Incest and the Ptolemaic Dynasty.</w:t>
      </w:r>
      <w:r w:rsidRPr="00C3665F">
        <w:t xml:space="preserve"> </w:t>
      </w:r>
      <w:r>
        <w:t>Anthropologica, 2006, Vol.48(2), pp.165-186</w:t>
      </w:r>
    </w:p>
    <w:p w:rsidR="00D464A7" w:rsidRPr="00D464A7" w:rsidRDefault="00D464A7" w:rsidP="00494001">
      <w:r w:rsidRPr="00D464A7">
        <w:t xml:space="preserve">Bennett, C. J. "Berenice" 2001. Tyndale House. </w:t>
      </w:r>
      <w:hyperlink r:id="rId7" w:history="1">
        <w:r w:rsidRPr="00D464A7">
          <w:rPr>
            <w:rStyle w:val="Hyperlink"/>
            <w:color w:val="auto"/>
            <w:u w:val="none"/>
          </w:rPr>
          <w:t>http://www.tyndalehouse.com/Egypt/ptolemies/berenice_b_fr.htm</w:t>
        </w:r>
      </w:hyperlink>
      <w:r w:rsidRPr="00D464A7">
        <w:t xml:space="preserve"> Accessed 13 February 2018.</w:t>
      </w:r>
    </w:p>
    <w:p w:rsidR="00D464A7" w:rsidRDefault="00D464A7" w:rsidP="00494001">
      <w:r w:rsidRPr="00D464A7">
        <w:rPr>
          <w:rStyle w:val="CommentReference"/>
          <w:sz w:val="22"/>
          <w:szCs w:val="22"/>
        </w:rPr>
        <w:annotationRef/>
      </w:r>
      <w:r w:rsidRPr="00D464A7">
        <w:t xml:space="preserve">Bevan E.R. 1927. The House of Ptolemy. London: Methuen Publishing. </w:t>
      </w:r>
    </w:p>
    <w:p w:rsidR="00494001" w:rsidRPr="00D464A7" w:rsidRDefault="00494001" w:rsidP="00494001">
      <w:r>
        <w:t>Bianchi,</w:t>
      </w:r>
      <w:r>
        <w:t xml:space="preserve"> R. 1991</w:t>
      </w:r>
      <w:r>
        <w:t>.A Macedonian queen of Egypt.</w:t>
      </w:r>
      <w:r w:rsidRPr="00494001">
        <w:t xml:space="preserve"> </w:t>
      </w:r>
      <w:r>
        <w:t>Calliope</w:t>
      </w:r>
      <w:r>
        <w:t>; Nov/Dec91, Vol. 2 Issue 2, 68-74</w:t>
      </w:r>
    </w:p>
    <w:p w:rsidR="00D464A7" w:rsidRPr="00D464A7" w:rsidRDefault="00D464A7" w:rsidP="00494001">
      <w:r w:rsidRPr="00D464A7">
        <w:t>Bowman, A and Wilson, A. 2011. Settlement, Urbanization, and Population. Oxford: Oxford University Press</w:t>
      </w:r>
      <w:r w:rsidRPr="00D464A7">
        <w:t xml:space="preserve"> </w:t>
      </w:r>
    </w:p>
    <w:p w:rsidR="00D464A7" w:rsidRPr="00D464A7" w:rsidRDefault="00D464A7" w:rsidP="00494001">
      <w:r w:rsidRPr="00D464A7">
        <w:t xml:space="preserve">Clayman, D. L. 2014. Berenice II and the Golden Age of Ptolemaic Egypt. Oxford: Oxford University Press.   </w:t>
      </w:r>
      <w:r w:rsidRPr="00D464A7">
        <w:tab/>
      </w:r>
    </w:p>
    <w:p w:rsidR="00D464A7" w:rsidRPr="00D464A7" w:rsidRDefault="00D464A7" w:rsidP="00494001">
      <w:r w:rsidRPr="00D464A7">
        <w:t>Harper, K. 2016.  People, Plagues, and Prices in the Roman World: The Evidence from Egypt</w:t>
      </w:r>
    </w:p>
    <w:p w:rsidR="00D464A7" w:rsidRPr="00D464A7" w:rsidRDefault="00D464A7" w:rsidP="00494001">
      <w:r w:rsidRPr="00D464A7">
        <w:t>The Journal of Economic History; Santa Clara Vol. 76, Iss. 3,  (Sep 2016): 803-839.</w:t>
      </w:r>
    </w:p>
    <w:p w:rsidR="00D464A7" w:rsidRPr="00D464A7" w:rsidRDefault="00D464A7" w:rsidP="00494001">
      <w:r w:rsidRPr="00D464A7">
        <w:t xml:space="preserve">Tyldesley, J. 2016. The Seven Cleopatras: Egypt's Last Queens. Ancient Egypt Magazine; Apr/Mar 2016, Vol. 16 Issue 5, </w:t>
      </w:r>
      <w:r w:rsidRPr="00D464A7">
        <w:t>36-39.</w:t>
      </w:r>
    </w:p>
    <w:p w:rsidR="00D464A7" w:rsidRPr="00D464A7" w:rsidRDefault="00D464A7" w:rsidP="00494001"/>
    <w:p w:rsidR="00D464A7" w:rsidRPr="00D464A7" w:rsidRDefault="00D464A7" w:rsidP="00494001">
      <w:r w:rsidRPr="00D464A7">
        <w:t xml:space="preserve">Justin 26.3 </w:t>
      </w:r>
    </w:p>
    <w:p w:rsidR="00D464A7" w:rsidRPr="00D464A7" w:rsidRDefault="00D464A7" w:rsidP="00494001">
      <w:r w:rsidRPr="00D464A7">
        <w:t>http://www.forumromanum.org/literature/justin/english/trans26.html#3</w:t>
      </w:r>
    </w:p>
    <w:p w:rsidR="00D464A7" w:rsidRPr="00D464A7" w:rsidRDefault="00D464A7" w:rsidP="00494001">
      <w:r w:rsidRPr="00D464A7">
        <w:t xml:space="preserve">Marcus Junianus Justinus. </w:t>
      </w:r>
      <w:r w:rsidRPr="00D464A7">
        <w:t>Epitome of the Philippic History of Pompeius Trogus.</w:t>
      </w:r>
    </w:p>
    <w:p w:rsidR="00D464A7" w:rsidRDefault="00D464A7" w:rsidP="00494001">
      <w:r w:rsidRPr="00D464A7">
        <w:t>t</w:t>
      </w:r>
      <w:r w:rsidRPr="00D464A7">
        <w:t>ranslated, with notes,</w:t>
      </w:r>
      <w:r w:rsidRPr="00D464A7">
        <w:t xml:space="preserve"> by the Rev. John Selby Watson. </w:t>
      </w:r>
      <w:r w:rsidRPr="00D464A7">
        <w:t>London: Henry G. Bohn, York Street, Convent Garden (1853).</w:t>
      </w:r>
    </w:p>
    <w:p w:rsidR="00D464A7" w:rsidRDefault="00D464A7" w:rsidP="00494001"/>
    <w:sectPr w:rsidR="00D464A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20348" w:rsidRDefault="00B20348" w:rsidP="00B20348">
      <w:pPr>
        <w:spacing w:after="0" w:line="240" w:lineRule="auto"/>
      </w:pPr>
      <w:r>
        <w:separator/>
      </w:r>
    </w:p>
  </w:endnote>
  <w:endnote w:type="continuationSeparator" w:id="0">
    <w:p w:rsidR="00B20348" w:rsidRDefault="00B20348" w:rsidP="00B203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20348" w:rsidRDefault="00B20348" w:rsidP="00B20348">
      <w:pPr>
        <w:spacing w:after="0" w:line="240" w:lineRule="auto"/>
      </w:pPr>
      <w:r>
        <w:separator/>
      </w:r>
    </w:p>
  </w:footnote>
  <w:footnote w:type="continuationSeparator" w:id="0">
    <w:p w:rsidR="00B20348" w:rsidRDefault="00B20348" w:rsidP="00B20348">
      <w:pPr>
        <w:spacing w:after="0" w:line="240" w:lineRule="auto"/>
      </w:pPr>
      <w:r>
        <w:continuationSeparator/>
      </w:r>
    </w:p>
  </w:footnote>
  <w:footnote w:id="1">
    <w:p w:rsidR="00B20348" w:rsidRDefault="00B20348" w:rsidP="00D464A7">
      <w:pPr>
        <w:pStyle w:val="NoSpacing"/>
      </w:pPr>
      <w:r>
        <w:rPr>
          <w:rStyle w:val="FootnoteReference"/>
        </w:rPr>
        <w:footnoteRef/>
      </w:r>
      <w:r>
        <w:t xml:space="preserve"> </w:t>
      </w:r>
      <w:r w:rsidR="00D464A7">
        <w:t xml:space="preserve">Bennett </w:t>
      </w:r>
      <w:r w:rsidRPr="00666710">
        <w:t>2001.</w:t>
      </w:r>
    </w:p>
  </w:footnote>
  <w:footnote w:id="2">
    <w:p w:rsidR="00D464A7" w:rsidRDefault="00D464A7" w:rsidP="00D464A7">
      <w:pPr>
        <w:pStyle w:val="NoSpacing"/>
      </w:pPr>
      <w:r>
        <w:rPr>
          <w:rStyle w:val="FootnoteReference"/>
        </w:rPr>
        <w:footnoteRef/>
      </w:r>
      <w:r>
        <w:t xml:space="preserve"> </w:t>
      </w:r>
      <w:r>
        <w:rPr>
          <w:rStyle w:val="CommentReference"/>
        </w:rPr>
        <w:annotationRef/>
      </w:r>
      <w:r>
        <w:t>Robins, ch3  p</w:t>
      </w:r>
      <w:r>
        <w:t>56</w:t>
      </w:r>
    </w:p>
  </w:footnote>
  <w:footnote w:id="3">
    <w:p w:rsidR="00C3665F" w:rsidRDefault="00C3665F" w:rsidP="00D464A7">
      <w:pPr>
        <w:pStyle w:val="NoSpacing"/>
      </w:pPr>
      <w:r>
        <w:rPr>
          <w:rStyle w:val="FootnoteReference"/>
        </w:rPr>
        <w:footnoteRef/>
      </w:r>
      <w:r>
        <w:t xml:space="preserve"> </w:t>
      </w:r>
      <w:r>
        <w:t>Bevans 1927 189-190</w:t>
      </w:r>
      <w:r w:rsidRPr="00666710">
        <w:rPr>
          <w:rFonts w:ascii="Times New Roman" w:hAnsi="Times New Roman" w:cs="Times New Roman"/>
        </w:rPr>
        <w:t xml:space="preserve"> </w:t>
      </w:r>
    </w:p>
  </w:footnote>
  <w:footnote w:id="4">
    <w:p w:rsidR="00C3665F" w:rsidRDefault="00C3665F" w:rsidP="00D464A7">
      <w:pPr>
        <w:pStyle w:val="NoSpacing"/>
      </w:pPr>
      <w:r>
        <w:rPr>
          <w:rStyle w:val="FootnoteReference"/>
        </w:rPr>
        <w:footnoteRef/>
      </w:r>
      <w:r>
        <w:t xml:space="preserve"> </w:t>
      </w:r>
      <w:r>
        <w:t>Ager, S</w:t>
      </w:r>
      <w:r>
        <w:t>.</w:t>
      </w:r>
      <w:r w:rsidR="00D464A7">
        <w:t xml:space="preserve"> 2006.</w:t>
      </w:r>
      <w:r w:rsidRPr="00C3665F">
        <w:t xml:space="preserve"> </w:t>
      </w:r>
    </w:p>
  </w:footnote>
  <w:footnote w:id="5">
    <w:p w:rsidR="00C3665F" w:rsidRDefault="00C3665F" w:rsidP="00D464A7">
      <w:pPr>
        <w:pStyle w:val="NoSpacing"/>
      </w:pPr>
      <w:r>
        <w:rPr>
          <w:rStyle w:val="FootnoteReference"/>
        </w:rPr>
        <w:footnoteRef/>
      </w:r>
      <w:r>
        <w:t xml:space="preserve"> </w:t>
      </w:r>
      <w:r>
        <w:t>Clayman 2014, 123</w:t>
      </w:r>
    </w:p>
  </w:footnote>
  <w:footnote w:id="6">
    <w:p w:rsidR="00C3665F" w:rsidRDefault="00C3665F" w:rsidP="00D464A7">
      <w:pPr>
        <w:pStyle w:val="NoSpacing"/>
      </w:pPr>
      <w:r>
        <w:rPr>
          <w:rStyle w:val="FootnoteReference"/>
        </w:rPr>
        <w:footnoteRef/>
      </w:r>
      <w:r>
        <w:t xml:space="preserve"> </w:t>
      </w:r>
      <w:r>
        <w:t>Clayman 2014</w:t>
      </w:r>
      <w:r>
        <w:t xml:space="preserve">, </w:t>
      </w:r>
      <w:r>
        <w:t>102</w:t>
      </w:r>
    </w:p>
  </w:footnote>
  <w:footnote w:id="7">
    <w:p w:rsidR="00E55812" w:rsidRDefault="00E55812" w:rsidP="00D464A7">
      <w:pPr>
        <w:pStyle w:val="NoSpacing"/>
      </w:pPr>
      <w:r>
        <w:rPr>
          <w:rStyle w:val="FootnoteReference"/>
        </w:rPr>
        <w:footnoteRef/>
      </w:r>
      <w:r>
        <w:t xml:space="preserve"> </w:t>
      </w:r>
      <w:r w:rsidR="00D464A7">
        <w:t>Tyldesley, J.</w:t>
      </w:r>
      <w:r w:rsidR="00D464A7" w:rsidRPr="0077534F">
        <w:t xml:space="preserve"> </w:t>
      </w:r>
      <w:r w:rsidR="00D464A7">
        <w:t>2016.</w:t>
      </w:r>
    </w:p>
  </w:footnote>
  <w:footnote w:id="8">
    <w:p w:rsidR="00382818" w:rsidRDefault="00382818" w:rsidP="00D464A7">
      <w:pPr>
        <w:pStyle w:val="NoSpacing"/>
      </w:pPr>
      <w:r>
        <w:rPr>
          <w:rStyle w:val="FootnoteReference"/>
        </w:rPr>
        <w:footnoteRef/>
      </w:r>
      <w:r>
        <w:t xml:space="preserve"> </w:t>
      </w:r>
      <w:r>
        <w:t>Robins, ch3 /p 56</w:t>
      </w:r>
    </w:p>
  </w:footnote>
  <w:footnote w:id="9">
    <w:p w:rsidR="00E55812" w:rsidRDefault="00E55812" w:rsidP="00D464A7">
      <w:pPr>
        <w:pStyle w:val="NoSpacing"/>
      </w:pPr>
      <w:r>
        <w:rPr>
          <w:rStyle w:val="FootnoteReference"/>
        </w:rPr>
        <w:footnoteRef/>
      </w:r>
      <w:r>
        <w:t xml:space="preserve"> </w:t>
      </w:r>
      <w:r w:rsidR="0077534F">
        <w:t>Tyldesley, J.</w:t>
      </w:r>
      <w:r w:rsidR="0077534F" w:rsidRPr="0077534F">
        <w:t xml:space="preserve"> </w:t>
      </w:r>
      <w:r w:rsidR="0077534F">
        <w:t>201</w:t>
      </w:r>
      <w:r w:rsidR="00D464A7">
        <w:t>6.</w:t>
      </w:r>
    </w:p>
  </w:footnote>
  <w:footnote w:id="10">
    <w:p w:rsidR="00E55812" w:rsidRDefault="00E55812" w:rsidP="00D464A7">
      <w:pPr>
        <w:pStyle w:val="NoSpacing"/>
      </w:pPr>
      <w:r>
        <w:rPr>
          <w:rStyle w:val="FootnoteReference"/>
        </w:rPr>
        <w:footnoteRef/>
      </w:r>
      <w:r>
        <w:t xml:space="preserve"> </w:t>
      </w:r>
      <w:r w:rsidR="0077534F">
        <w:t>Tyldesley, J.</w:t>
      </w:r>
      <w:r w:rsidR="0077534F" w:rsidRPr="0077534F">
        <w:t xml:space="preserve"> </w:t>
      </w:r>
      <w:r w:rsidR="0077534F">
        <w:t>2016.</w:t>
      </w:r>
    </w:p>
  </w:footnote>
  <w:footnote w:id="11">
    <w:p w:rsidR="00E55812" w:rsidRDefault="00E55812" w:rsidP="00D464A7">
      <w:pPr>
        <w:pStyle w:val="NoSpacing"/>
      </w:pPr>
      <w:r>
        <w:rPr>
          <w:rStyle w:val="FootnoteReference"/>
        </w:rPr>
        <w:footnoteRef/>
      </w:r>
      <w:r>
        <w:t xml:space="preserve"> </w:t>
      </w:r>
      <w:r w:rsidR="0077534F">
        <w:t>Tyldesley, J.</w:t>
      </w:r>
      <w:r w:rsidR="0077534F" w:rsidRPr="0077534F">
        <w:t xml:space="preserve"> </w:t>
      </w:r>
      <w:r w:rsidR="0077534F">
        <w:t>2016.</w:t>
      </w:r>
    </w:p>
  </w:footnote>
  <w:footnote w:id="12">
    <w:p w:rsidR="0077534F" w:rsidRDefault="0077534F" w:rsidP="00D464A7">
      <w:pPr>
        <w:pStyle w:val="NoSpacing"/>
      </w:pPr>
      <w:r>
        <w:rPr>
          <w:rStyle w:val="FootnoteReference"/>
        </w:rPr>
        <w:footnoteRef/>
      </w:r>
      <w:r>
        <w:t xml:space="preserve"> Tyldesley, J.</w:t>
      </w:r>
      <w:r w:rsidRPr="0077534F">
        <w:t xml:space="preserve"> </w:t>
      </w:r>
      <w:r>
        <w:t>2016.</w:t>
      </w:r>
      <w:r>
        <w:t xml:space="preserve"> </w:t>
      </w:r>
    </w:p>
    <w:p w:rsidR="0077534F" w:rsidRDefault="0077534F" w:rsidP="00D464A7">
      <w:pPr>
        <w:pStyle w:val="NoSpacing"/>
      </w:pPr>
    </w:p>
  </w:footnote>
  <w:footnote w:id="13">
    <w:p w:rsidR="00382818" w:rsidRDefault="00382818" w:rsidP="00D464A7">
      <w:pPr>
        <w:pStyle w:val="NoSpacing"/>
      </w:pPr>
      <w:r>
        <w:rPr>
          <w:rStyle w:val="FootnoteReference"/>
        </w:rPr>
        <w:footnoteRef/>
      </w:r>
      <w:r>
        <w:t xml:space="preserve"> </w:t>
      </w:r>
      <w:r>
        <w:t>Tyldesley, J.</w:t>
      </w:r>
      <w:r w:rsidRPr="0077534F">
        <w:t xml:space="preserve"> </w:t>
      </w:r>
      <w:r>
        <w:t>2016.</w:t>
      </w:r>
    </w:p>
  </w:footnote>
  <w:footnote w:id="14">
    <w:p w:rsidR="00D464A7" w:rsidRDefault="00D464A7" w:rsidP="00D464A7">
      <w:pPr>
        <w:pStyle w:val="NoSpacing"/>
      </w:pPr>
      <w:r>
        <w:rPr>
          <w:rStyle w:val="FootnoteReference"/>
        </w:rPr>
        <w:footnoteRef/>
      </w:r>
      <w:r>
        <w:t xml:space="preserve"> </w:t>
      </w:r>
      <w:r>
        <w:rPr>
          <w:rStyle w:val="CommentReference"/>
        </w:rPr>
        <w:annotationRef/>
      </w:r>
      <w:r w:rsidRPr="00D464A7">
        <w:t xml:space="preserve"> </w:t>
      </w:r>
      <w:r>
        <w:t>Harper, K</w:t>
      </w:r>
      <w:r>
        <w:t>.</w:t>
      </w:r>
      <w:r>
        <w:t xml:space="preserve"> 2016. </w:t>
      </w:r>
      <w:r>
        <w:t xml:space="preserve"> </w:t>
      </w:r>
    </w:p>
  </w:footnote>
  <w:footnote w:id="15">
    <w:p w:rsidR="00D464A7" w:rsidRDefault="00D464A7" w:rsidP="00D464A7">
      <w:pPr>
        <w:pStyle w:val="NoSpacing"/>
      </w:pPr>
      <w:r>
        <w:rPr>
          <w:rStyle w:val="FootnoteReference"/>
        </w:rPr>
        <w:footnoteRef/>
      </w:r>
      <w:r>
        <w:t xml:space="preserve"> </w:t>
      </w:r>
      <w:r>
        <w:rPr>
          <w:rStyle w:val="CommentReference"/>
        </w:rPr>
        <w:annotationRef/>
      </w:r>
      <w:r>
        <w:t xml:space="preserve">Bowman, A and Wilson, A. 2011. </w:t>
      </w:r>
    </w:p>
  </w:footnote>
  <w:footnote w:id="16">
    <w:p w:rsidR="00D464A7" w:rsidRDefault="00D464A7" w:rsidP="00D464A7">
      <w:pPr>
        <w:pStyle w:val="NoSpacing"/>
      </w:pPr>
      <w:r>
        <w:rPr>
          <w:rStyle w:val="FootnoteReference"/>
        </w:rPr>
        <w:footnoteRef/>
      </w:r>
      <w:r>
        <w:t xml:space="preserve"> </w:t>
      </w:r>
      <w:r>
        <w:rPr>
          <w:rStyle w:val="CommentReference"/>
        </w:rPr>
        <w:annotationRef/>
      </w:r>
      <w:r w:rsidRPr="00D464A7">
        <w:t xml:space="preserve"> </w:t>
      </w:r>
      <w:r>
        <w:t xml:space="preserve">Bowman, A and Wilson, A. 2011. </w:t>
      </w:r>
      <w:r>
        <w:t xml:space="preserve"> </w:t>
      </w:r>
      <w:r>
        <w:t>345</w:t>
      </w:r>
    </w:p>
  </w:footnote>
  <w:footnote w:id="17">
    <w:p w:rsidR="00D464A7" w:rsidRDefault="00D464A7" w:rsidP="00D464A7">
      <w:pPr>
        <w:pStyle w:val="NoSpacing"/>
      </w:pPr>
      <w:r>
        <w:rPr>
          <w:rStyle w:val="FootnoteReference"/>
        </w:rPr>
        <w:footnoteRef/>
      </w:r>
      <w:r>
        <w:t xml:space="preserve"> </w:t>
      </w:r>
      <w:r>
        <w:t>Bowman, A and Wilson, A. 2011.  348</w:t>
      </w:r>
    </w:p>
  </w:footnote>
  <w:footnote w:id="18">
    <w:p w:rsidR="00D464A7" w:rsidRDefault="00D464A7" w:rsidP="00D464A7">
      <w:pPr>
        <w:pStyle w:val="NoSpacing"/>
      </w:pPr>
      <w:r>
        <w:rPr>
          <w:rStyle w:val="FootnoteReference"/>
        </w:rPr>
        <w:footnoteRef/>
      </w:r>
      <w:r>
        <w:t xml:space="preserve"> </w:t>
      </w:r>
      <w:r>
        <w:rPr>
          <w:rStyle w:val="CommentReference"/>
        </w:rPr>
        <w:annotationRef/>
      </w:r>
      <w:r w:rsidRPr="00D464A7">
        <w:t xml:space="preserve"> </w:t>
      </w:r>
      <w:r>
        <w:t>Bowman, A and Wilson, A. 2011.  336</w:t>
      </w:r>
    </w:p>
  </w:footnote>
  <w:footnote w:id="19">
    <w:p w:rsidR="00D464A7" w:rsidRDefault="00D464A7" w:rsidP="00D464A7">
      <w:pPr>
        <w:pStyle w:val="NoSpacing"/>
      </w:pPr>
      <w:r>
        <w:rPr>
          <w:rStyle w:val="FootnoteReference"/>
        </w:rPr>
        <w:footnoteRef/>
      </w:r>
      <w:r>
        <w:t xml:space="preserve"> </w:t>
      </w:r>
      <w:r>
        <w:t>Bowman, A and Wilson, A. 2011. 328</w:t>
      </w:r>
    </w:p>
  </w:footnote>
  <w:footnote w:id="20">
    <w:p w:rsidR="00D464A7" w:rsidRDefault="00D464A7" w:rsidP="00D464A7">
      <w:pPr>
        <w:pStyle w:val="NoSpacing"/>
      </w:pPr>
      <w:r>
        <w:rPr>
          <w:rStyle w:val="FootnoteReference"/>
        </w:rPr>
        <w:footnoteRef/>
      </w:r>
      <w:r>
        <w:t xml:space="preserve"> </w:t>
      </w:r>
      <w:r>
        <w:rPr>
          <w:rStyle w:val="CommentReference"/>
        </w:rPr>
        <w:annotationRef/>
      </w:r>
      <w:r w:rsidRPr="00D464A7">
        <w:t xml:space="preserve"> </w:t>
      </w:r>
      <w:r>
        <w:t>Bowman, A and Wilson, A. 2011. 336</w:t>
      </w:r>
    </w:p>
  </w:footnote>
  <w:footnote w:id="21">
    <w:p w:rsidR="00D464A7" w:rsidRDefault="00D464A7" w:rsidP="00494001">
      <w:pPr>
        <w:pStyle w:val="NoSpacing"/>
      </w:pPr>
      <w:r>
        <w:rPr>
          <w:rStyle w:val="FootnoteReference"/>
        </w:rPr>
        <w:footnoteRef/>
      </w:r>
      <w:r>
        <w:t xml:space="preserve"> </w:t>
      </w:r>
      <w:r>
        <w:t xml:space="preserve">Justin 26.3 </w:t>
      </w:r>
    </w:p>
  </w:footnote>
  <w:footnote w:id="22">
    <w:p w:rsidR="00494001" w:rsidRDefault="00494001" w:rsidP="00494001">
      <w:pPr>
        <w:pStyle w:val="CommentText"/>
      </w:pPr>
      <w:r>
        <w:rPr>
          <w:rStyle w:val="FootnoteReference"/>
        </w:rPr>
        <w:footnoteRef/>
      </w:r>
      <w:r>
        <w:t xml:space="preserve"> </w:t>
      </w:r>
      <w:r>
        <w:t>Bianchi,</w:t>
      </w:r>
      <w:r>
        <w:t>1991.</w:t>
      </w:r>
      <w:r>
        <w:t xml:space="preserve"> </w:t>
      </w:r>
    </w:p>
    <w:p w:rsidR="00494001" w:rsidRDefault="00494001" w:rsidP="00494001">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94001" w:rsidRDefault="00494001">
    <w:pPr>
      <w:pStyle w:val="Header"/>
    </w:pPr>
    <w:r>
      <w:t>Epiphany Roberts</w:t>
    </w:r>
    <w:r>
      <w:tab/>
      <w:t>1402281</w:t>
    </w:r>
    <w:r>
      <w:tab/>
      <w:t>Wordcount: 2327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12D1"/>
    <w:rsid w:val="00084F9D"/>
    <w:rsid w:val="00106742"/>
    <w:rsid w:val="00382818"/>
    <w:rsid w:val="003C12D1"/>
    <w:rsid w:val="0049313E"/>
    <w:rsid w:val="00494001"/>
    <w:rsid w:val="00553C91"/>
    <w:rsid w:val="0077534F"/>
    <w:rsid w:val="008B27FC"/>
    <w:rsid w:val="00912F54"/>
    <w:rsid w:val="00A46688"/>
    <w:rsid w:val="00AC7489"/>
    <w:rsid w:val="00B20348"/>
    <w:rsid w:val="00B74DA2"/>
    <w:rsid w:val="00C3665F"/>
    <w:rsid w:val="00C92882"/>
    <w:rsid w:val="00D14B75"/>
    <w:rsid w:val="00D464A7"/>
    <w:rsid w:val="00E558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4538A"/>
  <w15:chartTrackingRefBased/>
  <w15:docId w15:val="{53381D74-4E0A-40FC-96CE-FCBD7931B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C7489"/>
  </w:style>
  <w:style w:type="paragraph" w:styleId="Heading1">
    <w:name w:val="heading 1"/>
    <w:basedOn w:val="Normal"/>
    <w:next w:val="Normal"/>
    <w:link w:val="Heading1Char"/>
    <w:uiPriority w:val="9"/>
    <w:qFormat/>
    <w:rsid w:val="00D464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12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C12D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C12D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C12D1"/>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3C12D1"/>
    <w:rPr>
      <w:sz w:val="16"/>
      <w:szCs w:val="16"/>
    </w:rPr>
  </w:style>
  <w:style w:type="paragraph" w:styleId="CommentText">
    <w:name w:val="annotation text"/>
    <w:basedOn w:val="Normal"/>
    <w:link w:val="CommentTextChar"/>
    <w:uiPriority w:val="99"/>
    <w:unhideWhenUsed/>
    <w:rsid w:val="003C12D1"/>
    <w:pPr>
      <w:spacing w:line="240" w:lineRule="auto"/>
    </w:pPr>
    <w:rPr>
      <w:sz w:val="20"/>
      <w:szCs w:val="20"/>
    </w:rPr>
  </w:style>
  <w:style w:type="character" w:customStyle="1" w:styleId="CommentTextChar">
    <w:name w:val="Comment Text Char"/>
    <w:basedOn w:val="DefaultParagraphFont"/>
    <w:link w:val="CommentText"/>
    <w:uiPriority w:val="99"/>
    <w:rsid w:val="003C12D1"/>
    <w:rPr>
      <w:sz w:val="20"/>
      <w:szCs w:val="20"/>
    </w:rPr>
  </w:style>
  <w:style w:type="character" w:styleId="Hyperlink">
    <w:name w:val="Hyperlink"/>
    <w:basedOn w:val="DefaultParagraphFont"/>
    <w:uiPriority w:val="99"/>
    <w:unhideWhenUsed/>
    <w:rsid w:val="003C12D1"/>
    <w:rPr>
      <w:color w:val="0563C1" w:themeColor="hyperlink"/>
      <w:u w:val="single"/>
    </w:rPr>
  </w:style>
  <w:style w:type="paragraph" w:styleId="BalloonText">
    <w:name w:val="Balloon Text"/>
    <w:basedOn w:val="Normal"/>
    <w:link w:val="BalloonTextChar"/>
    <w:uiPriority w:val="99"/>
    <w:semiHidden/>
    <w:unhideWhenUsed/>
    <w:rsid w:val="003C12D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12D1"/>
    <w:rPr>
      <w:rFonts w:ascii="Segoe UI" w:hAnsi="Segoe UI" w:cs="Segoe UI"/>
      <w:sz w:val="18"/>
      <w:szCs w:val="18"/>
    </w:rPr>
  </w:style>
  <w:style w:type="character" w:styleId="FootnoteReference">
    <w:name w:val="footnote reference"/>
    <w:basedOn w:val="DefaultParagraphFont"/>
    <w:uiPriority w:val="99"/>
    <w:semiHidden/>
    <w:unhideWhenUsed/>
    <w:rsid w:val="00D14B75"/>
    <w:rPr>
      <w:vertAlign w:val="superscript"/>
    </w:rPr>
  </w:style>
  <w:style w:type="paragraph" w:styleId="CommentSubject">
    <w:name w:val="annotation subject"/>
    <w:basedOn w:val="CommentText"/>
    <w:next w:val="CommentText"/>
    <w:link w:val="CommentSubjectChar"/>
    <w:uiPriority w:val="99"/>
    <w:semiHidden/>
    <w:unhideWhenUsed/>
    <w:rsid w:val="00D14B75"/>
    <w:rPr>
      <w:b/>
      <w:bCs/>
    </w:rPr>
  </w:style>
  <w:style w:type="character" w:customStyle="1" w:styleId="CommentSubjectChar">
    <w:name w:val="Comment Subject Char"/>
    <w:basedOn w:val="CommentTextChar"/>
    <w:link w:val="CommentSubject"/>
    <w:uiPriority w:val="99"/>
    <w:semiHidden/>
    <w:rsid w:val="00D14B75"/>
    <w:rPr>
      <w:b/>
      <w:bCs/>
      <w:sz w:val="20"/>
      <w:szCs w:val="20"/>
    </w:rPr>
  </w:style>
  <w:style w:type="paragraph" w:styleId="FootnoteText">
    <w:name w:val="footnote text"/>
    <w:basedOn w:val="Normal"/>
    <w:link w:val="FootnoteTextChar"/>
    <w:uiPriority w:val="99"/>
    <w:semiHidden/>
    <w:unhideWhenUsed/>
    <w:rsid w:val="00B2034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20348"/>
    <w:rPr>
      <w:sz w:val="20"/>
      <w:szCs w:val="20"/>
    </w:rPr>
  </w:style>
  <w:style w:type="paragraph" w:styleId="NoSpacing">
    <w:name w:val="No Spacing"/>
    <w:uiPriority w:val="1"/>
    <w:qFormat/>
    <w:rsid w:val="00C3665F"/>
    <w:pPr>
      <w:spacing w:after="0" w:line="240" w:lineRule="auto"/>
    </w:pPr>
  </w:style>
  <w:style w:type="character" w:styleId="FollowedHyperlink">
    <w:name w:val="FollowedHyperlink"/>
    <w:basedOn w:val="DefaultParagraphFont"/>
    <w:uiPriority w:val="99"/>
    <w:semiHidden/>
    <w:unhideWhenUsed/>
    <w:rsid w:val="0077534F"/>
    <w:rPr>
      <w:color w:val="954F72" w:themeColor="followedHyperlink"/>
      <w:u w:val="single"/>
    </w:rPr>
  </w:style>
  <w:style w:type="character" w:styleId="UnresolvedMention">
    <w:name w:val="Unresolved Mention"/>
    <w:basedOn w:val="DefaultParagraphFont"/>
    <w:uiPriority w:val="99"/>
    <w:semiHidden/>
    <w:unhideWhenUsed/>
    <w:rsid w:val="00D464A7"/>
    <w:rPr>
      <w:color w:val="808080"/>
      <w:shd w:val="clear" w:color="auto" w:fill="E6E6E6"/>
    </w:rPr>
  </w:style>
  <w:style w:type="character" w:customStyle="1" w:styleId="Heading1Char">
    <w:name w:val="Heading 1 Char"/>
    <w:basedOn w:val="DefaultParagraphFont"/>
    <w:link w:val="Heading1"/>
    <w:uiPriority w:val="9"/>
    <w:rsid w:val="00D464A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940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4001"/>
  </w:style>
  <w:style w:type="paragraph" w:styleId="Footer">
    <w:name w:val="footer"/>
    <w:basedOn w:val="Normal"/>
    <w:link w:val="FooterChar"/>
    <w:uiPriority w:val="99"/>
    <w:unhideWhenUsed/>
    <w:rsid w:val="004940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40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tyndalehouse.com/Egypt/ptolemies/berenice_b_fr.ht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0DAEB4E-0422-4F31-80B8-82A95C5BC0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7</Pages>
  <Words>2072</Words>
  <Characters>11812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Pip Roberts</dc:creator>
  <cp:keywords/>
  <dc:description/>
  <cp:lastModifiedBy>Pip Roberts</cp:lastModifiedBy>
  <cp:revision>1</cp:revision>
  <dcterms:created xsi:type="dcterms:W3CDTF">2018-05-01T20:20:00Z</dcterms:created>
  <dcterms:modified xsi:type="dcterms:W3CDTF">2018-05-01T22:55:00Z</dcterms:modified>
</cp:coreProperties>
</file>