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ntTable.xml" ContentType="application/vnd.openxmlformats-officedocument.wordprocessingml.fontTable+xml"/>
  <Override PartName="/word/numbering.xml" ContentType="application/vnd.openxmlformats-officedocument.wordprocessingml.numbering+xml"/>
  <Override PartName="/word/footer1.xml" ContentType="application/vnd.openxmlformats-officedocument.wordprocessingml.footer+xml"/>
  <Override PartName="/word/settings.xml" ContentType="application/vnd.openxmlformats-officedocument.wordprocessingml.settings+xml"/>
  <Override PartName="/word/header3.xml" ContentType="application/vnd.openxmlformats-officedocument.wordprocessingml.header+xml"/>
  <Override PartName="/word/styles.xml" ContentType="application/vnd.openxmlformats-officedocument.wordprocessingml.styles+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theme/theme1.xml" ContentType="application/vnd.openxmlformats-officedocument.theme+xml"/>
  <Override PartName="/word/document.xml" ContentType="application/vnd.openxmlformats-officedocument.wordprocessingml.document.main+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bidi w:val="0"/>
        <w:spacing w:lineRule="auto" w:line="276" w:before="0" w:after="200"/>
        <w:jc w:val="center"/>
        <w:rPr>
          <w:rFonts w:ascii="Arial" w:hAnsi="Arial"/>
          <w:sz w:val="24"/>
          <w:szCs w:val="24"/>
        </w:rPr>
      </w:pPr>
      <w:r>
        <w:rPr>
          <w:rFonts w:eastAsia="Times New Roman" w:cs="Times New Roman"/>
          <w:b/>
          <w:sz w:val="24"/>
          <w:szCs w:val="24"/>
        </w:rPr>
        <w:t>Assessment component 1: Individual report</w:t>
      </w:r>
    </w:p>
    <w:p>
      <w:pPr>
        <w:pStyle w:val="Normal"/>
        <w:spacing w:lineRule="auto" w:line="276" w:before="0" w:after="200"/>
        <w:jc w:val="center"/>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spacing w:lineRule="auto" w:line="276" w:before="0" w:after="200"/>
        <w:jc w:val="center"/>
        <w:rPr>
          <w:rFonts w:ascii="Arial" w:hAnsi="Arial"/>
          <w:sz w:val="24"/>
          <w:szCs w:val="24"/>
        </w:rPr>
      </w:pPr>
      <w:r>
        <w:rPr>
          <w:rFonts w:eastAsia="Times New Roman" w:cs="Times New Roman"/>
          <w:b/>
          <w:sz w:val="24"/>
          <w:szCs w:val="24"/>
        </w:rPr>
        <w:t xml:space="preserve">Student Name : </w:t>
      </w:r>
      <w:r>
        <w:rPr>
          <w:rFonts w:eastAsia="Times New Roman" w:cs="Times New Roman"/>
          <w:b w:val="false"/>
          <w:bCs w:val="false"/>
          <w:sz w:val="24"/>
          <w:szCs w:val="24"/>
        </w:rPr>
        <w:t>Dipak Modhavadiya</w:t>
      </w:r>
    </w:p>
    <w:p>
      <w:pPr>
        <w:pStyle w:val="Normal"/>
        <w:bidi w:val="0"/>
        <w:spacing w:lineRule="auto" w:line="276" w:before="0" w:after="200"/>
        <w:jc w:val="center"/>
        <w:rPr>
          <w:rFonts w:ascii="Arial" w:hAnsi="Arial"/>
          <w:sz w:val="24"/>
          <w:szCs w:val="24"/>
        </w:rPr>
      </w:pPr>
      <w:r>
        <w:rPr>
          <w:rFonts w:eastAsia="Times New Roman" w:cs="Times New Roman"/>
          <w:b/>
          <w:sz w:val="24"/>
          <w:szCs w:val="24"/>
        </w:rPr>
        <w:t xml:space="preserve">Student ID : </w:t>
      </w:r>
      <w:r>
        <w:rPr>
          <w:rFonts w:eastAsia="Times New Roman" w:cs="Times New Roman"/>
          <w:b w:val="false"/>
          <w:bCs w:val="false"/>
          <w:sz w:val="24"/>
          <w:szCs w:val="24"/>
        </w:rPr>
        <w:t>2506701</w:t>
      </w:r>
      <w:r>
        <w:rPr>
          <w:rFonts w:eastAsia="Times New Roman" w:cs="Times New Roman"/>
          <w:b/>
          <w:sz w:val="24"/>
          <w:szCs w:val="24"/>
        </w:rPr>
        <w:br/>
        <w:t>Module Name:</w:t>
      </w:r>
      <w:r>
        <w:rPr>
          <w:rFonts w:eastAsia="Times New Roman" w:cs="Times New Roman"/>
          <w:b w:val="false"/>
          <w:bCs w:val="false"/>
          <w:sz w:val="24"/>
          <w:szCs w:val="24"/>
        </w:rPr>
        <w:t xml:space="preserve"> International Marketing: Principles and Practices</w:t>
      </w:r>
    </w:p>
    <w:p>
      <w:pPr>
        <w:pStyle w:val="Normal"/>
        <w:spacing w:lineRule="auto" w:line="276" w:before="0" w:after="200"/>
        <w:jc w:val="center"/>
        <w:rPr>
          <w:rFonts w:ascii="Arial" w:hAnsi="Arial"/>
          <w:sz w:val="24"/>
          <w:szCs w:val="24"/>
        </w:rPr>
      </w:pPr>
      <w:r>
        <w:rPr>
          <w:rFonts w:eastAsia="Times New Roman" w:cs="Times New Roman"/>
          <w:b/>
          <w:sz w:val="24"/>
          <w:szCs w:val="24"/>
        </w:rPr>
        <w:t xml:space="preserve">Module Code: </w:t>
      </w:r>
      <w:r>
        <w:rPr>
          <w:rFonts w:eastAsia="Times New Roman" w:cs="Times New Roman"/>
          <w:b w:val="false"/>
          <w:bCs w:val="false"/>
          <w:sz w:val="24"/>
          <w:szCs w:val="24"/>
        </w:rPr>
        <w:t>LCMB7026</w:t>
      </w:r>
    </w:p>
    <w:p>
      <w:pPr>
        <w:pStyle w:val="Normal"/>
        <w:spacing w:lineRule="auto" w:line="276" w:before="0" w:after="200"/>
        <w:jc w:val="center"/>
        <w:rPr>
          <w:rFonts w:ascii="Arial" w:hAnsi="Arial"/>
          <w:sz w:val="24"/>
          <w:szCs w:val="24"/>
        </w:rPr>
      </w:pPr>
      <w:r>
        <w:rPr>
          <w:rFonts w:eastAsia="Times New Roman" w:cs="Times New Roman"/>
          <w:b/>
          <w:sz w:val="24"/>
          <w:szCs w:val="24"/>
        </w:rPr>
        <w:t>Lecturere’s Name:</w:t>
      </w:r>
      <w:r>
        <w:rPr>
          <w:sz w:val="24"/>
          <w:szCs w:val="24"/>
        </w:rPr>
        <w:t xml:space="preserve"> Tushara Balendran Dian Mayasari </w:t>
      </w:r>
    </w:p>
    <w:p>
      <w:pPr>
        <w:pStyle w:val="Normal"/>
        <w:spacing w:lineRule="auto" w:line="276" w:before="0" w:after="200"/>
        <w:jc w:val="center"/>
        <w:rPr>
          <w:rFonts w:ascii="Arial" w:hAnsi="Arial"/>
          <w:sz w:val="24"/>
          <w:szCs w:val="24"/>
        </w:rPr>
      </w:pPr>
      <w:r>
        <w:rPr>
          <w:rFonts w:eastAsia="Times New Roman" w:cs="Times New Roman"/>
          <w:b/>
          <w:sz w:val="24"/>
          <w:szCs w:val="24"/>
        </w:rPr>
        <w:t xml:space="preserve">Word Count : </w:t>
      </w:r>
      <w:r>
        <w:rPr>
          <w:sz w:val="24"/>
          <w:szCs w:val="24"/>
        </w:rPr>
        <w:t xml:space="preserve">5000 words (± 10%) </w:t>
      </w:r>
    </w:p>
    <w:p>
      <w:pPr>
        <w:pStyle w:val="Normal"/>
        <w:spacing w:lineRule="auto" w:line="276" w:before="0" w:after="200"/>
        <w:jc w:val="center"/>
        <w:rPr>
          <w:rFonts w:ascii="Arial" w:hAnsi="Arial"/>
          <w:sz w:val="24"/>
          <w:szCs w:val="24"/>
        </w:rPr>
      </w:pPr>
      <w:r>
        <w:rPr>
          <w:rFonts w:eastAsia="Times New Roman" w:cs="Times New Roman"/>
          <w:b w:val="false"/>
          <w:bCs w:val="false"/>
          <w:sz w:val="24"/>
          <w:szCs w:val="24"/>
        </w:rPr>
        <w:t>Term 2</w:t>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r>
        <w:br w:type="page"/>
      </w:r>
    </w:p>
    <w:p>
      <w:pPr>
        <w:pStyle w:val="Normal"/>
        <w:spacing w:lineRule="auto" w:line="360" w:before="0" w:after="200"/>
        <w:jc w:val="center"/>
        <w:rPr>
          <w:rFonts w:ascii="Arial" w:hAnsi="Arial"/>
          <w:sz w:val="24"/>
          <w:szCs w:val="24"/>
        </w:rPr>
      </w:pPr>
      <w:r>
        <w:rPr>
          <w:rFonts w:eastAsia="Times New Roman" w:cs="Times New Roman"/>
          <w:b/>
          <w:sz w:val="24"/>
          <w:szCs w:val="24"/>
        </w:rPr>
        <w:t>Table of contents</w:t>
      </w:r>
    </w:p>
    <w:sdt>
      <w:sdtPr>
        <w:docPartObj>
          <w:docPartGallery w:val="Table of Contents"/>
          <w:docPartUnique w:val="true"/>
        </w:docPartObj>
      </w:sdtPr>
      <w:sdtContent>
        <w:p>
          <w:pPr>
            <w:pStyle w:val="TOCHeading"/>
            <w:spacing w:before="0" w:after="0"/>
            <w:jc w:val="center"/>
            <w:rPr>
              <w:rFonts w:ascii="Arial" w:hAnsi="Arial" w:cs="Arial"/>
              <w:b/>
              <w:bCs/>
              <w:color w:themeColor="text1" w:val="000000"/>
              <w:sz w:val="24"/>
              <w:szCs w:val="24"/>
            </w:rPr>
          </w:pPr>
          <w:r>
            <w:fldChar w:fldCharType="begin"/>
          </w:r>
          <w:r>
            <w:rPr>
              <w:rFonts w:cs="Arial" w:ascii="Arial" w:hAnsi="Arial"/>
              <w:b/>
              <w:bCs/>
              <w:color w:themeColor="text1" w:val="000000"/>
              <w:sz w:val="24"/>
              <w:szCs w:val="24"/>
            </w:rPr>
            <w:instrText xml:space="preserve"> TOC \o "1-9" \t "heading 1,1,heading 2,2,heading 3,3,heading 4,4,heading 5,5,heading 6,6" \h</w:instrText>
          </w:r>
          <w:r>
            <w:rPr>
              <w:rFonts w:cs="Arial" w:ascii="Arial" w:hAnsi="Arial"/>
              <w:b/>
              <w:bCs/>
              <w:color w:themeColor="text1" w:val="000000"/>
              <w:sz w:val="24"/>
              <w:szCs w:val="24"/>
            </w:rPr>
            <w:fldChar w:fldCharType="separate"/>
          </w:r>
          <w:r>
            <w:rPr>
              <w:rFonts w:cs="Arial" w:ascii="Arial" w:hAnsi="Arial"/>
              <w:b/>
              <w:bCs/>
              <w:color w:themeColor="text1" w:val="000000"/>
              <w:sz w:val="24"/>
              <w:szCs w:val="24"/>
            </w:rPr>
            <w:t>Table of Contents</w:t>
          </w:r>
        </w:p>
        <w:p>
          <w:pPr>
            <w:pStyle w:val="Normal"/>
            <w:rPr>
              <w:lang w:val="en-US" w:eastAsia="en-US"/>
            </w:rPr>
          </w:pPr>
          <w:r>
            <w:rPr>
              <w:lang w:val="en-US" w:eastAsia="en-US"/>
            </w:rPr>
          </w:r>
        </w:p>
        <w:p>
          <w:pPr>
            <w:pStyle w:val="TOC1"/>
            <w:tabs>
              <w:tab w:val="clear" w:pos="9026"/>
              <w:tab w:val="right" w:pos="9350" w:leader="dot"/>
            </w:tabs>
            <w:rPr>
              <w:rFonts w:ascii="Cambria" w:hAnsi="Cambria" w:eastAsia="" w:cs="" w:asciiTheme="minorHAnsi" w:cstheme="minorBidi" w:eastAsiaTheme="minorEastAsia" w:hAnsiTheme="minorHAnsi"/>
              <w:sz w:val="22"/>
              <w:szCs w:val="22"/>
              <w:lang w:val="en-IN"/>
            </w:rPr>
          </w:pPr>
          <w:hyperlink w:anchor="_Toc225975023">
            <w:r>
              <w:rPr>
                <w:rStyle w:val="IndexLink"/>
              </w:rPr>
              <w:t>Section 1</w:t>
            </w:r>
          </w:hyperlink>
          <w:r>
            <w:rPr/>
            <w:t>.....................................................................................</w:t>
          </w:r>
          <w:r>
            <w:rPr>
              <w:vanish w:val="false"/>
            </w:rPr>
            <w:t>...........................................  3</w:t>
          </w:r>
        </w:p>
        <w:p>
          <w:pPr>
            <w:pStyle w:val="TOC2"/>
            <w:tabs>
              <w:tab w:val="clear" w:pos="8743"/>
              <w:tab w:val="left" w:pos="880" w:leader="none"/>
              <w:tab w:val="right" w:pos="9350" w:leader="dot"/>
            </w:tabs>
            <w:rPr>
              <w:rFonts w:ascii="Cambria" w:hAnsi="Cambria" w:eastAsia="" w:cs="" w:asciiTheme="minorHAnsi" w:cstheme="minorBidi" w:eastAsiaTheme="minorEastAsia" w:hAnsiTheme="minorHAnsi"/>
              <w:sz w:val="22"/>
              <w:szCs w:val="22"/>
              <w:lang w:val="en-IN"/>
            </w:rPr>
          </w:pPr>
          <w:hyperlink w:anchor="_Toc225975024">
            <w:r>
              <w:rPr>
                <w:rStyle w:val="IndexLink"/>
              </w:rPr>
              <w:t>1.</w:t>
            </w:r>
            <w:r>
              <w:rPr>
                <w:rStyle w:val="IndexLink"/>
                <w:rFonts w:eastAsia="" w:cs="" w:ascii="Cambria" w:hAnsi="Cambria" w:asciiTheme="minorHAnsi" w:cstheme="minorBidi" w:eastAsiaTheme="minorEastAsia" w:hAnsiTheme="minorHAnsi"/>
                <w:sz w:val="22"/>
                <w:szCs w:val="22"/>
                <w:lang w:val="en-IN"/>
              </w:rPr>
              <w:t xml:space="preserve"> </w:t>
            </w:r>
            <w:r>
              <w:rPr>
                <w:rStyle w:val="IndexLink"/>
              </w:rPr>
              <w:t xml:space="preserve">Introduction .................................................................................................................... </w:t>
            </w:r>
          </w:hyperlink>
          <w:r>
            <w:rPr>
              <w:vanish w:val="false"/>
            </w:rPr>
            <w:t>3</w:t>
          </w:r>
        </w:p>
        <w:p>
          <w:pPr>
            <w:pStyle w:val="TOC3"/>
            <w:tabs>
              <w:tab w:val="clear" w:pos="720"/>
              <w:tab w:val="right" w:pos="9350" w:leader="dot"/>
            </w:tabs>
            <w:rPr>
              <w:rFonts w:ascii="Cambria" w:hAnsi="Cambria" w:eastAsia="" w:cs="" w:asciiTheme="minorHAnsi" w:cstheme="minorBidi" w:eastAsiaTheme="minorEastAsia" w:hAnsiTheme="minorHAnsi"/>
              <w:sz w:val="22"/>
              <w:szCs w:val="22"/>
              <w:lang w:val="en-IN"/>
            </w:rPr>
          </w:pPr>
          <w:hyperlink w:anchor="_Toc225975025">
            <w:r>
              <w:rPr>
                <w:rStyle w:val="IndexLink"/>
              </w:rPr>
              <w:t xml:space="preserve">1.1 Background of Mercedes </w:t>
            </w:r>
          </w:hyperlink>
          <w:hyperlink w:anchor="_Toc225975024">
            <w:r>
              <w:rPr>
                <w:webHidden/>
              </w:rPr>
              <w:fldChar w:fldCharType="begin"/>
            </w:r>
            <w:r>
              <w:rPr>
                <w:webHidden/>
              </w:rPr>
              <w:instrText xml:space="preserve">PAGEREF _Toc225975024 \h</w:instrText>
            </w:r>
            <w:r>
              <w:rPr>
                <w:webHidden/>
              </w:rPr>
              <w:fldChar w:fldCharType="separate"/>
            </w:r>
            <w:r>
              <w:rPr>
                <w:rStyle w:val="IndexLink"/>
                <w:vanish/>
              </w:rPr>
              <w:t>........................................................................................</w:t>
            </w:r>
            <w:r>
              <w:rPr>
                <w:webHidden/>
              </w:rPr>
              <w:fldChar w:fldCharType="end"/>
            </w:r>
          </w:hyperlink>
          <w:r>
            <w:rPr/>
            <w:t xml:space="preserve"> ........................................................................................ </w:t>
          </w:r>
          <w:r>
            <w:rPr>
              <w:vanish w:val="false"/>
            </w:rPr>
            <w:t>3</w:t>
          </w:r>
        </w:p>
        <w:p>
          <w:pPr>
            <w:pStyle w:val="TOC2"/>
            <w:tabs>
              <w:tab w:val="clear" w:pos="8743"/>
              <w:tab w:val="right" w:pos="9350" w:leader="dot"/>
            </w:tabs>
            <w:rPr>
              <w:rFonts w:ascii="Cambria" w:hAnsi="Cambria" w:eastAsia="" w:cs="" w:asciiTheme="minorHAnsi" w:cstheme="minorBidi" w:eastAsiaTheme="minorEastAsia" w:hAnsiTheme="minorHAnsi"/>
              <w:sz w:val="22"/>
              <w:szCs w:val="22"/>
              <w:lang w:val="en-IN"/>
            </w:rPr>
          </w:pPr>
          <w:hyperlink w:anchor="_Toc225975026">
            <w:r>
              <w:rPr>
                <w:rStyle w:val="IndexLink"/>
              </w:rPr>
              <w:t xml:space="preserve">2. Macro environment analysis (PESTLE)  .............................................................,,......... </w:t>
            </w:r>
          </w:hyperlink>
          <w:r>
            <w:rPr>
              <w:vanish w:val="false"/>
            </w:rPr>
            <w:t>4</w:t>
          </w:r>
        </w:p>
        <w:p>
          <w:pPr>
            <w:pStyle w:val="TOC3"/>
            <w:tabs>
              <w:tab w:val="clear" w:pos="720"/>
              <w:tab w:val="right" w:pos="9350" w:leader="dot"/>
            </w:tabs>
            <w:rPr>
              <w:rFonts w:ascii="Cambria" w:hAnsi="Cambria" w:eastAsia="" w:cs="" w:asciiTheme="minorHAnsi" w:cstheme="minorBidi" w:eastAsiaTheme="minorEastAsia" w:hAnsiTheme="minorHAnsi"/>
              <w:sz w:val="22"/>
              <w:szCs w:val="22"/>
              <w:lang w:val="en-IN"/>
            </w:rPr>
          </w:pPr>
          <w:hyperlink w:anchor="_Toc225975027">
            <w:r>
              <w:rPr>
                <w:rStyle w:val="IndexLink"/>
              </w:rPr>
              <w:t xml:space="preserve">2.1 Political ..................................................................................................................... </w:t>
            </w:r>
          </w:hyperlink>
          <w:r>
            <w:rPr>
              <w:vanish w:val="false"/>
            </w:rPr>
            <w:t>6</w:t>
          </w:r>
        </w:p>
        <w:p>
          <w:pPr>
            <w:pStyle w:val="TOC3"/>
            <w:tabs>
              <w:tab w:val="clear" w:pos="720"/>
              <w:tab w:val="right" w:pos="9350" w:leader="dot"/>
            </w:tabs>
            <w:rPr>
              <w:rFonts w:ascii="Cambria" w:hAnsi="Cambria" w:eastAsia="" w:cs="" w:asciiTheme="minorHAnsi" w:cstheme="minorBidi" w:eastAsiaTheme="minorEastAsia" w:hAnsiTheme="minorHAnsi"/>
              <w:sz w:val="22"/>
              <w:szCs w:val="22"/>
              <w:lang w:val="en-IN"/>
            </w:rPr>
          </w:pPr>
          <w:hyperlink w:anchor="_Toc225975028">
            <w:r>
              <w:rPr>
                <w:rStyle w:val="IndexLink"/>
              </w:rPr>
              <w:t>2.2 Economic ...................................................................................................................</w:t>
            </w:r>
          </w:hyperlink>
          <w:r>
            <w:rPr>
              <w:vanish w:val="false"/>
            </w:rPr>
            <w:t>7</w:t>
          </w:r>
        </w:p>
        <w:p>
          <w:pPr>
            <w:pStyle w:val="TOC3"/>
            <w:tabs>
              <w:tab w:val="clear" w:pos="720"/>
              <w:tab w:val="right" w:pos="9350" w:leader="dot"/>
            </w:tabs>
            <w:rPr>
              <w:rFonts w:ascii="Cambria" w:hAnsi="Cambria" w:eastAsia="" w:cs="" w:asciiTheme="minorHAnsi" w:cstheme="minorBidi" w:eastAsiaTheme="minorEastAsia" w:hAnsiTheme="minorHAnsi"/>
              <w:sz w:val="22"/>
              <w:szCs w:val="22"/>
              <w:lang w:val="en-IN"/>
            </w:rPr>
          </w:pPr>
          <w:hyperlink w:anchor="_Toc225975029">
            <w:r>
              <w:rPr>
                <w:rStyle w:val="IndexLink"/>
              </w:rPr>
              <w:t xml:space="preserve">2.3 Social </w:t>
            </w:r>
          </w:hyperlink>
          <w:hyperlink w:anchor="_Toc225975024">
            <w:r>
              <w:rPr>
                <w:webHidden/>
              </w:rPr>
              <w:fldChar w:fldCharType="begin"/>
            </w:r>
            <w:r>
              <w:rPr>
                <w:webHidden/>
              </w:rPr>
              <w:instrText xml:space="preserve">PAGEREF _Toc225975024 \h</w:instrText>
            </w:r>
            <w:r>
              <w:rPr>
                <w:webHidden/>
              </w:rPr>
              <w:fldChar w:fldCharType="separate"/>
            </w:r>
            <w:r>
              <w:rPr>
                <w:rStyle w:val="IndexLink"/>
                <w:vanish/>
              </w:rPr>
              <w:t>.....................................................................................................</w:t>
            </w:r>
            <w:r>
              <w:rPr>
                <w:webHidden/>
              </w:rPr>
              <w:fldChar w:fldCharType="end"/>
            </w:r>
          </w:hyperlink>
          <w:r>
            <w:rPr/>
            <w:t xml:space="preserve">........................................................................................................................ </w:t>
          </w:r>
          <w:r>
            <w:rPr>
              <w:vanish w:val="false"/>
            </w:rPr>
            <w:t>8</w:t>
          </w:r>
        </w:p>
        <w:p>
          <w:pPr>
            <w:pStyle w:val="TOC3"/>
            <w:tabs>
              <w:tab w:val="clear" w:pos="720"/>
              <w:tab w:val="right" w:pos="9350" w:leader="dot"/>
            </w:tabs>
            <w:rPr>
              <w:rFonts w:ascii="Cambria" w:hAnsi="Cambria" w:eastAsia="" w:cs="" w:asciiTheme="minorHAnsi" w:cstheme="minorBidi" w:eastAsiaTheme="minorEastAsia" w:hAnsiTheme="minorHAnsi"/>
              <w:sz w:val="22"/>
              <w:szCs w:val="22"/>
              <w:lang w:val="en-IN"/>
            </w:rPr>
          </w:pPr>
          <w:hyperlink w:anchor="_Toc225975030">
            <w:r>
              <w:rPr>
                <w:rStyle w:val="IndexLink"/>
              </w:rPr>
              <w:t xml:space="preserve">2.4 Technological ..........................................................................................................  </w:t>
            </w:r>
          </w:hyperlink>
          <w:r>
            <w:rPr>
              <w:vanish w:val="false"/>
            </w:rPr>
            <w:t>9</w:t>
          </w:r>
        </w:p>
        <w:p>
          <w:pPr>
            <w:pStyle w:val="TOC3"/>
            <w:tabs>
              <w:tab w:val="clear" w:pos="720"/>
              <w:tab w:val="right" w:pos="9350" w:leader="dot"/>
            </w:tabs>
            <w:rPr>
              <w:rFonts w:ascii="Cambria" w:hAnsi="Cambria" w:eastAsia="" w:cs="" w:asciiTheme="minorHAnsi" w:cstheme="minorBidi" w:eastAsiaTheme="minorEastAsia" w:hAnsiTheme="minorHAnsi"/>
              <w:sz w:val="22"/>
              <w:szCs w:val="22"/>
              <w:lang w:val="en-IN"/>
            </w:rPr>
          </w:pPr>
          <w:hyperlink w:anchor="_Toc225975031">
            <w:r>
              <w:rPr>
                <w:rStyle w:val="IndexLink"/>
              </w:rPr>
              <w:t xml:space="preserve">2.5 Legal </w:t>
            </w:r>
          </w:hyperlink>
          <w:hyperlink w:anchor="_Toc225975024">
            <w:r>
              <w:rPr>
                <w:webHidden/>
              </w:rPr>
              <w:fldChar w:fldCharType="begin"/>
            </w:r>
            <w:r>
              <w:rPr>
                <w:webHidden/>
              </w:rPr>
              <w:instrText xml:space="preserve">PAGEREF _Toc225975024 \h</w:instrText>
            </w:r>
            <w:r>
              <w:rPr>
                <w:webHidden/>
              </w:rPr>
              <w:fldChar w:fldCharType="separate"/>
            </w:r>
            <w:r>
              <w:rPr>
                <w:rStyle w:val="IndexLink"/>
                <w:vanish/>
              </w:rPr>
              <w:t>.....................................................................................................</w:t>
            </w:r>
            <w:r>
              <w:rPr>
                <w:webHidden/>
              </w:rPr>
              <w:fldChar w:fldCharType="end"/>
            </w:r>
          </w:hyperlink>
          <w:r>
            <w:rPr/>
            <w:t xml:space="preserve">.....................................................................................................................   </w:t>
          </w:r>
          <w:hyperlink w:anchor="_Toc225975031">
            <w:r>
              <w:rPr>
                <w:rStyle w:val="IndexLink"/>
                <w:vanish w:val="false"/>
              </w:rPr>
              <w:t>1</w:t>
            </w:r>
          </w:hyperlink>
          <w:r>
            <w:rPr>
              <w:vanish w:val="false"/>
            </w:rPr>
            <w:t>0</w:t>
          </w:r>
        </w:p>
        <w:p>
          <w:pPr>
            <w:pStyle w:val="TOC3"/>
            <w:tabs>
              <w:tab w:val="clear" w:pos="720"/>
              <w:tab w:val="right" w:pos="9350" w:leader="dot"/>
            </w:tabs>
            <w:rPr>
              <w:rFonts w:ascii="Cambria" w:hAnsi="Cambria" w:eastAsia="" w:cs="" w:asciiTheme="minorHAnsi" w:cstheme="minorBidi" w:eastAsiaTheme="minorEastAsia" w:hAnsiTheme="minorHAnsi"/>
              <w:sz w:val="22"/>
              <w:szCs w:val="22"/>
              <w:lang w:val="en-IN"/>
            </w:rPr>
          </w:pPr>
          <w:hyperlink w:anchor="_Toc225975032">
            <w:r>
              <w:rPr>
                <w:rStyle w:val="IndexLink"/>
              </w:rPr>
              <w:t xml:space="preserve">2.6 Environmental </w:t>
            </w:r>
          </w:hyperlink>
          <w:r>
            <w:rPr/>
            <w:t>.....................................................................................................</w:t>
          </w:r>
          <w:hyperlink w:anchor="_Toc225975024">
            <w:r>
              <w:rPr>
                <w:rStyle w:val="IndexLink"/>
                <w:vanish/>
              </w:rPr>
              <w:t>.....................................................................................................</w:t>
            </w:r>
          </w:hyperlink>
          <w:r>
            <w:rPr/>
            <w:t xml:space="preserve">    </w:t>
          </w:r>
          <w:hyperlink w:anchor="_Toc225975032">
            <w:r>
              <w:rPr>
                <w:rStyle w:val="IndexLink"/>
                <w:vanish w:val="false"/>
              </w:rPr>
              <w:t>1</w:t>
            </w:r>
          </w:hyperlink>
          <w:r>
            <w:rPr>
              <w:vanish w:val="false"/>
            </w:rPr>
            <w:t>1</w:t>
          </w:r>
        </w:p>
        <w:p>
          <w:pPr>
            <w:pStyle w:val="TOC2"/>
            <w:tabs>
              <w:tab w:val="clear" w:pos="8743"/>
              <w:tab w:val="right" w:pos="9350" w:leader="dot"/>
            </w:tabs>
            <w:rPr>
              <w:rFonts w:ascii="Cambria" w:hAnsi="Cambria" w:eastAsia="" w:cs="" w:asciiTheme="minorHAnsi" w:cstheme="minorBidi" w:eastAsiaTheme="minorEastAsia" w:hAnsiTheme="minorHAnsi"/>
              <w:sz w:val="22"/>
              <w:szCs w:val="22"/>
              <w:lang w:val="en-IN"/>
            </w:rPr>
          </w:pPr>
          <w:hyperlink w:anchor="_Toc225975033">
            <w:r>
              <w:rPr>
                <w:rStyle w:val="IndexLink"/>
              </w:rPr>
              <w:t xml:space="preserve">3. Hofstede cultural analysis </w:t>
            </w:r>
          </w:hyperlink>
          <w:r>
            <w:rPr/>
            <w:t>...........................................................................................</w:t>
          </w:r>
          <w:hyperlink w:anchor="_Toc225975024">
            <w:r>
              <w:rPr>
                <w:rStyle w:val="IndexLink"/>
                <w:vanish/>
              </w:rPr>
              <w:t>...........................................................................................</w:t>
            </w:r>
          </w:hyperlink>
          <w:r>
            <w:rPr/>
            <w:t xml:space="preserve"> </w:t>
          </w:r>
          <w:r>
            <w:rPr>
              <w:vanish w:val="false"/>
            </w:rPr>
            <w:t>12</w:t>
          </w:r>
        </w:p>
        <w:p>
          <w:pPr>
            <w:pStyle w:val="TOC3"/>
            <w:tabs>
              <w:tab w:val="clear" w:pos="720"/>
              <w:tab w:val="right" w:pos="9350" w:leader="dot"/>
            </w:tabs>
            <w:rPr>
              <w:rFonts w:ascii="Cambria" w:hAnsi="Cambria" w:eastAsia="" w:cs="" w:asciiTheme="minorHAnsi" w:cstheme="minorBidi" w:eastAsiaTheme="minorEastAsia" w:hAnsiTheme="minorHAnsi"/>
              <w:sz w:val="22"/>
              <w:szCs w:val="22"/>
              <w:lang w:val="en-IN"/>
            </w:rPr>
          </w:pPr>
          <w:hyperlink w:anchor="_Toc225975034">
            <w:r>
              <w:rPr>
                <w:rStyle w:val="IndexLink"/>
              </w:rPr>
              <w:t xml:space="preserve">3.1 Hofstede Cultural Dimensions of the Germany and UAE .....................................  </w:t>
            </w:r>
          </w:hyperlink>
          <w:r>
            <w:rPr>
              <w:vanish w:val="false"/>
            </w:rPr>
            <w:t>12</w:t>
          </w:r>
        </w:p>
        <w:p>
          <w:pPr>
            <w:pStyle w:val="TOC3"/>
            <w:tabs>
              <w:tab w:val="clear" w:pos="720"/>
              <w:tab w:val="right" w:pos="9350" w:leader="dot"/>
            </w:tabs>
            <w:rPr>
              <w:rFonts w:ascii="Cambria" w:hAnsi="Cambria" w:eastAsia="" w:cs="" w:asciiTheme="minorHAnsi" w:cstheme="minorBidi" w:eastAsiaTheme="minorEastAsia" w:hAnsiTheme="minorHAnsi"/>
              <w:sz w:val="22"/>
              <w:szCs w:val="22"/>
              <w:lang w:val="en-IN"/>
            </w:rPr>
          </w:pPr>
          <w:hyperlink w:anchor="_Toc225975035">
            <w:r>
              <w:rPr>
                <w:rStyle w:val="IndexLink"/>
              </w:rPr>
              <w:t xml:space="preserve">3.2 Six Dimensions Comparison Table .......................................................................  </w:t>
            </w:r>
            <w:r>
              <w:rPr>
                <w:rStyle w:val="IndexLink"/>
                <w:vanish w:val="false"/>
              </w:rPr>
              <w:t>1</w:t>
            </w:r>
          </w:hyperlink>
          <w:r>
            <w:rPr>
              <w:vanish w:val="false"/>
            </w:rPr>
            <w:t>3</w:t>
          </w:r>
        </w:p>
        <w:p>
          <w:pPr>
            <w:pStyle w:val="TOC2"/>
            <w:tabs>
              <w:tab w:val="clear" w:pos="8743"/>
              <w:tab w:val="right" w:pos="9350" w:leader="dot"/>
            </w:tabs>
            <w:rPr>
              <w:rFonts w:ascii="Cambria" w:hAnsi="Cambria" w:eastAsia="" w:cs="" w:asciiTheme="minorHAnsi" w:cstheme="minorBidi" w:eastAsiaTheme="minorEastAsia" w:hAnsiTheme="minorHAnsi"/>
              <w:sz w:val="22"/>
              <w:szCs w:val="22"/>
              <w:lang w:val="en-IN"/>
            </w:rPr>
          </w:pPr>
          <w:hyperlink w:anchor="_Toc225975037">
            <w:r>
              <w:rPr>
                <w:rStyle w:val="IndexLink"/>
              </w:rPr>
              <w:t xml:space="preserve">4. A comparative analysis of STP Analysis and Marketing mix (7Ps) ............................. </w:t>
            </w:r>
            <w:r>
              <w:rPr>
                <w:rStyle w:val="IndexLink"/>
                <w:vanish w:val="false"/>
              </w:rPr>
              <w:t>1</w:t>
            </w:r>
          </w:hyperlink>
          <w:r>
            <w:rPr>
              <w:vanish w:val="false"/>
            </w:rPr>
            <w:t>4</w:t>
          </w:r>
        </w:p>
        <w:p>
          <w:pPr>
            <w:pStyle w:val="TOC3"/>
            <w:tabs>
              <w:tab w:val="clear" w:pos="720"/>
              <w:tab w:val="right" w:pos="9350" w:leader="dot"/>
            </w:tabs>
            <w:rPr>
              <w:rFonts w:ascii="Cambria" w:hAnsi="Cambria" w:eastAsia="" w:cs="" w:asciiTheme="minorHAnsi" w:cstheme="minorBidi" w:eastAsiaTheme="minorEastAsia" w:hAnsiTheme="minorHAnsi"/>
              <w:sz w:val="22"/>
              <w:szCs w:val="22"/>
              <w:lang w:val="en-IN"/>
            </w:rPr>
          </w:pPr>
          <w:hyperlink w:anchor="_Toc225975038">
            <w:r>
              <w:rPr>
                <w:rStyle w:val="IndexLink"/>
              </w:rPr>
              <w:t xml:space="preserve">4.1 STP analysis </w:t>
            </w:r>
          </w:hyperlink>
          <w:hyperlink w:anchor="_Toc225975024">
            <w:r>
              <w:rPr>
                <w:webHidden/>
              </w:rPr>
              <w:fldChar w:fldCharType="begin"/>
            </w:r>
            <w:r>
              <w:rPr>
                <w:webHidden/>
              </w:rPr>
              <w:instrText xml:space="preserve">PAGEREF _Toc225975024 \h</w:instrText>
            </w:r>
            <w:r>
              <w:rPr>
                <w:webHidden/>
              </w:rPr>
              <w:fldChar w:fldCharType="separate"/>
            </w:r>
            <w:r>
              <w:rPr>
                <w:rStyle w:val="IndexLink"/>
                <w:vanish/>
              </w:rPr>
              <w:t>..................................................................................................</w:t>
            </w:r>
            <w:r>
              <w:rPr>
                <w:webHidden/>
              </w:rPr>
              <w:fldChar w:fldCharType="end"/>
            </w:r>
          </w:hyperlink>
          <w:r>
            <w:rPr/>
            <w:t xml:space="preserve">........................................................................................................   </w:t>
          </w:r>
          <w:hyperlink w:anchor="_Toc225975038">
            <w:r>
              <w:rPr>
                <w:rStyle w:val="IndexLink"/>
                <w:vanish w:val="false"/>
              </w:rPr>
              <w:t>1</w:t>
            </w:r>
          </w:hyperlink>
          <w:r>
            <w:rPr>
              <w:vanish w:val="false"/>
            </w:rPr>
            <w:t>4</w:t>
          </w:r>
        </w:p>
        <w:p>
          <w:pPr>
            <w:pStyle w:val="TOC3"/>
            <w:tabs>
              <w:tab w:val="clear" w:pos="720"/>
              <w:tab w:val="right" w:pos="9350" w:leader="dot"/>
            </w:tabs>
            <w:rPr>
              <w:rFonts w:ascii="Cambria" w:hAnsi="Cambria" w:eastAsia="" w:cs="" w:asciiTheme="minorHAnsi" w:cstheme="minorBidi" w:eastAsiaTheme="minorEastAsia" w:hAnsiTheme="minorHAnsi"/>
              <w:sz w:val="22"/>
              <w:szCs w:val="22"/>
              <w:lang w:val="en-IN"/>
            </w:rPr>
          </w:pPr>
          <w:hyperlink w:anchor="_Toc225975040">
            <w:r>
              <w:rPr>
                <w:rStyle w:val="IndexLink"/>
              </w:rPr>
              <w:t>4.2 7Ps Marketing Mix</w:t>
            </w:r>
          </w:hyperlink>
          <w:r>
            <w:rPr/>
            <w:t xml:space="preserve"> .................................................................................................  </w:t>
          </w:r>
          <w:r>
            <w:rPr>
              <w:vanish w:val="false"/>
            </w:rPr>
            <w:t>17</w:t>
          </w:r>
        </w:p>
        <w:p>
          <w:pPr>
            <w:pStyle w:val="TOC2"/>
            <w:tabs>
              <w:tab w:val="clear" w:pos="8743"/>
              <w:tab w:val="right" w:pos="9350" w:leader="dot"/>
            </w:tabs>
            <w:rPr>
              <w:rFonts w:ascii="Cambria" w:hAnsi="Cambria" w:eastAsia="" w:cs="" w:asciiTheme="minorHAnsi" w:cstheme="minorBidi" w:eastAsiaTheme="minorEastAsia" w:hAnsiTheme="minorHAnsi"/>
              <w:sz w:val="22"/>
              <w:szCs w:val="22"/>
              <w:lang w:val="en-IN"/>
            </w:rPr>
          </w:pPr>
          <w:hyperlink w:anchor="_Toc225975041">
            <w:r>
              <w:rPr>
                <w:rStyle w:val="IndexLink"/>
              </w:rPr>
              <w:t xml:space="preserve">5. Mercede’s directional development strategy in UAE ................................................... </w:t>
            </w:r>
            <w:r>
              <w:rPr>
                <w:rStyle w:val="IndexLink"/>
                <w:vanish w:val="false"/>
              </w:rPr>
              <w:t>2</w:t>
            </w:r>
          </w:hyperlink>
          <w:r>
            <w:rPr>
              <w:vanish w:val="false"/>
            </w:rPr>
            <w:t>3</w:t>
          </w:r>
        </w:p>
        <w:p>
          <w:pPr>
            <w:pStyle w:val="TOC2"/>
            <w:tabs>
              <w:tab w:val="clear" w:pos="8743"/>
              <w:tab w:val="right" w:pos="9350" w:leader="dot"/>
            </w:tabs>
            <w:rPr>
              <w:rFonts w:ascii="Cambria" w:hAnsi="Cambria" w:eastAsia="" w:cs="" w:asciiTheme="minorHAnsi" w:cstheme="minorBidi" w:eastAsiaTheme="minorEastAsia" w:hAnsiTheme="minorHAnsi"/>
              <w:sz w:val="22"/>
              <w:szCs w:val="22"/>
              <w:lang w:val="en-IN"/>
            </w:rPr>
          </w:pPr>
          <w:hyperlink w:anchor="_Toc225975043">
            <w:r>
              <w:rPr>
                <w:rStyle w:val="IndexLink"/>
              </w:rPr>
              <w:t xml:space="preserve">6. Ethical issues related to this brand’s marketing mix  ..................................................  </w:t>
            </w:r>
            <w:r>
              <w:rPr>
                <w:rStyle w:val="IndexLink"/>
                <w:vanish w:val="false"/>
              </w:rPr>
              <w:t>2</w:t>
            </w:r>
          </w:hyperlink>
          <w:r>
            <w:rPr>
              <w:vanish w:val="false"/>
            </w:rPr>
            <w:t>4</w:t>
          </w:r>
        </w:p>
        <w:p>
          <w:pPr>
            <w:pStyle w:val="TOC2"/>
            <w:tabs>
              <w:tab w:val="clear" w:pos="8743"/>
              <w:tab w:val="right" w:pos="9350" w:leader="dot"/>
            </w:tabs>
            <w:rPr>
              <w:rFonts w:ascii="Cambria" w:hAnsi="Cambria" w:eastAsia="" w:cs="" w:asciiTheme="minorHAnsi" w:cstheme="minorBidi" w:eastAsiaTheme="minorEastAsia" w:hAnsiTheme="minorHAnsi"/>
              <w:sz w:val="22"/>
              <w:szCs w:val="22"/>
              <w:lang w:val="en-IN"/>
            </w:rPr>
          </w:pPr>
          <w:hyperlink w:anchor="_Toc225975044">
            <w:r>
              <w:rPr>
                <w:rStyle w:val="IndexLink"/>
              </w:rPr>
              <w:t xml:space="preserve">7. Recommendations </w:t>
            </w:r>
          </w:hyperlink>
          <w:r>
            <w:rPr/>
            <w:t xml:space="preserve">......................................................................................................  </w:t>
          </w:r>
          <w:hyperlink w:anchor="_Toc225975024">
            <w:r>
              <w:rPr>
                <w:rStyle w:val="IndexLink"/>
                <w:vanish/>
              </w:rPr>
              <w:t>......................................................................................................</w:t>
            </w:r>
          </w:hyperlink>
          <w:hyperlink w:anchor="_Toc225975044">
            <w:r>
              <w:rPr>
                <w:webHidden/>
              </w:rPr>
              <w:fldChar w:fldCharType="begin"/>
            </w:r>
            <w:r>
              <w:rPr>
                <w:webHidden/>
              </w:rPr>
              <w:instrText xml:space="preserve">PAGEREF _Toc225975044 \h</w:instrText>
            </w:r>
            <w:r>
              <w:rPr>
                <w:webHidden/>
              </w:rPr>
              <w:fldChar w:fldCharType="separate"/>
            </w:r>
            <w:r>
              <w:rPr>
                <w:rStyle w:val="IndexLink"/>
                <w:vanish/>
              </w:rPr>
              <w:t xml:space="preserve"> </w:t>
            </w:r>
            <w:r>
              <w:rPr>
                <w:webHidden/>
              </w:rPr>
              <w:fldChar w:fldCharType="end"/>
            </w:r>
          </w:hyperlink>
          <w:r>
            <w:rPr>
              <w:vanish w:val="false"/>
            </w:rPr>
            <w:t>25</w:t>
          </w:r>
        </w:p>
        <w:p>
          <w:pPr>
            <w:pStyle w:val="TOC1"/>
            <w:tabs>
              <w:tab w:val="clear" w:pos="9026"/>
              <w:tab w:val="right" w:pos="9350" w:leader="dot"/>
            </w:tabs>
            <w:rPr>
              <w:rFonts w:ascii="Cambria" w:hAnsi="Cambria" w:eastAsia="" w:cs="" w:asciiTheme="minorHAnsi" w:cstheme="minorBidi" w:eastAsiaTheme="minorEastAsia" w:hAnsiTheme="minorHAnsi"/>
              <w:sz w:val="22"/>
              <w:szCs w:val="22"/>
              <w:lang w:val="en-IN"/>
            </w:rPr>
          </w:pPr>
          <w:hyperlink w:anchor="_Toc225975045">
            <w:r>
              <w:rPr>
                <w:rStyle w:val="IndexLink"/>
              </w:rPr>
              <w:t xml:space="preserve">Section 2 </w:t>
            </w:r>
          </w:hyperlink>
          <w:hyperlink w:anchor="_Toc225975024">
            <w:r>
              <w:rPr>
                <w:webHidden/>
              </w:rPr>
              <w:fldChar w:fldCharType="begin"/>
            </w:r>
            <w:r>
              <w:rPr>
                <w:webHidden/>
              </w:rPr>
              <w:instrText xml:space="preserve">PAGEREF _Toc225975024 \h</w:instrText>
            </w:r>
            <w:r>
              <w:rPr>
                <w:webHidden/>
              </w:rPr>
              <w:fldChar w:fldCharType="separate"/>
            </w:r>
            <w:r>
              <w:rPr>
                <w:rStyle w:val="IndexLink"/>
                <w:vanish/>
              </w:rPr>
              <w:t>..................................................................................................</w:t>
            </w:r>
            <w:r>
              <w:rPr>
                <w:webHidden/>
              </w:rPr>
              <w:fldChar w:fldCharType="end"/>
            </w:r>
          </w:hyperlink>
          <w:r>
            <w:rPr/>
            <w:t>..............................................................................................................................</w:t>
          </w:r>
          <w:hyperlink w:anchor="_Toc225975045">
            <w:r>
              <w:rPr>
                <w:rStyle w:val="IndexLink"/>
              </w:rPr>
              <w:t xml:space="preserve"> </w:t>
            </w:r>
            <w:r>
              <w:rPr>
                <w:rStyle w:val="IndexLink"/>
                <w:vanish w:val="false"/>
              </w:rPr>
              <w:t>2</w:t>
            </w:r>
          </w:hyperlink>
          <w:r>
            <w:rPr>
              <w:vanish w:val="false"/>
            </w:rPr>
            <w:t>6</w:t>
          </w:r>
        </w:p>
        <w:p>
          <w:pPr>
            <w:pStyle w:val="TOC2"/>
            <w:tabs>
              <w:tab w:val="clear" w:pos="8743"/>
              <w:tab w:val="right" w:pos="9350" w:leader="dot"/>
            </w:tabs>
            <w:rPr>
              <w:rFonts w:ascii="Cambria" w:hAnsi="Cambria" w:eastAsia="" w:cs="" w:asciiTheme="minorHAnsi" w:cstheme="minorBidi" w:eastAsiaTheme="minorEastAsia" w:hAnsiTheme="minorHAnsi"/>
              <w:sz w:val="22"/>
              <w:szCs w:val="22"/>
              <w:lang w:val="en-IN"/>
            </w:rPr>
          </w:pPr>
          <w:hyperlink w:anchor="_Toc225975046">
            <w:r>
              <w:rPr>
                <w:rStyle w:val="IndexLink"/>
              </w:rPr>
              <w:t xml:space="preserve">8. Gibbs reflective cycle </w:t>
            </w:r>
          </w:hyperlink>
          <w:r>
            <w:rPr/>
            <w:t xml:space="preserve">..................................................................................................  </w:t>
          </w:r>
          <w:hyperlink w:anchor="_Toc225975024">
            <w:r>
              <w:rPr>
                <w:rStyle w:val="IndexLink"/>
                <w:vanish/>
              </w:rPr>
              <w:t>..................................................................................................</w:t>
            </w:r>
          </w:hyperlink>
          <w:hyperlink w:anchor="_Toc225975046">
            <w:r>
              <w:rPr>
                <w:webHidden/>
              </w:rPr>
              <w:fldChar w:fldCharType="begin"/>
            </w:r>
            <w:r>
              <w:rPr>
                <w:webHidden/>
              </w:rPr>
              <w:instrText xml:space="preserve">PAGEREF _Toc225975046 \h</w:instrText>
            </w:r>
            <w:r>
              <w:rPr>
                <w:webHidden/>
              </w:rPr>
              <w:fldChar w:fldCharType="separate"/>
            </w:r>
            <w:r>
              <w:rPr>
                <w:rStyle w:val="IndexLink"/>
                <w:vanish/>
              </w:rPr>
              <w:t xml:space="preserve"> </w:t>
            </w:r>
            <w:r>
              <w:rPr>
                <w:webHidden/>
              </w:rPr>
              <w:fldChar w:fldCharType="end"/>
            </w:r>
          </w:hyperlink>
          <w:r>
            <w:rPr>
              <w:vanish/>
            </w:rPr>
            <w:t>......................................</w:t>
          </w:r>
          <w:r>
            <w:rPr>
              <w:vanish w:val="false"/>
            </w:rPr>
            <w:t>26</w:t>
          </w:r>
        </w:p>
        <w:p>
          <w:pPr>
            <w:pStyle w:val="TOC1"/>
            <w:tabs>
              <w:tab w:val="clear" w:pos="9026"/>
              <w:tab w:val="right" w:pos="9350" w:leader="dot"/>
            </w:tabs>
            <w:rPr>
              <w:rFonts w:ascii="Cambria" w:hAnsi="Cambria" w:eastAsia="" w:cs="" w:asciiTheme="minorHAnsi" w:cstheme="minorBidi" w:eastAsiaTheme="minorEastAsia" w:hAnsiTheme="minorHAnsi"/>
              <w:sz w:val="22"/>
              <w:szCs w:val="22"/>
              <w:lang w:val="en-IN"/>
            </w:rPr>
          </w:pPr>
          <w:hyperlink w:anchor="_Toc225975048">
            <w:r>
              <w:rPr>
                <w:rStyle w:val="IndexLink"/>
              </w:rPr>
              <w:t xml:space="preserve">References </w:t>
            </w:r>
          </w:hyperlink>
          <w:hyperlink w:anchor="_Toc225975024">
            <w:r>
              <w:rPr>
                <w:webHidden/>
              </w:rPr>
              <w:fldChar w:fldCharType="begin"/>
            </w:r>
            <w:r>
              <w:rPr>
                <w:webHidden/>
              </w:rPr>
              <w:instrText xml:space="preserve">PAGEREF _Toc225975024 \h</w:instrText>
            </w:r>
            <w:r>
              <w:rPr>
                <w:webHidden/>
              </w:rPr>
              <w:fldChar w:fldCharType="separate"/>
            </w:r>
            <w:r>
              <w:rPr>
                <w:rStyle w:val="IndexLink"/>
                <w:vanish/>
              </w:rPr>
              <w:t>..................................................................................................</w:t>
            </w:r>
            <w:r>
              <w:rPr>
                <w:webHidden/>
              </w:rPr>
              <w:fldChar w:fldCharType="end"/>
            </w:r>
          </w:hyperlink>
          <w:r>
            <w:rPr/>
            <w:t xml:space="preserve">..........................................................................................................................  </w:t>
          </w:r>
          <w:hyperlink w:anchor="_Toc225975048">
            <w:r>
              <w:rPr>
                <w:webHidden/>
              </w:rPr>
              <w:fldChar w:fldCharType="begin"/>
            </w:r>
            <w:r>
              <w:rPr>
                <w:webHidden/>
              </w:rPr>
              <w:instrText xml:space="preserve">PAGEREF _Toc225975048 \h</w:instrText>
            </w:r>
            <w:r>
              <w:rPr>
                <w:webHidden/>
              </w:rPr>
              <w:fldChar w:fldCharType="separate"/>
            </w:r>
            <w:r>
              <w:rPr>
                <w:rStyle w:val="IndexLink"/>
                <w:vanish w:val="false"/>
              </w:rPr>
              <w:t>27</w:t>
            </w:r>
            <w:r>
              <w:rPr>
                <w:webHidden/>
              </w:rPr>
              <w:fldChar w:fldCharType="end"/>
            </w:r>
          </w:hyperlink>
        </w:p>
        <w:p>
          <w:pPr>
            <w:pStyle w:val="Normal"/>
            <w:rPr/>
          </w:pPr>
          <w:r>
            <w:rPr/>
          </w:r>
          <w:r>
            <w:rPr/>
            <w:fldChar w:fldCharType="end"/>
          </w:r>
        </w:p>
      </w:sdtContent>
    </w:sdt>
    <w:p>
      <w:pPr>
        <w:pStyle w:val="Normal"/>
        <w:rPr/>
      </w:pPr>
      <w:r>
        <w:rPr/>
      </w:r>
      <w:r>
        <w:br w:type="page"/>
      </w:r>
    </w:p>
    <w:p>
      <w:pPr>
        <w:pStyle w:val="Heading1"/>
        <w:spacing w:lineRule="auto" w:line="360" w:before="0" w:after="200"/>
        <w:jc w:val="both"/>
        <w:rPr>
          <w:rFonts w:ascii="Arial" w:hAnsi="Arial"/>
          <w:sz w:val="24"/>
          <w:szCs w:val="24"/>
        </w:rPr>
      </w:pPr>
      <w:bookmarkStart w:id="0" w:name="__RefHeading___Toc4337_2000338780"/>
      <w:bookmarkEnd w:id="0"/>
      <w:r>
        <w:rPr>
          <w:rFonts w:ascii="Arial" w:hAnsi="Arial"/>
          <w:sz w:val="24"/>
          <w:szCs w:val="24"/>
        </w:rPr>
        <w:t>1. Introduction</w:t>
      </w:r>
    </w:p>
    <w:p>
      <w:pPr>
        <w:pStyle w:val="normal2"/>
        <w:pageBreakBefore w:val="false"/>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tab/>
        <w:t>Renowned for its engineering excellence and prestige, Mercedes-Benz is a premier global automotive manufacturer established in 1926. The brand was born as a result of historic merger between two pioneering companies founded by 2 individuals. Karl Benz - who famously patented the first petrol powered internal combustion engine automobile in 1886 - and Gottlieb Daimler who(with his partner Wilhelm Maybach) invented first 4 wheeled automobile by integrating an engine into a stagecoach. Currently the brand is operating under its parent corporation Mercedes-Benz Group AG. Over the past century, it has evolved into a dominant multinational powerhouse with the overarching global vision of building the world's most desirable cars while pioneering the future of electric mobility and vehicle software. However, the execution of this vision is very strategic and the brand has adapted to its distinct international markets and it’s environment.</w:t>
      </w:r>
    </w:p>
    <w:p>
      <w:pPr>
        <w:pStyle w:val="normal2"/>
        <w:pageBreakBefore w:val="false"/>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t>This report presents a comprehensive comparative analysis of the international marketing strategies of Mercedes-Benz in two highly distinct markets: Germany and the United Arab Emirates (UAE). Through contemporary marketing frameworks, It evaluates the macro environmental factors that influence both regions. PESTLE and Hofstede's Cultural Dimensions are used to understand the impact of different economic and social conditions. Furthermore, the report critically examines how Mercedes-Benz adapted its Segmentation, Targeting, and Positioning (STP), along with the 7Ps of the marketing mix, to accommodate these differing landscapes. The report also includes an evaluation of Mercedes-Benz's directional development strategy, an assessment of ethical considerations within its marketing practices. After the analysis, It concludes with strategic recommendations for its future international operations. A reflective account of the report will be provided using Gibbs Reflective Cycle.</w:t>
      </w:r>
      <w:r>
        <w:br w:type="page"/>
      </w:r>
    </w:p>
    <w:p>
      <w:pPr>
        <w:pStyle w:val="Heading1"/>
        <w:spacing w:lineRule="auto" w:line="360" w:before="0" w:after="200"/>
        <w:jc w:val="both"/>
        <w:rPr>
          <w:rFonts w:ascii="Arial" w:hAnsi="Arial"/>
          <w:sz w:val="24"/>
          <w:szCs w:val="24"/>
        </w:rPr>
      </w:pPr>
      <w:bookmarkStart w:id="1" w:name="__RefHeading___Toc4335_2000338780"/>
      <w:bookmarkEnd w:id="1"/>
      <w:r>
        <w:rPr>
          <w:rFonts w:ascii="Arial" w:hAnsi="Arial"/>
          <w:sz w:val="24"/>
          <w:szCs w:val="24"/>
        </w:rPr>
        <w:t xml:space="preserve">2.0. </w:t>
      </w:r>
      <w:r>
        <w:rPr>
          <w:rFonts w:ascii="Arial" w:hAnsi="Arial"/>
          <w:b/>
          <w:bCs/>
          <w:sz w:val="24"/>
          <w:szCs w:val="24"/>
        </w:rPr>
        <w:t>Macro Environmental Analysis</w:t>
      </w:r>
    </w:p>
    <w:p>
      <w:pPr>
        <w:pStyle w:val="Heading2"/>
        <w:spacing w:lineRule="auto" w:line="360" w:before="0" w:after="200"/>
        <w:jc w:val="both"/>
        <w:rPr>
          <w:rFonts w:ascii="Arial" w:hAnsi="Arial"/>
          <w:sz w:val="24"/>
          <w:szCs w:val="24"/>
        </w:rPr>
      </w:pPr>
      <w:bookmarkStart w:id="2" w:name="__RefHeading___Toc4339_2000338780"/>
      <w:bookmarkEnd w:id="2"/>
      <w:r>
        <w:rPr>
          <w:rFonts w:eastAsia="Times New Roman" w:cs="Times New Roman" w:ascii="Arial" w:hAnsi="Arial"/>
          <w:b/>
          <w:bCs/>
          <w:i w:val="false"/>
          <w:caps w:val="false"/>
          <w:smallCaps w:val="false"/>
          <w:strike w:val="false"/>
          <w:dstrike w:val="false"/>
          <w:color w:val="000000"/>
          <w:position w:val="0"/>
          <w:sz w:val="24"/>
          <w:szCs w:val="24"/>
          <w:u w:val="none"/>
          <w:shd w:fill="auto" w:val="clear"/>
          <w:vertAlign w:val="baseline"/>
        </w:rPr>
        <w:t>Comprehensive analysis and Company’s Adoption</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PESTLE analysis is used to identify, evaluate, and monitor the external macro-environmental factors that influence operations and strategic decision-making of given organization. There are six dimensions categorised under this framekwork : Political, Economic, Social, Technological, Legal, and Environmental (Johnson, Scholes and Whittington, 2008). By systematically scanning only these six areas and anticipating  market trends, businesses can mitigate external threats and discover new opportunities for growth.</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Mercedes-Benz is attempting to succeed in highly polarized markets. Though PESTLE framework, we can understand why the company must adapt its operations. It provides the structured evidence to demonstrate how Political or Legal factors such as rigid European emission mandates  and Social factors such as pragmatic consumer values in Germany directly  contrast with economic and social factors such as  massive tax-free purchasing power and conspicuous, status-driven culture of the UAE. Ultimately, PESTLE forms the analytical foundation for the brand's localized Segmentation, Targeting, Positioning (STP), and 7Ps marketing mix.</w:t>
      </w:r>
    </w:p>
    <w:p>
      <w:pPr>
        <w:pStyle w:val="Normal"/>
        <w:bidi w:val="0"/>
        <w:spacing w:lineRule="auto" w:line="360" w:before="0" w:after="200"/>
        <w:jc w:val="center"/>
        <w:rPr>
          <w:rFonts w:eastAsia="Times New Roman" w:cs="Times New Roman"/>
          <w:b w:val="false"/>
          <w:bCs w:val="false"/>
          <w:sz w:val="24"/>
          <w:szCs w:val="24"/>
        </w:rPr>
      </w:pPr>
      <w:r>
        <w:drawing>
          <wp:anchor distT="0" distB="0" distL="0" distR="0" simplePos="0" relativeHeight="31" behindDoc="0" locked="0" layoutInCell="0" allowOverlap="1">
            <wp:simplePos x="0" y="0"/>
            <wp:positionH relativeFrom="column">
              <wp:align>center</wp:align>
            </wp:positionH>
            <wp:positionV relativeFrom="paragraph">
              <wp:posOffset>635</wp:posOffset>
            </wp:positionV>
            <wp:extent cx="5870575" cy="2820035"/>
            <wp:effectExtent l="0" t="0" r="0" b="0"/>
            <wp:wrapTopAndBottom/>
            <wp:docPr id="1"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2"/>
                    <pic:cNvPicPr>
                      <a:picLocks noChangeAspect="1" noChangeArrowheads="1"/>
                    </pic:cNvPicPr>
                  </pic:nvPicPr>
                  <pic:blipFill>
                    <a:blip r:embed="rId2"/>
                    <a:stretch>
                      <a:fillRect/>
                    </a:stretch>
                  </pic:blipFill>
                  <pic:spPr bwMode="auto">
                    <a:xfrm>
                      <a:off x="0" y="0"/>
                      <a:ext cx="5870575" cy="2820035"/>
                    </a:xfrm>
                    <a:prstGeom prst="rect">
                      <a:avLst/>
                    </a:prstGeom>
                    <a:noFill/>
                  </pic:spPr>
                </pic:pic>
              </a:graphicData>
            </a:graphic>
          </wp:anchor>
        </w:drawing>
      </w:r>
      <w:r>
        <w:rPr>
          <w:rFonts w:eastAsia="Times New Roman" w:cs="Times New Roman"/>
          <w:b w:val="false"/>
          <w:bCs w:val="false"/>
          <w:sz w:val="24"/>
          <w:szCs w:val="24"/>
        </w:rPr>
        <w:t xml:space="preserve"> </w:t>
      </w:r>
      <w:r>
        <w:rPr>
          <w:rFonts w:eastAsia="Times New Roman" w:cs="Times New Roman"/>
          <w:b w:val="false"/>
          <w:bCs w:val="false"/>
          <w:sz w:val="24"/>
          <w:szCs w:val="24"/>
        </w:rPr>
        <w:t>(Source: Self-Generated)</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 xml:space="preserve">2.1 Political :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The political environment in Germany is heavily shaped by European Union (EU) supranational regulations. EU’s stringent environmental mandates put pressure for rapid decarbonization which makes the domestic market highly unfavorable for traditional Internal Combustion Engines (ICEs). As the government actively pushes for the adoption of Electric Vehicles (EVs) through changing policies and impending phase-out regulations (Zirpoli, 2025),  Mercedes-Benz has been forced to pivot its core operations and strategic focus toward green energy and the expansion of its EV lineup to survive and maintain compliance in its home market,  (Wesseling et al., 2020).</w:t>
      </w:r>
    </w:p>
    <w:p>
      <w:pPr>
        <w:pStyle w:val="Normal"/>
        <w:bidi w:val="0"/>
        <w:spacing w:lineRule="auto" w:line="360" w:before="0" w:after="200"/>
        <w:jc w:val="center"/>
        <w:rPr>
          <w:rFonts w:eastAsia="Times New Roman" w:cs="Times New Roman"/>
          <w:b w:val="false"/>
          <w:bCs w:val="false"/>
          <w:sz w:val="24"/>
          <w:szCs w:val="24"/>
        </w:rPr>
      </w:pPr>
      <w:r>
        <w:drawing>
          <wp:anchor distT="0" distB="0" distL="0" distR="0" simplePos="0" relativeHeight="32" behindDoc="0" locked="0" layoutInCell="0" allowOverlap="1">
            <wp:simplePos x="0" y="0"/>
            <wp:positionH relativeFrom="column">
              <wp:align>center</wp:align>
            </wp:positionH>
            <wp:positionV relativeFrom="paragraph">
              <wp:posOffset>635</wp:posOffset>
            </wp:positionV>
            <wp:extent cx="5057140" cy="2654935"/>
            <wp:effectExtent l="0" t="0" r="0" b="0"/>
            <wp:wrapTopAndBottom/>
            <wp:docPr id="2"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5"/>
                    <pic:cNvPicPr>
                      <a:picLocks noChangeAspect="1" noChangeArrowheads="1"/>
                    </pic:cNvPicPr>
                  </pic:nvPicPr>
                  <pic:blipFill>
                    <a:blip r:embed="rId3"/>
                    <a:stretch>
                      <a:fillRect/>
                    </a:stretch>
                  </pic:blipFill>
                  <pic:spPr bwMode="auto">
                    <a:xfrm>
                      <a:off x="0" y="0"/>
                      <a:ext cx="5057140" cy="2654935"/>
                    </a:xfrm>
                    <a:prstGeom prst="rect">
                      <a:avLst/>
                    </a:prstGeom>
                    <a:noFill/>
                  </pic:spPr>
                </pic:pic>
              </a:graphicData>
            </a:graphic>
          </wp:anchor>
        </w:drawing>
      </w:r>
      <w:r>
        <w:rPr>
          <w:rFonts w:eastAsia="Times New Roman" w:cs="Times New Roman"/>
          <w:b w:val="false"/>
          <w:bCs w:val="false"/>
          <w:sz w:val="24"/>
          <w:szCs w:val="24"/>
        </w:rPr>
        <w:t>(Source : Eleport 2025)</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In stark contrast, the United Arab Emirates is a highly stable monarchy that actively supports the luxury brands operating within its borders (DFAT, 2026). Unlike the European market, the UAE does not have strict environmental requirements or imminent legislative bans on combustion engines. This creates a highly favorable political environment for brands like Mercedes-Benz. Instead of being pressured for an immediate green transition, the brand can comfortably continue its traditional operations and the sale of its high-performance, high-profit-margin ICE vehicles like the G-Class and AMG models (Bartlett et al., 2017).</w:t>
      </w:r>
    </w:p>
    <w:tbl>
      <w:tblPr>
        <w:tblW w:w="5000" w:type="pct"/>
        <w:jc w:val="start"/>
        <w:tblInd w:w="-5" w:type="dxa"/>
        <w:tblLayout w:type="fixed"/>
        <w:tblCellMar>
          <w:top w:w="55" w:type="dxa"/>
          <w:start w:w="55" w:type="dxa"/>
          <w:bottom w:w="55" w:type="dxa"/>
          <w:end w:w="55" w:type="dxa"/>
        </w:tblCellMar>
      </w:tblPr>
      <w:tblGrid>
        <w:gridCol w:w="4512"/>
        <w:gridCol w:w="4514"/>
      </w:tblGrid>
      <w:tr>
        <w:trPr>
          <w:trHeight w:val="592" w:hRule="atLeast"/>
        </w:trPr>
        <w:tc>
          <w:tcPr>
            <w:tcW w:w="4512" w:type="dxa"/>
            <w:tcBorders>
              <w:top w:val="single" w:sz="4" w:space="0" w:color="000000"/>
              <w:start w:val="single" w:sz="4" w:space="0" w:color="000000"/>
              <w:bottom w:val="single" w:sz="4" w:space="0" w:color="000000"/>
            </w:tcBorders>
          </w:tcPr>
          <w:p>
            <w:pPr>
              <w:pStyle w:val="TableContents"/>
              <w:jc w:val="center"/>
              <w:rPr>
                <w:b/>
                <w:bCs/>
              </w:rPr>
            </w:pPr>
            <w:r>
              <w:rPr>
                <w:b/>
                <w:bCs/>
              </w:rPr>
              <w:t>Germany</w:t>
            </w:r>
          </w:p>
        </w:tc>
        <w:tc>
          <w:tcPr>
            <w:tcW w:w="4514" w:type="dxa"/>
            <w:tcBorders>
              <w:top w:val="single" w:sz="4" w:space="0" w:color="000000"/>
              <w:start w:val="single" w:sz="4" w:space="0" w:color="000000"/>
              <w:bottom w:val="single" w:sz="4" w:space="0" w:color="000000"/>
              <w:end w:val="single" w:sz="4" w:space="0" w:color="000000"/>
            </w:tcBorders>
          </w:tcPr>
          <w:p>
            <w:pPr>
              <w:pStyle w:val="TableContents"/>
              <w:jc w:val="center"/>
              <w:rPr>
                <w:b/>
                <w:bCs/>
              </w:rPr>
            </w:pPr>
            <w:r>
              <w:rPr>
                <w:b/>
                <w:bCs/>
              </w:rPr>
              <w:t>UAE</w:t>
            </w:r>
          </w:p>
        </w:tc>
      </w:tr>
      <w:tr>
        <w:trPr/>
        <w:tc>
          <w:tcPr>
            <w:tcW w:w="4512" w:type="dxa"/>
            <w:tcBorders>
              <w:start w:val="single" w:sz="4" w:space="0" w:color="000000"/>
              <w:bottom w:val="single" w:sz="4" w:space="0" w:color="000000"/>
            </w:tcBorders>
          </w:tcPr>
          <w:p>
            <w:pPr>
              <w:pStyle w:val="TableContents"/>
              <w:rPr/>
            </w:pPr>
            <w:r>
              <w:rPr/>
              <w:t>Moderately Unfavorable: Highly regulated political landscape with strict EU mendates and aggressive green energy mandates.</w:t>
            </w:r>
          </w:p>
          <w:p>
            <w:pPr>
              <w:pStyle w:val="TableContents"/>
              <w:rPr/>
            </w:pPr>
            <w:r>
              <w:rPr/>
            </w:r>
          </w:p>
          <w:p>
            <w:pPr>
              <w:pStyle w:val="TableContents"/>
              <w:rPr/>
            </w:pPr>
            <w:r>
              <w:rPr/>
              <w:t>It heavily restrict traditional internal combustion engine (ICE) manufacturing and forces costly strategic pivots towards EV.</w:t>
            </w:r>
          </w:p>
        </w:tc>
        <w:tc>
          <w:tcPr>
            <w:tcW w:w="4514" w:type="dxa"/>
            <w:tcBorders>
              <w:start w:val="single" w:sz="4" w:space="0" w:color="000000"/>
              <w:bottom w:val="single" w:sz="4" w:space="0" w:color="000000"/>
              <w:end w:val="single" w:sz="4" w:space="0" w:color="000000"/>
            </w:tcBorders>
          </w:tcPr>
          <w:p>
            <w:pPr>
              <w:pStyle w:val="TableContents"/>
              <w:rPr/>
            </w:pPr>
            <w:r>
              <w:rPr/>
              <w:t>Highly Favorable: Stable, pro-business environment without the burden of restrictive manufacturing legislation.</w:t>
            </w:r>
          </w:p>
          <w:p>
            <w:pPr>
              <w:pStyle w:val="TableContents"/>
              <w:rPr/>
            </w:pPr>
            <w:r>
              <w:rPr/>
            </w:r>
          </w:p>
          <w:p>
            <w:pPr>
              <w:pStyle w:val="TableContents"/>
              <w:rPr/>
            </w:pPr>
            <w:r>
              <w:rPr/>
              <w:t>Government's push for smart mobility creates a highly supportive climate for importing luxury and tech-forward vehicles.</w:t>
            </w:r>
          </w:p>
        </w:tc>
      </w:tr>
    </w:tbl>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2.2 Economical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Germany is a highly developed and mature economy, but its domestic premium automotive manufacturers are facing significant challenges due to country’s current macroeconomic environment as the country is experiencing persistent inflation, high energy costs and sluggish Gross Domestic Product (GDP) growth. Furthermore, a heavy taxation framework squeezes the real disposable income of consumers (BNP Paribas, 2025). These factors along with cautious consumer sentiment and create an unfavorable and highly cost-sensitive environment for Mercedes-Benz where middle-class purchasing power is diminished. This highlly constrained economic landscape makes it is difficult for a top-tier luxury vehicles brand to achieve high sales volumes. Hence, the brand must navigate a challenging market.</w:t>
      </w:r>
    </w:p>
    <w:p>
      <w:pPr>
        <w:pStyle w:val="Normal"/>
        <w:bidi w:val="0"/>
        <w:spacing w:lineRule="auto" w:line="360" w:before="0" w:after="200"/>
        <w:jc w:val="center"/>
        <w:rPr>
          <w:rFonts w:eastAsia="Times New Roman" w:cs="Times New Roman"/>
          <w:b w:val="false"/>
          <w:bCs w:val="false"/>
          <w:sz w:val="24"/>
          <w:szCs w:val="24"/>
        </w:rPr>
      </w:pPr>
      <w:r>
        <w:drawing>
          <wp:anchor distT="0" distB="0" distL="0" distR="0" simplePos="0" relativeHeight="33" behindDoc="0" locked="0" layoutInCell="0" allowOverlap="1">
            <wp:simplePos x="0" y="0"/>
            <wp:positionH relativeFrom="column">
              <wp:align>center</wp:align>
            </wp:positionH>
            <wp:positionV relativeFrom="paragraph">
              <wp:posOffset>635</wp:posOffset>
            </wp:positionV>
            <wp:extent cx="3635375" cy="2701290"/>
            <wp:effectExtent l="0" t="0" r="0" b="0"/>
            <wp:wrapTopAndBottom/>
            <wp:docPr id="3" name="Imag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6"/>
                    <pic:cNvPicPr>
                      <a:picLocks noChangeAspect="1" noChangeArrowheads="1"/>
                    </pic:cNvPicPr>
                  </pic:nvPicPr>
                  <pic:blipFill>
                    <a:blip r:embed="rId4"/>
                    <a:stretch>
                      <a:fillRect/>
                    </a:stretch>
                  </pic:blipFill>
                  <pic:spPr bwMode="auto">
                    <a:xfrm>
                      <a:off x="0" y="0"/>
                      <a:ext cx="3635375" cy="2701290"/>
                    </a:xfrm>
                    <a:prstGeom prst="rect">
                      <a:avLst/>
                    </a:prstGeom>
                    <a:noFill/>
                  </pic:spPr>
                </pic:pic>
              </a:graphicData>
            </a:graphic>
          </wp:anchor>
        </w:drawing>
      </w:r>
      <w:r>
        <w:rPr>
          <w:rFonts w:eastAsia="Times New Roman" w:cs="Times New Roman"/>
          <w:b w:val="false"/>
          <w:bCs w:val="false"/>
          <w:sz w:val="24"/>
          <w:szCs w:val="24"/>
        </w:rPr>
        <w:t>(Source : Statistica)</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In stark contrast, the United Arab Emirates has immense and unrestricted wealth accumulation. It is renowned for having remarkably high GDP per capita and no personal income tax, making it a premier destination for global wealth (Stewards Investment Capital, 2025). Hence, the region has a massive concentration of High Net Worth Individuals (HNIs) with high levels of disposable income, that creates an incredibly lucrative and highly favorable market for Mercedes-Benz. Unlike European consumers, UAE consumers demonstrate low price sensitivity because of low inflation and zero taxation. Which creates a prestige-driven market with high profit margins hence removing the traditional economic barriers. This kind of macro economic environment is perfectly suited for maximizing profits on the brand's most elite automotive offerings.</w:t>
      </w:r>
    </w:p>
    <w:tbl>
      <w:tblPr>
        <w:tblW w:w="5000" w:type="pct"/>
        <w:jc w:val="start"/>
        <w:tblInd w:w="-5" w:type="dxa"/>
        <w:tblLayout w:type="fixed"/>
        <w:tblCellMar>
          <w:top w:w="55" w:type="dxa"/>
          <w:start w:w="55" w:type="dxa"/>
          <w:bottom w:w="55" w:type="dxa"/>
          <w:end w:w="55" w:type="dxa"/>
        </w:tblCellMar>
      </w:tblPr>
      <w:tblGrid>
        <w:gridCol w:w="4641"/>
        <w:gridCol w:w="4385"/>
      </w:tblGrid>
      <w:tr>
        <w:trPr>
          <w:trHeight w:val="592" w:hRule="atLeast"/>
        </w:trPr>
        <w:tc>
          <w:tcPr>
            <w:tcW w:w="4641" w:type="dxa"/>
            <w:tcBorders>
              <w:top w:val="single" w:sz="4" w:space="0" w:color="000000"/>
              <w:start w:val="single" w:sz="4" w:space="0" w:color="000000"/>
              <w:bottom w:val="single" w:sz="4" w:space="0" w:color="000000"/>
            </w:tcBorders>
          </w:tcPr>
          <w:p>
            <w:pPr>
              <w:pStyle w:val="TableContents"/>
              <w:jc w:val="center"/>
              <w:rPr>
                <w:sz w:val="24"/>
                <w:szCs w:val="24"/>
              </w:rPr>
            </w:pPr>
            <w:r>
              <w:rPr>
                <w:b/>
                <w:bCs/>
                <w:sz w:val="24"/>
                <w:szCs w:val="24"/>
              </w:rPr>
              <w:t>Germany</w:t>
            </w:r>
          </w:p>
        </w:tc>
        <w:tc>
          <w:tcPr>
            <w:tcW w:w="4385" w:type="dxa"/>
            <w:tcBorders>
              <w:top w:val="single" w:sz="4" w:space="0" w:color="000000"/>
              <w:start w:val="single" w:sz="4" w:space="0" w:color="000000"/>
              <w:bottom w:val="single" w:sz="4" w:space="0" w:color="000000"/>
              <w:end w:val="single" w:sz="4" w:space="0" w:color="000000"/>
            </w:tcBorders>
          </w:tcPr>
          <w:p>
            <w:pPr>
              <w:pStyle w:val="TableContents"/>
              <w:jc w:val="center"/>
              <w:rPr>
                <w:sz w:val="24"/>
                <w:szCs w:val="24"/>
              </w:rPr>
            </w:pPr>
            <w:r>
              <w:rPr>
                <w:b/>
                <w:bCs/>
                <w:sz w:val="24"/>
                <w:szCs w:val="24"/>
              </w:rPr>
              <w:t>UAE</w:t>
            </w:r>
          </w:p>
        </w:tc>
      </w:tr>
      <w:tr>
        <w:trPr/>
        <w:tc>
          <w:tcPr>
            <w:tcW w:w="4641" w:type="dxa"/>
            <w:tcBorders>
              <w:start w:val="single" w:sz="4" w:space="0" w:color="000000"/>
              <w:bottom w:val="single" w:sz="4" w:space="0" w:color="000000"/>
            </w:tcBorders>
          </w:tcPr>
          <w:p>
            <w:pPr>
              <w:pStyle w:val="TableContents"/>
              <w:bidi w:val="0"/>
              <w:rPr>
                <w:sz w:val="24"/>
                <w:szCs w:val="24"/>
              </w:rPr>
            </w:pPr>
            <w:r>
              <w:rPr>
                <w:sz w:val="24"/>
                <w:szCs w:val="24"/>
              </w:rPr>
              <w:t>Unfavorable: The market is currently facing inflation and slow, slow growth.</w:t>
            </w:r>
          </w:p>
          <w:p>
            <w:pPr>
              <w:pStyle w:val="TableContents"/>
              <w:bidi w:val="0"/>
              <w:rPr>
                <w:sz w:val="24"/>
                <w:szCs w:val="24"/>
              </w:rPr>
            </w:pPr>
            <w:r>
              <w:rPr>
                <w:sz w:val="24"/>
                <w:szCs w:val="24"/>
              </w:rPr>
            </w:r>
          </w:p>
          <w:p>
            <w:pPr>
              <w:pStyle w:val="TableContents"/>
              <w:bidi w:val="0"/>
              <w:rPr>
                <w:sz w:val="24"/>
                <w:szCs w:val="24"/>
              </w:rPr>
            </w:pPr>
            <w:r>
              <w:rPr>
                <w:sz w:val="24"/>
                <w:szCs w:val="24"/>
              </w:rPr>
              <w:t xml:space="preserve">Fluctuating energy costs </w:t>
            </w:r>
          </w:p>
          <w:p>
            <w:pPr>
              <w:pStyle w:val="TableContents"/>
              <w:bidi w:val="0"/>
              <w:rPr>
                <w:sz w:val="24"/>
                <w:szCs w:val="24"/>
              </w:rPr>
            </w:pPr>
            <w:r>
              <w:rPr>
                <w:sz w:val="24"/>
                <w:szCs w:val="24"/>
              </w:rPr>
            </w:r>
          </w:p>
          <w:p>
            <w:pPr>
              <w:pStyle w:val="TableContents"/>
              <w:bidi w:val="0"/>
              <w:rPr>
                <w:sz w:val="24"/>
                <w:szCs w:val="24"/>
              </w:rPr>
            </w:pPr>
            <w:r>
              <w:rPr>
                <w:sz w:val="24"/>
                <w:szCs w:val="24"/>
              </w:rPr>
              <w:t>Tightened consumer spending, even within the luxury segment, buyers are becoming increasingly value-conscious, leading to.</w:t>
            </w:r>
          </w:p>
        </w:tc>
        <w:tc>
          <w:tcPr>
            <w:tcW w:w="4385" w:type="dxa"/>
            <w:tcBorders>
              <w:start w:val="single" w:sz="4" w:space="0" w:color="000000"/>
              <w:bottom w:val="single" w:sz="4" w:space="0" w:color="000000"/>
              <w:end w:val="single" w:sz="4" w:space="0" w:color="000000"/>
            </w:tcBorders>
          </w:tcPr>
          <w:p>
            <w:pPr>
              <w:pStyle w:val="TableContents"/>
              <w:rPr>
                <w:sz w:val="24"/>
                <w:szCs w:val="24"/>
              </w:rPr>
            </w:pPr>
            <w:r>
              <w:rPr>
                <w:sz w:val="24"/>
                <w:szCs w:val="24"/>
              </w:rPr>
              <w:t>Highly Favorable: Price-insensitive and wealthy population with high disposable incomes.</w:t>
            </w:r>
          </w:p>
          <w:p>
            <w:pPr>
              <w:pStyle w:val="TableContents"/>
              <w:rPr>
                <w:sz w:val="24"/>
                <w:szCs w:val="24"/>
              </w:rPr>
            </w:pPr>
            <w:r>
              <w:rPr>
                <w:sz w:val="24"/>
                <w:szCs w:val="24"/>
              </w:rPr>
            </w:r>
          </w:p>
          <w:p>
            <w:pPr>
              <w:pStyle w:val="TableContents"/>
              <w:rPr>
                <w:sz w:val="24"/>
                <w:szCs w:val="24"/>
              </w:rPr>
            </w:pPr>
            <w:r>
              <w:rPr>
                <w:sz w:val="24"/>
                <w:szCs w:val="24"/>
              </w:rPr>
              <w:t>Robust demand for top-tier luxury vehicles remains high.</w:t>
            </w:r>
          </w:p>
        </w:tc>
      </w:tr>
    </w:tbl>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2.3 Social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The social and cultural dimension is one of the most significant point to analyze.  By applying Hofstede's (2011) six cultural dimensions framework as a structured basis for this comparison, We can clearly see the differences in both markets.</w:t>
        <w:br/>
        <w:t>Germany is a society that values pragmatism, engineering excellence, and now a days, environmental sustainability and practical commute or car sharing rather than flashy cars. In Germany, a Mercedes sells on its safety, efficiency, and engineering.</w:t>
      </w:r>
    </w:p>
    <w:p>
      <w:pPr>
        <w:pStyle w:val="Normal"/>
        <w:bidi w:val="0"/>
        <w:spacing w:lineRule="auto" w:line="360" w:before="0" w:after="200"/>
        <w:jc w:val="both"/>
        <w:rPr>
          <w:rFonts w:ascii="Arial" w:hAnsi="Arial" w:eastAsia="Times New Roman" w:cs="Times New Roman"/>
          <w:b w:val="false"/>
          <w:bCs w:val="false"/>
          <w:i w:val="false"/>
          <w:iCs w:val="false"/>
          <w:sz w:val="24"/>
          <w:szCs w:val="24"/>
        </w:rPr>
      </w:pPr>
      <w:r>
        <w:rPr>
          <w:rFonts w:eastAsia="Times New Roman" w:cs="Times New Roman"/>
          <w:b w:val="false"/>
          <w:bCs w:val="false"/>
          <w:sz w:val="24"/>
          <w:szCs w:val="24"/>
        </w:rPr>
        <w:t>UAE is status driven society where a car is sybol of status and wealth rather than just a mode of transport. I</w:t>
      </w:r>
      <w:r>
        <w:rPr>
          <w:rFonts w:eastAsia="Times New Roman" w:cs="Times New Roman"/>
          <w:b w:val="false"/>
          <w:bCs w:val="false"/>
          <w:i w:val="false"/>
          <w:iCs w:val="false"/>
          <w:sz w:val="24"/>
          <w:szCs w:val="24"/>
        </w:rPr>
        <w:t>n the UAE, it is sells on exclusivity, prestige, and power.</w:t>
      </w:r>
    </w:p>
    <w:tbl>
      <w:tblPr>
        <w:tblW w:w="5000" w:type="pct"/>
        <w:jc w:val="start"/>
        <w:tblInd w:w="-5" w:type="dxa"/>
        <w:tblLayout w:type="fixed"/>
        <w:tblCellMar>
          <w:top w:w="55" w:type="dxa"/>
          <w:start w:w="55" w:type="dxa"/>
          <w:bottom w:w="55" w:type="dxa"/>
          <w:end w:w="55" w:type="dxa"/>
        </w:tblCellMar>
      </w:tblPr>
      <w:tblGrid>
        <w:gridCol w:w="4641"/>
        <w:gridCol w:w="4385"/>
      </w:tblGrid>
      <w:tr>
        <w:trPr>
          <w:trHeight w:val="592" w:hRule="atLeast"/>
        </w:trPr>
        <w:tc>
          <w:tcPr>
            <w:tcW w:w="4641" w:type="dxa"/>
            <w:tcBorders>
              <w:top w:val="single" w:sz="4" w:space="0" w:color="000000"/>
              <w:start w:val="single" w:sz="4" w:space="0" w:color="000000"/>
              <w:bottom w:val="single" w:sz="4" w:space="0" w:color="000000"/>
            </w:tcBorders>
          </w:tcPr>
          <w:p>
            <w:pPr>
              <w:pStyle w:val="TableContents"/>
              <w:jc w:val="center"/>
              <w:rPr>
                <w:b/>
                <w:bCs/>
              </w:rPr>
            </w:pPr>
            <w:r>
              <w:rPr>
                <w:b/>
                <w:bCs/>
              </w:rPr>
              <w:t>Germany</w:t>
            </w:r>
          </w:p>
        </w:tc>
        <w:tc>
          <w:tcPr>
            <w:tcW w:w="4385" w:type="dxa"/>
            <w:tcBorders>
              <w:top w:val="single" w:sz="4" w:space="0" w:color="000000"/>
              <w:start w:val="single" w:sz="4" w:space="0" w:color="000000"/>
              <w:bottom w:val="single" w:sz="4" w:space="0" w:color="000000"/>
              <w:end w:val="single" w:sz="4" w:space="0" w:color="000000"/>
            </w:tcBorders>
          </w:tcPr>
          <w:p>
            <w:pPr>
              <w:pStyle w:val="TableContents"/>
              <w:jc w:val="center"/>
              <w:rPr>
                <w:b/>
                <w:bCs/>
              </w:rPr>
            </w:pPr>
            <w:r>
              <w:rPr>
                <w:b/>
                <w:bCs/>
              </w:rPr>
              <w:t>UAE</w:t>
            </w:r>
          </w:p>
        </w:tc>
      </w:tr>
      <w:tr>
        <w:trPr/>
        <w:tc>
          <w:tcPr>
            <w:tcW w:w="4641" w:type="dxa"/>
            <w:tcBorders>
              <w:start w:val="single" w:sz="4" w:space="0" w:color="000000"/>
              <w:bottom w:val="single" w:sz="4" w:space="0" w:color="000000"/>
            </w:tcBorders>
          </w:tcPr>
          <w:p>
            <w:pPr>
              <w:pStyle w:val="TableContents"/>
              <w:bidi w:val="0"/>
              <w:rPr/>
            </w:pPr>
            <w:r>
              <w:rPr/>
              <w:t>Unfavorable for Traditional Luxury : Consumers are leaning towards environmental pragmatism and understated luxury. They are moving away from flashy displays of wealth.</w:t>
            </w:r>
          </w:p>
          <w:p>
            <w:pPr>
              <w:pStyle w:val="TableContents"/>
              <w:bidi w:val="0"/>
              <w:rPr/>
            </w:pPr>
            <w:r>
              <w:rPr/>
            </w:r>
          </w:p>
          <w:p>
            <w:pPr>
              <w:pStyle w:val="TableContents"/>
              <w:bidi w:val="0"/>
              <w:rPr/>
            </w:pPr>
            <w:r>
              <w:rPr/>
              <w:t>Favorable for EV :  Mercedes must rely on its safety and engineering heritage. traditional "status-symbol" marketing no longer resonates with the eco-conscious consumers.</w:t>
            </w:r>
          </w:p>
        </w:tc>
        <w:tc>
          <w:tcPr>
            <w:tcW w:w="4385" w:type="dxa"/>
            <w:tcBorders>
              <w:start w:val="single" w:sz="4" w:space="0" w:color="000000"/>
              <w:bottom w:val="single" w:sz="4" w:space="0" w:color="000000"/>
              <w:end w:val="single" w:sz="4" w:space="0" w:color="000000"/>
            </w:tcBorders>
          </w:tcPr>
          <w:p>
            <w:pPr>
              <w:pStyle w:val="TableContents"/>
              <w:rPr/>
            </w:pPr>
            <w:r>
              <w:rPr/>
              <w:t xml:space="preserve">Highly Favorable : The society is highly status-driven, where brand prestige signals social status. </w:t>
            </w:r>
          </w:p>
          <w:p>
            <w:pPr>
              <w:pStyle w:val="TableContents"/>
              <w:rPr/>
            </w:pPr>
            <w:r>
              <w:rPr/>
            </w:r>
          </w:p>
          <w:p>
            <w:pPr>
              <w:pStyle w:val="TableContents"/>
              <w:rPr/>
            </w:pPr>
            <w:r>
              <w:rPr/>
              <w:t>This exclusivity norms of culture perfectly aligns in favour with Mercedes-Benz.</w:t>
            </w:r>
          </w:p>
        </w:tc>
      </w:tr>
    </w:tbl>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center"/>
        <w:rPr/>
      </w:pPr>
      <w:r>
        <w:drawing>
          <wp:anchor distT="0" distB="0" distL="0" distR="0" simplePos="0" relativeHeight="37" behindDoc="0" locked="0" layoutInCell="0" allowOverlap="1">
            <wp:simplePos x="0" y="0"/>
            <wp:positionH relativeFrom="column">
              <wp:align>center</wp:align>
            </wp:positionH>
            <wp:positionV relativeFrom="paragraph">
              <wp:posOffset>635</wp:posOffset>
            </wp:positionV>
            <wp:extent cx="4313555" cy="3236595"/>
            <wp:effectExtent l="0" t="0" r="0" b="0"/>
            <wp:wrapTopAndBottom/>
            <wp:docPr id="4"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
                    <pic:cNvPicPr>
                      <a:picLocks noChangeAspect="1" noChangeArrowheads="1"/>
                    </pic:cNvPicPr>
                  </pic:nvPicPr>
                  <pic:blipFill>
                    <a:blip r:embed="rId5"/>
                    <a:stretch>
                      <a:fillRect/>
                    </a:stretch>
                  </pic:blipFill>
                  <pic:spPr bwMode="auto">
                    <a:xfrm>
                      <a:off x="0" y="0"/>
                      <a:ext cx="4313555" cy="3236595"/>
                    </a:xfrm>
                    <a:prstGeom prst="rect">
                      <a:avLst/>
                    </a:prstGeom>
                    <a:noFill/>
                  </pic:spPr>
                </pic:pic>
              </a:graphicData>
            </a:graphic>
          </wp:anchor>
        </w:drawing>
      </w:r>
      <w:r>
        <w:rPr>
          <w:rFonts w:eastAsia="Times New Roman" w:cs="Times New Roman"/>
          <w:b w:val="false"/>
          <w:bCs w:val="false"/>
          <w:sz w:val="20"/>
          <w:szCs w:val="20"/>
        </w:rPr>
        <w:t xml:space="preserve">(Source: </w:t>
      </w:r>
      <w:hyperlink r:id="rId6">
        <w:r>
          <w:rPr>
            <w:rStyle w:val="Hyperlink"/>
            <w:rFonts w:eastAsia="Times New Roman" w:cs="Times New Roman"/>
            <w:b w:val="false"/>
            <w:bCs w:val="false"/>
            <w:sz w:val="20"/>
            <w:szCs w:val="20"/>
          </w:rPr>
          <w:t>https://www.slideteam.net/geert-hofstede-key-organisational-culture-dimensions.html</w:t>
        </w:r>
      </w:hyperlink>
      <w:r>
        <w:rPr>
          <w:rFonts w:eastAsia="Times New Roman" w:cs="Times New Roman"/>
          <w:b w:val="false"/>
          <w:bCs w:val="false"/>
          <w:sz w:val="20"/>
          <w:szCs w:val="20"/>
        </w:rPr>
        <w:t xml:space="preserve"> )</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2.4 Technological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From a technological perspective, Germany has highly skilled workforce and advanced R&amp;D facilities, which makes it the primary driver of automotive innovation and foundational technology. Meanwhile, the UAE is aggressively investing and developing it’s AI and EV infrastructure. The UAE consumers are specifically demanding premium, high-tech, and cutting-edge features in their luxury vehicles, that positions the UAE as a highly eager market for rapid technological adoption.</w:t>
      </w:r>
    </w:p>
    <w:p>
      <w:pPr>
        <w:pStyle w:val="Normal"/>
        <w:bidi w:val="0"/>
        <w:spacing w:lineRule="auto" w:line="360" w:before="0" w:after="200"/>
        <w:jc w:val="center"/>
        <w:rPr/>
      </w:pPr>
      <w:r>
        <w:drawing>
          <wp:anchor distT="0" distB="0" distL="0" distR="0" simplePos="0" relativeHeight="35" behindDoc="0" locked="0" layoutInCell="0" allowOverlap="1">
            <wp:simplePos x="0" y="0"/>
            <wp:positionH relativeFrom="column">
              <wp:align>center</wp:align>
            </wp:positionH>
            <wp:positionV relativeFrom="paragraph">
              <wp:posOffset>635</wp:posOffset>
            </wp:positionV>
            <wp:extent cx="5448300" cy="3221990"/>
            <wp:effectExtent l="0" t="0" r="0" b="0"/>
            <wp:wrapTopAndBottom/>
            <wp:docPr id="5" name="Imag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8"/>
                    <pic:cNvPicPr>
                      <a:picLocks noChangeAspect="1" noChangeArrowheads="1"/>
                    </pic:cNvPicPr>
                  </pic:nvPicPr>
                  <pic:blipFill>
                    <a:blip r:embed="rId7"/>
                    <a:stretch>
                      <a:fillRect/>
                    </a:stretch>
                  </pic:blipFill>
                  <pic:spPr bwMode="auto">
                    <a:xfrm>
                      <a:off x="0" y="0"/>
                      <a:ext cx="5448300" cy="3221990"/>
                    </a:xfrm>
                    <a:prstGeom prst="rect">
                      <a:avLst/>
                    </a:prstGeom>
                    <a:noFill/>
                  </pic:spPr>
                </pic:pic>
              </a:graphicData>
            </a:graphic>
          </wp:anchor>
        </w:drawing>
      </w:r>
      <w:r>
        <w:rPr>
          <w:rFonts w:eastAsia="Times New Roman" w:cs="Times New Roman"/>
          <w:b w:val="false"/>
          <w:bCs w:val="false"/>
          <w:sz w:val="24"/>
          <w:szCs w:val="24"/>
        </w:rPr>
        <w:t xml:space="preserve">(Source: </w:t>
      </w:r>
      <w:hyperlink r:id="rId8">
        <w:r>
          <w:rPr>
            <w:rStyle w:val="Hyperlink"/>
            <w:rFonts w:eastAsia="Times New Roman" w:cs="Times New Roman"/>
            <w:b w:val="false"/>
            <w:bCs w:val="false"/>
            <w:sz w:val="24"/>
            <w:szCs w:val="24"/>
          </w:rPr>
          <w:t>https://www.automobilwoche.de/autohersteller/mercedes-benz/amw-mercedes-sudafrika-partner-geely/</w:t>
        </w:r>
      </w:hyperlink>
      <w:r>
        <w:rPr>
          <w:rFonts w:eastAsia="Times New Roman" w:cs="Times New Roman"/>
          <w:b w:val="false"/>
          <w:bCs w:val="false"/>
          <w:sz w:val="24"/>
          <w:szCs w:val="24"/>
        </w:rPr>
        <w:t>)</w:t>
      </w:r>
    </w:p>
    <w:tbl>
      <w:tblPr>
        <w:tblW w:w="5000" w:type="pct"/>
        <w:jc w:val="start"/>
        <w:tblInd w:w="-5" w:type="dxa"/>
        <w:tblLayout w:type="fixed"/>
        <w:tblCellMar>
          <w:top w:w="55" w:type="dxa"/>
          <w:start w:w="55" w:type="dxa"/>
          <w:bottom w:w="55" w:type="dxa"/>
          <w:end w:w="55" w:type="dxa"/>
        </w:tblCellMar>
      </w:tblPr>
      <w:tblGrid>
        <w:gridCol w:w="4641"/>
        <w:gridCol w:w="4385"/>
      </w:tblGrid>
      <w:tr>
        <w:trPr>
          <w:trHeight w:val="592" w:hRule="atLeast"/>
        </w:trPr>
        <w:tc>
          <w:tcPr>
            <w:tcW w:w="4641" w:type="dxa"/>
            <w:tcBorders>
              <w:top w:val="single" w:sz="4" w:space="0" w:color="000000"/>
              <w:start w:val="single" w:sz="4" w:space="0" w:color="000000"/>
              <w:bottom w:val="single" w:sz="4" w:space="0" w:color="000000"/>
            </w:tcBorders>
          </w:tcPr>
          <w:p>
            <w:pPr>
              <w:pStyle w:val="TableContents"/>
              <w:jc w:val="center"/>
              <w:rPr>
                <w:b/>
                <w:bCs/>
              </w:rPr>
            </w:pPr>
            <w:r>
              <w:rPr>
                <w:b/>
                <w:bCs/>
              </w:rPr>
              <w:t>Germany</w:t>
            </w:r>
          </w:p>
        </w:tc>
        <w:tc>
          <w:tcPr>
            <w:tcW w:w="4385" w:type="dxa"/>
            <w:tcBorders>
              <w:top w:val="single" w:sz="4" w:space="0" w:color="000000"/>
              <w:start w:val="single" w:sz="4" w:space="0" w:color="000000"/>
              <w:bottom w:val="single" w:sz="4" w:space="0" w:color="000000"/>
              <w:end w:val="single" w:sz="4" w:space="0" w:color="000000"/>
            </w:tcBorders>
          </w:tcPr>
          <w:p>
            <w:pPr>
              <w:pStyle w:val="TableContents"/>
              <w:jc w:val="center"/>
              <w:rPr>
                <w:b/>
                <w:bCs/>
              </w:rPr>
            </w:pPr>
            <w:r>
              <w:rPr>
                <w:b/>
                <w:bCs/>
              </w:rPr>
              <w:t>UAE</w:t>
            </w:r>
          </w:p>
        </w:tc>
      </w:tr>
      <w:tr>
        <w:trPr/>
        <w:tc>
          <w:tcPr>
            <w:tcW w:w="4641" w:type="dxa"/>
            <w:tcBorders>
              <w:start w:val="single" w:sz="4" w:space="0" w:color="000000"/>
              <w:bottom w:val="single" w:sz="4" w:space="0" w:color="000000"/>
            </w:tcBorders>
          </w:tcPr>
          <w:p>
            <w:pPr>
              <w:pStyle w:val="TableContents"/>
              <w:bidi w:val="0"/>
              <w:rPr/>
            </w:pPr>
            <w:r>
              <w:rPr/>
              <w:t xml:space="preserve">Highly Favorable: Germany provides a world-class ecosystem for automotive R&amp;D and engineering talent with a matured supply chain. </w:t>
            </w:r>
          </w:p>
          <w:p>
            <w:pPr>
              <w:pStyle w:val="TableContents"/>
              <w:bidi w:val="0"/>
              <w:rPr/>
            </w:pPr>
            <w:r>
              <w:rPr/>
            </w:r>
          </w:p>
          <w:p>
            <w:pPr>
              <w:pStyle w:val="TableContents"/>
              <w:bidi w:val="0"/>
              <w:rPr/>
            </w:pPr>
            <w:r>
              <w:rPr/>
              <w:t>This highly developed technological infrastructure is essential for Mercedes' global innovations and particularly in EV and automatic driving vehicles.</w:t>
            </w:r>
          </w:p>
        </w:tc>
        <w:tc>
          <w:tcPr>
            <w:tcW w:w="4385" w:type="dxa"/>
            <w:tcBorders>
              <w:start w:val="single" w:sz="4" w:space="0" w:color="000000"/>
              <w:bottom w:val="single" w:sz="4" w:space="0" w:color="000000"/>
              <w:end w:val="single" w:sz="4" w:space="0" w:color="000000"/>
            </w:tcBorders>
          </w:tcPr>
          <w:p>
            <w:pPr>
              <w:pStyle w:val="TableContents"/>
              <w:rPr/>
            </w:pPr>
            <w:r>
              <w:rPr/>
              <w:t>Favorable: The UAE is a highly eager market and aggressive adopter of emerging technologies.</w:t>
            </w:r>
          </w:p>
          <w:p>
            <w:pPr>
              <w:pStyle w:val="TableContents"/>
              <w:rPr/>
            </w:pPr>
            <w:r>
              <w:rPr/>
            </w:r>
          </w:p>
          <w:p>
            <w:pPr>
              <w:pStyle w:val="TableContents"/>
              <w:rPr/>
            </w:pPr>
            <w:r>
              <w:rPr/>
              <w:t xml:space="preserve">State does massive state investments in smart city infrastructure. </w:t>
            </w:r>
          </w:p>
          <w:p>
            <w:pPr>
              <w:pStyle w:val="TableContents"/>
              <w:rPr/>
            </w:pPr>
            <w:r>
              <w:rPr/>
              <w:t>Consumers demand cutting-edge digital integration and premium tech features.</w:t>
            </w:r>
          </w:p>
        </w:tc>
      </w:tr>
    </w:tbl>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2.5 Legal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The legal landscapes in both the countries create distinctly different operational environments. Germany has highly stringent laws regarding emissions, consumer protection, and supply chain transparency.  This acts as significant regulatory hurdle for car manufacturers. In contrast, the UAE demonstates a much more business-friendliness. However, It does require strict compliance with local agency laws and established local partners for distribution. While this makes business operations a bit complex, it does not pose significant structural challenges like European regulatory framework.</w:t>
      </w:r>
    </w:p>
    <w:tbl>
      <w:tblPr>
        <w:tblW w:w="5000" w:type="pct"/>
        <w:jc w:val="start"/>
        <w:tblInd w:w="-5" w:type="dxa"/>
        <w:tblLayout w:type="fixed"/>
        <w:tblCellMar>
          <w:top w:w="55" w:type="dxa"/>
          <w:start w:w="55" w:type="dxa"/>
          <w:bottom w:w="55" w:type="dxa"/>
          <w:end w:w="55" w:type="dxa"/>
        </w:tblCellMar>
      </w:tblPr>
      <w:tblGrid>
        <w:gridCol w:w="4641"/>
        <w:gridCol w:w="4385"/>
      </w:tblGrid>
      <w:tr>
        <w:trPr>
          <w:trHeight w:val="592" w:hRule="atLeast"/>
        </w:trPr>
        <w:tc>
          <w:tcPr>
            <w:tcW w:w="4641" w:type="dxa"/>
            <w:tcBorders>
              <w:top w:val="single" w:sz="4" w:space="0" w:color="000000"/>
              <w:start w:val="single" w:sz="4" w:space="0" w:color="000000"/>
              <w:bottom w:val="single" w:sz="4" w:space="0" w:color="000000"/>
            </w:tcBorders>
          </w:tcPr>
          <w:p>
            <w:pPr>
              <w:pStyle w:val="TableContents"/>
              <w:jc w:val="center"/>
              <w:rPr>
                <w:b/>
                <w:bCs/>
              </w:rPr>
            </w:pPr>
            <w:r>
              <w:rPr>
                <w:b/>
                <w:bCs/>
              </w:rPr>
              <w:t>Germany</w:t>
            </w:r>
          </w:p>
        </w:tc>
        <w:tc>
          <w:tcPr>
            <w:tcW w:w="4385" w:type="dxa"/>
            <w:tcBorders>
              <w:top w:val="single" w:sz="4" w:space="0" w:color="000000"/>
              <w:start w:val="single" w:sz="4" w:space="0" w:color="000000"/>
              <w:bottom w:val="single" w:sz="4" w:space="0" w:color="000000"/>
              <w:end w:val="single" w:sz="4" w:space="0" w:color="000000"/>
            </w:tcBorders>
          </w:tcPr>
          <w:p>
            <w:pPr>
              <w:pStyle w:val="TableContents"/>
              <w:jc w:val="center"/>
              <w:rPr>
                <w:b/>
                <w:bCs/>
              </w:rPr>
            </w:pPr>
            <w:r>
              <w:rPr>
                <w:b/>
                <w:bCs/>
              </w:rPr>
              <w:t>UAE</w:t>
            </w:r>
          </w:p>
        </w:tc>
      </w:tr>
      <w:tr>
        <w:trPr/>
        <w:tc>
          <w:tcPr>
            <w:tcW w:w="4641" w:type="dxa"/>
            <w:tcBorders>
              <w:start w:val="single" w:sz="4" w:space="0" w:color="000000"/>
              <w:bottom w:val="single" w:sz="4" w:space="0" w:color="000000"/>
            </w:tcBorders>
          </w:tcPr>
          <w:p>
            <w:pPr>
              <w:pStyle w:val="TableContents"/>
              <w:bidi w:val="0"/>
              <w:rPr/>
            </w:pPr>
            <w:r>
              <w:rPr/>
              <w:t xml:space="preserve">Unfavorable: Brand has to navigate a rigorous EU labor laws, strict consumer rights regulations and stringent data privacy mandates (GDPR). </w:t>
            </w:r>
          </w:p>
          <w:p>
            <w:pPr>
              <w:pStyle w:val="TableContents"/>
              <w:bidi w:val="0"/>
              <w:rPr/>
            </w:pPr>
            <w:r>
              <w:rPr/>
            </w:r>
          </w:p>
          <w:p>
            <w:pPr>
              <w:pStyle w:val="TableContents"/>
              <w:bidi w:val="0"/>
              <w:rPr/>
            </w:pPr>
            <w:r>
              <w:rPr/>
              <w:t>These complex laws require expensive compliance work and dictate everything from manufacturing processes to marketing data collection.</w:t>
            </w:r>
          </w:p>
        </w:tc>
        <w:tc>
          <w:tcPr>
            <w:tcW w:w="4385" w:type="dxa"/>
            <w:tcBorders>
              <w:start w:val="single" w:sz="4" w:space="0" w:color="000000"/>
              <w:bottom w:val="single" w:sz="4" w:space="0" w:color="000000"/>
              <w:end w:val="single" w:sz="4" w:space="0" w:color="000000"/>
            </w:tcBorders>
          </w:tcPr>
          <w:p>
            <w:pPr>
              <w:pStyle w:val="TableContents"/>
              <w:rPr/>
            </w:pPr>
            <w:r>
              <w:rPr/>
              <w:t xml:space="preserve">Moderately Favorable: The legal environment is generally business-friendly and evolving to attract foreign direct investment. </w:t>
            </w:r>
          </w:p>
          <w:p>
            <w:pPr>
              <w:pStyle w:val="TableContents"/>
              <w:rPr/>
            </w:pPr>
            <w:r>
              <w:rPr/>
            </w:r>
          </w:p>
          <w:p>
            <w:pPr>
              <w:pStyle w:val="TableContents"/>
              <w:rPr/>
            </w:pPr>
            <w:r>
              <w:rPr/>
              <w:t>However, it still requires compliance with local agency laws and strategic partnerships with powerful local dealerships is a necessityfor distribution.</w:t>
            </w:r>
          </w:p>
        </w:tc>
      </w:tr>
    </w:tbl>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2.6 Environmental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Environmental pressures are also different between the two nations. There is immense regulatory and societal pressure to reduce the carbon footprint of both the vehicles and the manufacturing plants in Germany, which creates an increasingly challenging environment for legacy automotive business models. The UAE currently has fewer of these environmental regulations, but it presents an entirely different challenge: it’s hot, sandy and harsh climate. This requires Mercedes to heavily adapt its vehicles technologically to ensure long-term reliability and performance under severe heat and environmental stress.</w:t>
      </w:r>
    </w:p>
    <w:tbl>
      <w:tblPr>
        <w:tblW w:w="5000" w:type="pct"/>
        <w:jc w:val="start"/>
        <w:tblInd w:w="-5" w:type="dxa"/>
        <w:tblLayout w:type="fixed"/>
        <w:tblCellMar>
          <w:top w:w="55" w:type="dxa"/>
          <w:start w:w="55" w:type="dxa"/>
          <w:bottom w:w="55" w:type="dxa"/>
          <w:end w:w="55" w:type="dxa"/>
        </w:tblCellMar>
      </w:tblPr>
      <w:tblGrid>
        <w:gridCol w:w="4641"/>
        <w:gridCol w:w="4385"/>
      </w:tblGrid>
      <w:tr>
        <w:trPr>
          <w:trHeight w:val="592" w:hRule="atLeast"/>
        </w:trPr>
        <w:tc>
          <w:tcPr>
            <w:tcW w:w="4641" w:type="dxa"/>
            <w:tcBorders>
              <w:top w:val="single" w:sz="4" w:space="0" w:color="000000"/>
              <w:start w:val="single" w:sz="4" w:space="0" w:color="000000"/>
              <w:bottom w:val="single" w:sz="4" w:space="0" w:color="000000"/>
            </w:tcBorders>
          </w:tcPr>
          <w:p>
            <w:pPr>
              <w:pStyle w:val="TableContents"/>
              <w:jc w:val="center"/>
              <w:rPr>
                <w:b/>
                <w:bCs/>
              </w:rPr>
            </w:pPr>
            <w:r>
              <w:rPr>
                <w:b/>
                <w:bCs/>
              </w:rPr>
              <w:t>Germany</w:t>
            </w:r>
          </w:p>
        </w:tc>
        <w:tc>
          <w:tcPr>
            <w:tcW w:w="4385" w:type="dxa"/>
            <w:tcBorders>
              <w:top w:val="single" w:sz="4" w:space="0" w:color="000000"/>
              <w:start w:val="single" w:sz="4" w:space="0" w:color="000000"/>
              <w:bottom w:val="single" w:sz="4" w:space="0" w:color="000000"/>
              <w:end w:val="single" w:sz="4" w:space="0" w:color="000000"/>
            </w:tcBorders>
          </w:tcPr>
          <w:p>
            <w:pPr>
              <w:pStyle w:val="TableContents"/>
              <w:jc w:val="center"/>
              <w:rPr>
                <w:b/>
                <w:bCs/>
              </w:rPr>
            </w:pPr>
            <w:r>
              <w:rPr>
                <w:b/>
                <w:bCs/>
              </w:rPr>
              <w:t>UAE</w:t>
            </w:r>
          </w:p>
        </w:tc>
      </w:tr>
      <w:tr>
        <w:trPr/>
        <w:tc>
          <w:tcPr>
            <w:tcW w:w="4641" w:type="dxa"/>
            <w:tcBorders>
              <w:start w:val="single" w:sz="4" w:space="0" w:color="000000"/>
              <w:bottom w:val="single" w:sz="4" w:space="0" w:color="000000"/>
            </w:tcBorders>
          </w:tcPr>
          <w:p>
            <w:pPr>
              <w:pStyle w:val="TableContents"/>
              <w:bidi w:val="0"/>
              <w:rPr/>
            </w:pPr>
            <w:r>
              <w:rPr/>
              <w:t xml:space="preserve">Highly Favorable: Germany provides a world-class ecosystem for automotive R&amp;D and engineering talent with a matured supply chain. </w:t>
            </w:r>
          </w:p>
          <w:p>
            <w:pPr>
              <w:pStyle w:val="TableContents"/>
              <w:bidi w:val="0"/>
              <w:rPr/>
            </w:pPr>
            <w:r>
              <w:rPr/>
            </w:r>
          </w:p>
          <w:p>
            <w:pPr>
              <w:pStyle w:val="TableContents"/>
              <w:bidi w:val="0"/>
              <w:rPr/>
            </w:pPr>
            <w:r>
              <w:rPr/>
              <w:t>This highly developed technological infrastructure is essential for Mercedes' global innovations and particularly in EV and automatic driving vehicles.</w:t>
            </w:r>
          </w:p>
        </w:tc>
        <w:tc>
          <w:tcPr>
            <w:tcW w:w="4385" w:type="dxa"/>
            <w:tcBorders>
              <w:start w:val="single" w:sz="4" w:space="0" w:color="000000"/>
              <w:bottom w:val="single" w:sz="4" w:space="0" w:color="000000"/>
              <w:end w:val="single" w:sz="4" w:space="0" w:color="000000"/>
            </w:tcBorders>
          </w:tcPr>
          <w:p>
            <w:pPr>
              <w:pStyle w:val="TableContents"/>
              <w:rPr/>
            </w:pPr>
            <w:r>
              <w:rPr/>
              <w:t>Favorable: The UAE is a highly eager market and aggressive adopter of emerging technologies.</w:t>
            </w:r>
          </w:p>
          <w:p>
            <w:pPr>
              <w:pStyle w:val="TableContents"/>
              <w:rPr/>
            </w:pPr>
            <w:r>
              <w:rPr/>
            </w:r>
          </w:p>
          <w:p>
            <w:pPr>
              <w:pStyle w:val="TableContents"/>
              <w:rPr/>
            </w:pPr>
            <w:r>
              <w:rPr/>
              <w:t xml:space="preserve">State does massive state investments in smart city infrastructure. </w:t>
            </w:r>
          </w:p>
          <w:p>
            <w:pPr>
              <w:pStyle w:val="TableContents"/>
              <w:rPr/>
            </w:pPr>
            <w:r>
              <w:rPr/>
              <w:t>Consumers demand cutting-edge digital integration and premium tech features.</w:t>
            </w:r>
          </w:p>
        </w:tc>
      </w:tr>
    </w:tbl>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3 Hofstede cultural analysis</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Applying Hofstede’s (2011) six cultural dimensions framework helps with understanding the the broader PESTEL realities in both nations and it’s deep psychological aspects. It helps us understand how these  these macroeconomic and political factors shape the actual consumer behavior. By mapping these dimensions, we can clearly identify why the German market demands egalitarianism and pragmatic sustainability, whereas the UAE market is driven by strict social hierarchy and conspicuous consumption.</w:t>
      </w:r>
    </w:p>
    <w:p>
      <w:pPr>
        <w:pStyle w:val="Normal"/>
        <w:bidi w:val="0"/>
        <w:spacing w:lineRule="auto" w:line="360" w:before="0" w:after="200"/>
        <w:jc w:val="center"/>
        <w:rPr/>
      </w:pPr>
      <w:r>
        <w:drawing>
          <wp:anchor distT="0" distB="0" distL="0" distR="0" simplePos="0" relativeHeight="36" behindDoc="0" locked="0" layoutInCell="0" allowOverlap="1">
            <wp:simplePos x="0" y="0"/>
            <wp:positionH relativeFrom="column">
              <wp:align>center</wp:align>
            </wp:positionH>
            <wp:positionV relativeFrom="paragraph">
              <wp:posOffset>635</wp:posOffset>
            </wp:positionV>
            <wp:extent cx="4829810" cy="3118485"/>
            <wp:effectExtent l="0" t="0" r="0" b="0"/>
            <wp:wrapTopAndBottom/>
            <wp:docPr id="6" name="Imag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7"/>
                    <pic:cNvPicPr>
                      <a:picLocks noChangeAspect="1" noChangeArrowheads="1"/>
                    </pic:cNvPicPr>
                  </pic:nvPicPr>
                  <pic:blipFill>
                    <a:blip r:embed="rId9"/>
                    <a:stretch>
                      <a:fillRect/>
                    </a:stretch>
                  </pic:blipFill>
                  <pic:spPr bwMode="auto">
                    <a:xfrm>
                      <a:off x="0" y="0"/>
                      <a:ext cx="4829810" cy="3118485"/>
                    </a:xfrm>
                    <a:prstGeom prst="rect">
                      <a:avLst/>
                    </a:prstGeom>
                    <a:noFill/>
                  </pic:spPr>
                </pic:pic>
              </a:graphicData>
            </a:graphic>
          </wp:anchor>
        </w:drawing>
      </w:r>
      <w:r>
        <w:rPr>
          <w:rFonts w:eastAsia="Times New Roman" w:cs="Times New Roman"/>
          <w:b w:val="false"/>
          <w:bCs w:val="false"/>
          <w:sz w:val="24"/>
          <w:szCs w:val="24"/>
        </w:rPr>
        <w:t xml:space="preserve">(Source: </w:t>
      </w:r>
      <w:hyperlink r:id="rId10">
        <w:r>
          <w:rPr>
            <w:rStyle w:val="Hyperlink"/>
            <w:rFonts w:eastAsia="Times New Roman" w:cs="Times New Roman"/>
            <w:b w:val="false"/>
            <w:bCs w:val="false"/>
            <w:sz w:val="24"/>
            <w:szCs w:val="24"/>
          </w:rPr>
          <w:t>https://creately.com/guides/hofstede-cultural-dimension/</w:t>
        </w:r>
      </w:hyperlink>
      <w:r>
        <w:rPr>
          <w:rFonts w:eastAsia="Times New Roman" w:cs="Times New Roman"/>
          <w:b w:val="false"/>
          <w:bCs w:val="false"/>
          <w:sz w:val="24"/>
          <w:szCs w:val="24"/>
        </w:rPr>
        <w:t>)</w:t>
      </w:r>
    </w:p>
    <w:p>
      <w:pPr>
        <w:pStyle w:val="Heading3"/>
        <w:rPr>
          <w:b/>
          <w:bCs/>
          <w:color w:val="111111"/>
        </w:rPr>
      </w:pPr>
      <w:r>
        <w:rPr>
          <w:b/>
          <w:bCs/>
          <w:color w:val="111111"/>
        </w:rPr>
      </w:r>
    </w:p>
    <w:p>
      <w:pPr>
        <w:pStyle w:val="Normal"/>
        <w:rPr>
          <w:b/>
          <w:bCs/>
          <w:color w:val="111111"/>
        </w:rPr>
      </w:pPr>
      <w:r>
        <w:rPr>
          <w:b/>
          <w:bCs/>
          <w:color w:val="111111"/>
        </w:rPr>
      </w:r>
    </w:p>
    <w:p>
      <w:pPr>
        <w:pStyle w:val="Normal"/>
        <w:rPr>
          <w:b/>
          <w:bCs/>
          <w:color w:val="111111"/>
        </w:rPr>
      </w:pPr>
      <w:r>
        <w:rPr>
          <w:b/>
          <w:bCs/>
          <w:color w:val="111111"/>
        </w:rPr>
      </w:r>
    </w:p>
    <w:p>
      <w:pPr>
        <w:pStyle w:val="Normal"/>
        <w:rPr>
          <w:b/>
          <w:bCs/>
          <w:color w:val="111111"/>
        </w:rPr>
      </w:pPr>
      <w:r>
        <w:rPr>
          <w:b/>
          <w:bCs/>
          <w:color w:val="111111"/>
        </w:rPr>
      </w:r>
    </w:p>
    <w:tbl>
      <w:tblPr>
        <w:tblStyle w:val="a0"/>
        <w:tblW w:w="9345" w:type="dxa"/>
        <w:jc w:val="start"/>
        <w:tblInd w:w="0" w:type="dxa"/>
        <w:tblLayout w:type="fixed"/>
        <w:tblCellMar>
          <w:top w:w="100" w:type="dxa"/>
          <w:start w:w="100" w:type="dxa"/>
          <w:bottom w:w="100" w:type="dxa"/>
          <w:end w:w="100" w:type="dxa"/>
        </w:tblCellMar>
        <w:tblLook w:val="0600" w:noHBand="1" w:noVBand="1" w:firstColumn="0" w:lastRow="0" w:lastColumn="0" w:firstRow="0"/>
      </w:tblPr>
      <w:tblGrid>
        <w:gridCol w:w="5730"/>
        <w:gridCol w:w="1631"/>
        <w:gridCol w:w="1984"/>
      </w:tblGrid>
      <w:tr>
        <w:trPr>
          <w:trHeight w:val="515" w:hRule="atLeast"/>
        </w:trPr>
        <w:tc>
          <w:tcPr>
            <w:tcW w:w="5730" w:type="dxa"/>
            <w:tcBorders>
              <w:top w:val="single" w:sz="8" w:space="0" w:color="000000"/>
              <w:start w:val="single" w:sz="8" w:space="0" w:color="000000"/>
              <w:bottom w:val="single" w:sz="8" w:space="0" w:color="000000"/>
              <w:end w:val="single" w:sz="8" w:space="0" w:color="000000"/>
            </w:tcBorders>
          </w:tcPr>
          <w:p>
            <w:pPr>
              <w:pStyle w:val="Normal"/>
              <w:jc w:val="center"/>
              <w:rPr/>
            </w:pPr>
            <w:r>
              <w:rPr>
                <w:b/>
                <w:bCs/>
              </w:rPr>
              <w:t>Dimension</w:t>
            </w:r>
          </w:p>
        </w:tc>
        <w:tc>
          <w:tcPr>
            <w:tcW w:w="1631" w:type="dxa"/>
            <w:tcBorders>
              <w:top w:val="single" w:sz="8" w:space="0" w:color="000000"/>
              <w:start w:val="single" w:sz="8" w:space="0" w:color="000000"/>
              <w:bottom w:val="single" w:sz="8" w:space="0" w:color="000000"/>
              <w:end w:val="single" w:sz="8" w:space="0" w:color="000000"/>
            </w:tcBorders>
          </w:tcPr>
          <w:p>
            <w:pPr>
              <w:pStyle w:val="Normal"/>
              <w:jc w:val="center"/>
              <w:rPr/>
            </w:pPr>
            <w:r>
              <w:rPr>
                <w:b/>
                <w:bCs/>
              </w:rPr>
              <w:t>USA</w:t>
            </w:r>
          </w:p>
        </w:tc>
        <w:tc>
          <w:tcPr>
            <w:tcW w:w="1984" w:type="dxa"/>
            <w:tcBorders>
              <w:top w:val="single" w:sz="8" w:space="0" w:color="000000"/>
              <w:start w:val="single" w:sz="8" w:space="0" w:color="000000"/>
              <w:bottom w:val="single" w:sz="8" w:space="0" w:color="000000"/>
              <w:end w:val="single" w:sz="8" w:space="0" w:color="000000"/>
            </w:tcBorders>
          </w:tcPr>
          <w:p>
            <w:pPr>
              <w:pStyle w:val="Normal"/>
              <w:jc w:val="center"/>
              <w:rPr/>
            </w:pPr>
            <w:r>
              <w:rPr>
                <w:b/>
                <w:bCs/>
              </w:rPr>
              <w:t>China</w:t>
            </w:r>
          </w:p>
        </w:tc>
      </w:tr>
      <w:tr>
        <w:trPr>
          <w:trHeight w:val="515" w:hRule="atLeast"/>
        </w:trPr>
        <w:tc>
          <w:tcPr>
            <w:tcW w:w="5730" w:type="dxa"/>
            <w:tcBorders>
              <w:top w:val="single" w:sz="8" w:space="0" w:color="000000"/>
              <w:start w:val="single" w:sz="8" w:space="0" w:color="000000"/>
              <w:bottom w:val="single" w:sz="8" w:space="0" w:color="000000"/>
              <w:end w:val="single" w:sz="8" w:space="0" w:color="000000"/>
            </w:tcBorders>
          </w:tcPr>
          <w:p>
            <w:pPr>
              <w:pStyle w:val="Normal"/>
              <w:rPr/>
            </w:pPr>
            <w:r>
              <w:rPr/>
              <w:t>Power Distance</w:t>
            </w:r>
          </w:p>
        </w:tc>
        <w:tc>
          <w:tcPr>
            <w:tcW w:w="1631" w:type="dxa"/>
            <w:tcBorders>
              <w:top w:val="single" w:sz="8" w:space="0" w:color="000000"/>
              <w:start w:val="single" w:sz="8" w:space="0" w:color="000000"/>
              <w:bottom w:val="single" w:sz="8" w:space="0" w:color="000000"/>
              <w:end w:val="single" w:sz="8" w:space="0" w:color="000000"/>
            </w:tcBorders>
          </w:tcPr>
          <w:p>
            <w:pPr>
              <w:pStyle w:val="Normal"/>
              <w:rPr/>
            </w:pPr>
            <w:r>
              <w:rPr/>
              <w:t>35 (Low)</w:t>
            </w:r>
          </w:p>
        </w:tc>
        <w:tc>
          <w:tcPr>
            <w:tcW w:w="1984" w:type="dxa"/>
            <w:tcBorders>
              <w:top w:val="single" w:sz="8" w:space="0" w:color="000000"/>
              <w:start w:val="single" w:sz="8" w:space="0" w:color="000000"/>
              <w:bottom w:val="single" w:sz="8" w:space="0" w:color="000000"/>
              <w:end w:val="single" w:sz="8" w:space="0" w:color="000000"/>
            </w:tcBorders>
          </w:tcPr>
          <w:p>
            <w:pPr>
              <w:pStyle w:val="Normal"/>
              <w:rPr/>
            </w:pPr>
            <w:r>
              <w:rPr/>
              <w:t>90 (High)</w:t>
            </w:r>
          </w:p>
        </w:tc>
      </w:tr>
      <w:tr>
        <w:trPr>
          <w:trHeight w:val="515" w:hRule="atLeast"/>
        </w:trPr>
        <w:tc>
          <w:tcPr>
            <w:tcW w:w="5730" w:type="dxa"/>
            <w:tcBorders>
              <w:top w:val="single" w:sz="8" w:space="0" w:color="000000"/>
              <w:start w:val="single" w:sz="8" w:space="0" w:color="000000"/>
              <w:bottom w:val="single" w:sz="8" w:space="0" w:color="000000"/>
              <w:end w:val="single" w:sz="8" w:space="0" w:color="000000"/>
            </w:tcBorders>
          </w:tcPr>
          <w:p>
            <w:pPr>
              <w:pStyle w:val="Normal"/>
              <w:rPr/>
            </w:pPr>
            <w:r>
              <w:rPr/>
              <w:t>Individualism</w:t>
            </w:r>
          </w:p>
        </w:tc>
        <w:tc>
          <w:tcPr>
            <w:tcW w:w="1631" w:type="dxa"/>
            <w:tcBorders>
              <w:top w:val="single" w:sz="8" w:space="0" w:color="000000"/>
              <w:start w:val="single" w:sz="8" w:space="0" w:color="000000"/>
              <w:bottom w:val="single" w:sz="8" w:space="0" w:color="000000"/>
              <w:end w:val="single" w:sz="8" w:space="0" w:color="000000"/>
            </w:tcBorders>
          </w:tcPr>
          <w:p>
            <w:pPr>
              <w:pStyle w:val="Normal"/>
              <w:rPr/>
            </w:pPr>
            <w:r>
              <w:rPr/>
              <w:t>67 (High)</w:t>
            </w:r>
          </w:p>
        </w:tc>
        <w:tc>
          <w:tcPr>
            <w:tcW w:w="1984" w:type="dxa"/>
            <w:tcBorders>
              <w:top w:val="single" w:sz="8" w:space="0" w:color="000000"/>
              <w:start w:val="single" w:sz="8" w:space="0" w:color="000000"/>
              <w:bottom w:val="single" w:sz="8" w:space="0" w:color="000000"/>
              <w:end w:val="single" w:sz="8" w:space="0" w:color="000000"/>
            </w:tcBorders>
          </w:tcPr>
          <w:p>
            <w:pPr>
              <w:pStyle w:val="Normal"/>
              <w:rPr/>
            </w:pPr>
            <w:r>
              <w:rPr/>
              <w:t>25 (Low)</w:t>
            </w:r>
          </w:p>
        </w:tc>
      </w:tr>
      <w:tr>
        <w:trPr>
          <w:trHeight w:val="515" w:hRule="atLeast"/>
        </w:trPr>
        <w:tc>
          <w:tcPr>
            <w:tcW w:w="5730" w:type="dxa"/>
            <w:tcBorders>
              <w:top w:val="single" w:sz="8" w:space="0" w:color="000000"/>
              <w:start w:val="single" w:sz="8" w:space="0" w:color="000000"/>
              <w:bottom w:val="single" w:sz="8" w:space="0" w:color="000000"/>
              <w:end w:val="single" w:sz="8" w:space="0" w:color="000000"/>
            </w:tcBorders>
          </w:tcPr>
          <w:p>
            <w:pPr>
              <w:pStyle w:val="Normal"/>
              <w:rPr/>
            </w:pPr>
            <w:r>
              <w:rPr/>
              <w:t>Masculinity</w:t>
            </w:r>
          </w:p>
        </w:tc>
        <w:tc>
          <w:tcPr>
            <w:tcW w:w="1631" w:type="dxa"/>
            <w:tcBorders>
              <w:top w:val="single" w:sz="8" w:space="0" w:color="000000"/>
              <w:start w:val="single" w:sz="8" w:space="0" w:color="000000"/>
              <w:bottom w:val="single" w:sz="8" w:space="0" w:color="000000"/>
              <w:end w:val="single" w:sz="8" w:space="0" w:color="000000"/>
            </w:tcBorders>
          </w:tcPr>
          <w:p>
            <w:pPr>
              <w:pStyle w:val="Normal"/>
              <w:rPr/>
            </w:pPr>
            <w:r>
              <w:rPr/>
              <w:t>66 (High)</w:t>
            </w:r>
          </w:p>
        </w:tc>
        <w:tc>
          <w:tcPr>
            <w:tcW w:w="1984" w:type="dxa"/>
            <w:tcBorders>
              <w:top w:val="single" w:sz="8" w:space="0" w:color="000000"/>
              <w:start w:val="single" w:sz="8" w:space="0" w:color="000000"/>
              <w:bottom w:val="single" w:sz="8" w:space="0" w:color="000000"/>
              <w:end w:val="single" w:sz="8" w:space="0" w:color="000000"/>
            </w:tcBorders>
          </w:tcPr>
          <w:p>
            <w:pPr>
              <w:pStyle w:val="Normal"/>
              <w:rPr/>
            </w:pPr>
            <w:r>
              <w:rPr/>
              <w:t>50 (Moderate)</w:t>
            </w:r>
          </w:p>
        </w:tc>
      </w:tr>
      <w:tr>
        <w:trPr>
          <w:trHeight w:val="515" w:hRule="atLeast"/>
        </w:trPr>
        <w:tc>
          <w:tcPr>
            <w:tcW w:w="5730" w:type="dxa"/>
            <w:tcBorders>
              <w:top w:val="single" w:sz="8" w:space="0" w:color="000000"/>
              <w:start w:val="single" w:sz="8" w:space="0" w:color="000000"/>
              <w:bottom w:val="single" w:sz="8" w:space="0" w:color="000000"/>
              <w:end w:val="single" w:sz="8" w:space="0" w:color="000000"/>
            </w:tcBorders>
          </w:tcPr>
          <w:p>
            <w:pPr>
              <w:pStyle w:val="Normal"/>
              <w:rPr/>
            </w:pPr>
            <w:r>
              <w:rPr/>
              <w:t>Uncertainty Avoidance</w:t>
            </w:r>
          </w:p>
        </w:tc>
        <w:tc>
          <w:tcPr>
            <w:tcW w:w="1631" w:type="dxa"/>
            <w:tcBorders>
              <w:top w:val="single" w:sz="8" w:space="0" w:color="000000"/>
              <w:start w:val="single" w:sz="8" w:space="0" w:color="000000"/>
              <w:bottom w:val="single" w:sz="8" w:space="0" w:color="000000"/>
              <w:end w:val="single" w:sz="8" w:space="0" w:color="000000"/>
            </w:tcBorders>
          </w:tcPr>
          <w:p>
            <w:pPr>
              <w:pStyle w:val="Normal"/>
              <w:rPr/>
            </w:pPr>
            <w:r>
              <w:rPr/>
              <w:t>65 (High)</w:t>
            </w:r>
          </w:p>
        </w:tc>
        <w:tc>
          <w:tcPr>
            <w:tcW w:w="1984" w:type="dxa"/>
            <w:tcBorders>
              <w:top w:val="single" w:sz="8" w:space="0" w:color="000000"/>
              <w:start w:val="single" w:sz="8" w:space="0" w:color="000000"/>
              <w:bottom w:val="single" w:sz="8" w:space="0" w:color="000000"/>
              <w:end w:val="single" w:sz="8" w:space="0" w:color="000000"/>
            </w:tcBorders>
          </w:tcPr>
          <w:p>
            <w:pPr>
              <w:pStyle w:val="Normal"/>
              <w:rPr/>
            </w:pPr>
            <w:r>
              <w:rPr/>
              <w:t>80 (High)</w:t>
            </w:r>
          </w:p>
        </w:tc>
      </w:tr>
      <w:tr>
        <w:trPr>
          <w:trHeight w:val="515" w:hRule="atLeast"/>
        </w:trPr>
        <w:tc>
          <w:tcPr>
            <w:tcW w:w="5730" w:type="dxa"/>
            <w:tcBorders>
              <w:top w:val="single" w:sz="8" w:space="0" w:color="000000"/>
              <w:start w:val="single" w:sz="8" w:space="0" w:color="000000"/>
              <w:bottom w:val="single" w:sz="8" w:space="0" w:color="000000"/>
              <w:end w:val="single" w:sz="8" w:space="0" w:color="000000"/>
            </w:tcBorders>
          </w:tcPr>
          <w:p>
            <w:pPr>
              <w:pStyle w:val="Normal"/>
              <w:rPr/>
            </w:pPr>
            <w:r>
              <w:rPr/>
              <w:t>Long-Term Orientation</w:t>
            </w:r>
          </w:p>
        </w:tc>
        <w:tc>
          <w:tcPr>
            <w:tcW w:w="1631" w:type="dxa"/>
            <w:tcBorders>
              <w:top w:val="single" w:sz="8" w:space="0" w:color="000000"/>
              <w:start w:val="single" w:sz="8" w:space="0" w:color="000000"/>
              <w:bottom w:val="single" w:sz="8" w:space="0" w:color="000000"/>
              <w:end w:val="single" w:sz="8" w:space="0" w:color="000000"/>
            </w:tcBorders>
          </w:tcPr>
          <w:p>
            <w:pPr>
              <w:pStyle w:val="Normal"/>
              <w:rPr/>
            </w:pPr>
            <w:r>
              <w:rPr/>
              <w:t>83 (High)</w:t>
            </w:r>
          </w:p>
        </w:tc>
        <w:tc>
          <w:tcPr>
            <w:tcW w:w="1984" w:type="dxa"/>
            <w:tcBorders>
              <w:top w:val="single" w:sz="8" w:space="0" w:color="000000"/>
              <w:start w:val="single" w:sz="8" w:space="0" w:color="000000"/>
              <w:bottom w:val="single" w:sz="8" w:space="0" w:color="000000"/>
              <w:end w:val="single" w:sz="8" w:space="0" w:color="000000"/>
            </w:tcBorders>
          </w:tcPr>
          <w:p>
            <w:pPr>
              <w:pStyle w:val="Normal"/>
              <w:rPr/>
            </w:pPr>
            <w:r>
              <w:rPr/>
              <w:t>22 (Low)</w:t>
            </w:r>
          </w:p>
        </w:tc>
      </w:tr>
      <w:tr>
        <w:trPr>
          <w:trHeight w:val="515" w:hRule="atLeast"/>
        </w:trPr>
        <w:tc>
          <w:tcPr>
            <w:tcW w:w="5730" w:type="dxa"/>
            <w:tcBorders>
              <w:top w:val="single" w:sz="8" w:space="0" w:color="000000"/>
              <w:start w:val="single" w:sz="8" w:space="0" w:color="000000"/>
              <w:bottom w:val="single" w:sz="8" w:space="0" w:color="000000"/>
              <w:end w:val="single" w:sz="8" w:space="0" w:color="000000"/>
            </w:tcBorders>
          </w:tcPr>
          <w:p>
            <w:pPr>
              <w:pStyle w:val="Normal"/>
              <w:rPr/>
            </w:pPr>
            <w:r>
              <w:rPr/>
              <w:t>Indulgence</w:t>
            </w:r>
          </w:p>
        </w:tc>
        <w:tc>
          <w:tcPr>
            <w:tcW w:w="1631" w:type="dxa"/>
            <w:tcBorders>
              <w:top w:val="single" w:sz="8" w:space="0" w:color="000000"/>
              <w:start w:val="single" w:sz="8" w:space="0" w:color="000000"/>
              <w:bottom w:val="single" w:sz="8" w:space="0" w:color="000000"/>
              <w:end w:val="single" w:sz="8" w:space="0" w:color="000000"/>
            </w:tcBorders>
          </w:tcPr>
          <w:p>
            <w:pPr>
              <w:pStyle w:val="Normal"/>
              <w:rPr/>
            </w:pPr>
            <w:r>
              <w:rPr/>
              <w:t>40 (Restrained)</w:t>
            </w:r>
          </w:p>
        </w:tc>
        <w:tc>
          <w:tcPr>
            <w:tcW w:w="1984" w:type="dxa"/>
            <w:tcBorders>
              <w:top w:val="single" w:sz="8" w:space="0" w:color="000000"/>
              <w:start w:val="single" w:sz="8" w:space="0" w:color="000000"/>
              <w:bottom w:val="single" w:sz="8" w:space="0" w:color="000000"/>
              <w:end w:val="single" w:sz="8" w:space="0" w:color="000000"/>
            </w:tcBorders>
          </w:tcPr>
          <w:p>
            <w:pPr>
              <w:pStyle w:val="Normal"/>
              <w:rPr/>
            </w:pPr>
            <w:r>
              <w:rPr/>
              <w:t>Low / Restrained</w:t>
            </w:r>
          </w:p>
        </w:tc>
      </w:tr>
    </w:tbl>
    <w:p>
      <w:pPr>
        <w:pStyle w:val="Normal"/>
        <w:jc w:val="center"/>
        <w:rPr>
          <w:b/>
          <w:bCs/>
        </w:rPr>
      </w:pPr>
      <w:r>
        <w:rPr>
          <w:b/>
          <w:bCs/>
        </w:rPr>
        <w:t>Table 2: Six-Dimension Comparison Table</w:t>
      </w:r>
    </w:p>
    <w:p>
      <w:pPr>
        <w:pStyle w:val="Normal"/>
        <w:bidi w:val="0"/>
        <w:spacing w:lineRule="auto" w:line="360" w:before="0" w:after="200"/>
        <w:jc w:val="both"/>
        <w:rPr>
          <w:rFonts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t>Key Similarities</w:t>
      </w:r>
    </w:p>
    <w:p>
      <w:pPr>
        <w:pStyle w:val="Normal"/>
        <w:numPr>
          <w:ilvl w:val="0"/>
          <w:numId w:val="1"/>
        </w:numPr>
        <w:bidi w:val="0"/>
        <w:spacing w:lineRule="auto" w:line="360" w:before="0" w:after="200"/>
        <w:jc w:val="both"/>
        <w:rPr>
          <w:rFonts w:eastAsia="Times New Roman" w:cs="Times New Roman"/>
          <w:b w:val="false"/>
          <w:bCs w:val="false"/>
          <w:sz w:val="24"/>
          <w:szCs w:val="24"/>
        </w:rPr>
      </w:pPr>
      <w:r>
        <w:rPr>
          <w:rFonts w:eastAsia="Times New Roman" w:cs="Times New Roman"/>
          <w:b w:val="false"/>
          <w:bCs w:val="false"/>
          <w:sz w:val="24"/>
          <w:szCs w:val="24"/>
        </w:rPr>
        <w:t xml:space="preserve">The most profound cultural divergences lie in Power Distance (PDI), Individualism (IDV) and Long-Term Orientation (LTO). </w:t>
      </w:r>
    </w:p>
    <w:p>
      <w:pPr>
        <w:pStyle w:val="Normal"/>
        <w:numPr>
          <w:ilvl w:val="1"/>
          <w:numId w:val="1"/>
        </w:numPr>
        <w:bidi w:val="0"/>
        <w:spacing w:lineRule="auto" w:line="360" w:before="0" w:after="200"/>
        <w:jc w:val="both"/>
        <w:rPr>
          <w:rFonts w:eastAsia="Times New Roman" w:cs="Times New Roman"/>
          <w:b w:val="false"/>
          <w:bCs w:val="false"/>
          <w:sz w:val="24"/>
          <w:szCs w:val="24"/>
        </w:rPr>
      </w:pPr>
      <w:r>
        <w:rPr>
          <w:rFonts w:eastAsia="Times New Roman" w:cs="Times New Roman"/>
          <w:b w:val="false"/>
          <w:bCs w:val="false"/>
          <w:sz w:val="24"/>
          <w:szCs w:val="24"/>
        </w:rPr>
        <w:t>Germany is a highly decentralized society where consumers make independent and pragmatic choices based on functional values and it’s environmental impact, Hence low PDI and high IDV.</w:t>
      </w:r>
    </w:p>
    <w:p>
      <w:pPr>
        <w:pStyle w:val="Normal"/>
        <w:numPr>
          <w:ilvl w:val="1"/>
          <w:numId w:val="1"/>
        </w:numPr>
        <w:bidi w:val="0"/>
        <w:spacing w:lineRule="auto" w:line="360" w:before="0" w:after="200"/>
        <w:jc w:val="both"/>
        <w:rPr>
          <w:rFonts w:eastAsia="Times New Roman" w:cs="Times New Roman"/>
          <w:b w:val="false"/>
          <w:bCs w:val="false"/>
          <w:sz w:val="24"/>
          <w:szCs w:val="24"/>
        </w:rPr>
      </w:pPr>
      <w:r>
        <w:rPr>
          <w:rFonts w:eastAsia="Times New Roman" w:cs="Times New Roman"/>
          <w:b w:val="false"/>
          <w:bCs w:val="false"/>
          <w:sz w:val="24"/>
          <w:szCs w:val="24"/>
        </w:rPr>
        <w:t xml:space="preserve">Conversely, the UAE has an exceptionally high PDI and low IDV; which reflects a collectivist and hierarchical culture more prevelant in Arab region. In the UAE, luxury vehicles are not evaluated purely on utility; they are vital social tools acting as a validation for owner's elevated status within that social societal hierarchy (Almutairi, Heller and Yen, 2021). </w:t>
      </w:r>
    </w:p>
    <w:p>
      <w:pPr>
        <w:pStyle w:val="Normal"/>
        <w:numPr>
          <w:ilvl w:val="0"/>
          <w:numId w:val="1"/>
        </w:numPr>
        <w:bidi w:val="0"/>
        <w:spacing w:lineRule="auto" w:line="360" w:before="0" w:after="200"/>
        <w:jc w:val="both"/>
        <w:rPr/>
      </w:pPr>
      <w:r>
        <w:rPr>
          <w:rFonts w:eastAsia="Times New Roman" w:cs="Times New Roman"/>
          <w:b w:val="false"/>
          <w:bCs w:val="false"/>
          <w:sz w:val="24"/>
          <w:szCs w:val="24"/>
        </w:rPr>
        <w:t>Furthermore, Germany's high Long-Term Orientation aligns with its political push for future-proof sustainability (e.g., EV adoption), whereas the UAE's short-term orientation favors immediate gratification and traditional internal combustion power.</w:t>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t>Key Differences</w:t>
      </w:r>
    </w:p>
    <w:p>
      <w:pPr>
        <w:pStyle w:val="Normal"/>
        <w:bidi w:val="0"/>
        <w:spacing w:lineRule="auto" w:line="360" w:before="0" w:after="200"/>
        <w:jc w:val="both"/>
        <w:rPr>
          <w:rFonts w:eastAsia="Times New Roman" w:cs="Times New Roman"/>
          <w:b w:val="false"/>
          <w:bCs w:val="false"/>
          <w:sz w:val="24"/>
          <w:szCs w:val="24"/>
        </w:rPr>
      </w:pPr>
      <w:r>
        <w:rPr>
          <w:rFonts w:eastAsia="Times New Roman" w:cs="Times New Roman"/>
          <w:b w:val="false"/>
          <w:bCs w:val="false"/>
          <w:sz w:val="24"/>
          <w:szCs w:val="24"/>
        </w:rPr>
        <w:t>Both nations share similar scores in Uncertainty Avoidance (UAI), which shows that both cultures actively try to mitigate risk and the unknown. Hence, consumers in both markets demand flawless engineering, absolute guarantees of quality and brand reliability – All the psychological needs that Mercedes-Benz successfully fulfills through its legacy of safety and precision.</w:t>
      </w:r>
    </w:p>
    <w:p>
      <w:pPr>
        <w:pStyle w:val="Normal"/>
        <w:bidi w:val="0"/>
        <w:spacing w:lineRule="auto" w:line="360" w:before="0" w:after="200"/>
        <w:jc w:val="both"/>
        <w:rPr>
          <w:rFonts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b/>
          <w:bCs/>
        </w:rPr>
      </w:pPr>
      <w:r>
        <w:rPr>
          <w:rFonts w:eastAsia="Times New Roman" w:cs="Times New Roman"/>
          <w:b/>
          <w:bCs/>
          <w:sz w:val="24"/>
          <w:szCs w:val="24"/>
        </w:rPr>
        <w:t xml:space="preserve">4.1 The STP Analysis: </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Segmentation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Germany has a broad, mature automotive market with consumers spread across multiple income levels. Hence, Mercedes employs a granular, multi-layered segmentation approach to capture wide range of  demographics.There are young professionals seeking entry-level vehicles like Mercedes A-Class and there established executives demanding premium or sustainable solutions like  S-Class and the EQ electric range for their mobility. These consumers are naturally very pragmatic and value-driven, who mostly evaluate their purchases based on engineering quality, long-term reliability, and nowadays, environmental credentials rather than luxury or exclusciveness (Hollensen, 2020). Therefore, Mercedes segments the German market along demographic lines (age, income, family status) as well as psychographic lines, specifically targeting eco-consciousness, technological affinity, and an appreciation for domestic brand heritage. In 2025, Mercedes-Benz achieved its highest-ever sales of electrified vehicles (xEV) in Europe by selling electrified models that account for a record 40% of their total European sales share.</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The UAE market is fundamentally different. Here, the segmentation is concentrated among high-net-worth individuals (HNIs) who are primarily status-driven consumers and they demand prestige and exclusivity. The vehicle is not simply a mode of transport but an expression of wealth and social standing for them(Alserhan, 2011). The UAE's consumer culture is shaped by local Emirati cultural values and the aspirational lifestyles of its large, affluent expat population. In contrast to Germany, Mercedes segments this market around luxury lifestyle identity rather than practical utility by focusing almost exclusively on the upper end of the portfolio (Keegan and Green, 2020).</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Targeting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Because of this broader segmentation present in Germany, Mercedes adopts a differentiated targeting approach. It engages with families through a practical yet premium models like the GLE SUV. It targets eco-conscious buyers through the EQ electric sub-brand and to entry-level luxury consumers through the A-Class and CLA range (Doole and Lowe, 2012). It has to stay relevant to each segment through tailored product offerings and communication strategies because German market is competitive and consumers actively compare alternatives. So this multi-segment targeting is necessary; Mercedes cannot rely solely on brand prestige.</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In the UAE, the targeting approach is far more concentrated, because the segmentation is concentrated and consumers want absolute premiumness. As a result,entry-level models receive considerably less promotional attention because Mercedes directs most of its marketing efforts toward top-tier models like the G-Class, the AMG performance variants, and the long-wheelbase Maybach S-Class (Alserhan, 2011). The G-Class was a massive seller in the UAE and it also achieved its best-ever sales year in 2025, with global deliveries surging by 23% to reach a record 49,700 units (Arab wheels, 2025).The target buyer in the UAE is typically a young, affluent male; who prioritises road presence, power and exclusivity rather than economy or practicality (Kapferer, 2012). Hence, Mercedes concentrates it’s marketing efforts where it generates the greatest cultural resonance.</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Positioning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"The Best or Nothing" is the tagline used by Mercedes for it’s global positioning (Das Beste oder nichts) to communicate that they do not compromise on quality. In Germany, this positioning leans toward innovation, heritage, and engineering excellence; these are the qualities that resonate with German national identity and industrial pride (Kapferer, 2012). In the UAE, the positioning is weighted more heavily toward exclusivity, prestige, and aspirational luxury; to align itself with the cultural value placed on visible success and wealth of their emirati customers (Keegan and Green, 2020).</w:t>
      </w:r>
    </w:p>
    <w:p>
      <w:pPr>
        <w:pStyle w:val="Normal"/>
        <w:bidi w:val="0"/>
        <w:spacing w:lineRule="auto" w:line="360" w:before="0" w:after="200"/>
        <w:jc w:val="both"/>
        <w:rPr>
          <w:rFonts w:eastAsia="Times New Roman" w:cs="Times New Roman"/>
          <w:b w:val="false"/>
          <w:bCs w:val="false"/>
          <w:sz w:val="24"/>
          <w:szCs w:val="24"/>
        </w:rPr>
      </w:pPr>
      <w:r>
        <w:rPr>
          <w:rFonts w:eastAsia="Times New Roman" w:cs="Times New Roman"/>
          <w:b w:val="false"/>
          <w:bCs w:val="false"/>
          <w:sz w:val="24"/>
          <w:szCs w:val="24"/>
        </w:rPr>
        <w:drawing>
          <wp:anchor distT="0" distB="0" distL="0" distR="0" simplePos="0" relativeHeight="38" behindDoc="0" locked="0" layoutInCell="0" allowOverlap="1">
            <wp:simplePos x="0" y="0"/>
            <wp:positionH relativeFrom="column">
              <wp:align>center</wp:align>
            </wp:positionH>
            <wp:positionV relativeFrom="paragraph">
              <wp:posOffset>-102235</wp:posOffset>
            </wp:positionV>
            <wp:extent cx="5571490" cy="3745230"/>
            <wp:effectExtent l="0" t="0" r="0" b="0"/>
            <wp:wrapTopAndBottom/>
            <wp:docPr id="7" name="Imag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10"/>
                    <pic:cNvPicPr>
                      <a:picLocks noChangeAspect="1" noChangeArrowheads="1"/>
                    </pic:cNvPicPr>
                  </pic:nvPicPr>
                  <pic:blipFill>
                    <a:blip r:embed="rId11"/>
                    <a:stretch>
                      <a:fillRect/>
                    </a:stretch>
                  </pic:blipFill>
                  <pic:spPr bwMode="auto">
                    <a:xfrm>
                      <a:off x="0" y="0"/>
                      <a:ext cx="5571490" cy="3745230"/>
                    </a:xfrm>
                    <a:prstGeom prst="rect">
                      <a:avLst/>
                    </a:prstGeom>
                    <a:noFill/>
                  </pic:spPr>
                </pic:pic>
              </a:graphicData>
            </a:graphic>
          </wp:anchor>
        </w:drawing>
      </w:r>
    </w:p>
    <w:p>
      <w:pPr>
        <w:pStyle w:val="Normal"/>
        <w:bidi w:val="0"/>
        <w:spacing w:lineRule="auto" w:line="360" w:before="0" w:after="200"/>
        <w:jc w:val="center"/>
        <w:rPr/>
      </w:pPr>
      <w:r>
        <w:rPr>
          <w:b w:val="false"/>
          <w:bCs w:val="false"/>
          <w:sz w:val="22"/>
          <w:szCs w:val="22"/>
        </w:rPr>
        <w:t xml:space="preserve">(Source : </w:t>
      </w:r>
      <w:hyperlink r:id="rId12">
        <w:r>
          <w:rPr>
            <w:rStyle w:val="Hyperlink"/>
            <w:b w:val="false"/>
            <w:bCs w:val="false"/>
            <w:sz w:val="22"/>
            <w:szCs w:val="22"/>
          </w:rPr>
          <w:t>https://kathonewmedia.wordpress.com/2016/01/22/the-german-automobile-war</w:t>
        </w:r>
      </w:hyperlink>
      <w:r>
        <w:rPr>
          <w:b w:val="false"/>
          <w:bCs w:val="false"/>
          <w:sz w:val="22"/>
          <w:szCs w:val="22"/>
        </w:rPr>
        <w:t xml:space="preserve">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bCs/>
          <w:sz w:val="24"/>
          <w:szCs w:val="24"/>
        </w:rPr>
        <w:t>4.2 International Marketing Mix (7Ps)</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eastAsia="Times New Roman" w:cs="Times New Roman"/>
          <w:b w:val="false"/>
          <w:bCs w:val="false"/>
          <w:sz w:val="20"/>
          <w:szCs w:val="20"/>
        </w:rPr>
      </w:pPr>
      <w:r>
        <w:rPr>
          <w:rFonts w:eastAsia="Times New Roman" w:cs="Times New Roman"/>
          <w:b w:val="false"/>
          <w:bCs w:val="false"/>
          <w:sz w:val="20"/>
          <w:szCs w:val="20"/>
        </w:rPr>
        <w:drawing>
          <wp:anchor distT="0" distB="0" distL="0" distR="0" simplePos="0" relativeHeight="39" behindDoc="0" locked="0" layoutInCell="0" allowOverlap="1">
            <wp:simplePos x="0" y="0"/>
            <wp:positionH relativeFrom="column">
              <wp:posOffset>1155700</wp:posOffset>
            </wp:positionH>
            <wp:positionV relativeFrom="paragraph">
              <wp:posOffset>-109855</wp:posOffset>
            </wp:positionV>
            <wp:extent cx="3334385" cy="3334385"/>
            <wp:effectExtent l="0" t="0" r="0" b="0"/>
            <wp:wrapTopAndBottom/>
            <wp:docPr id="8"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1"/>
                    <pic:cNvPicPr>
                      <a:picLocks noChangeAspect="1" noChangeArrowheads="1"/>
                    </pic:cNvPicPr>
                  </pic:nvPicPr>
                  <pic:blipFill>
                    <a:blip r:embed="rId13"/>
                    <a:stretch>
                      <a:fillRect/>
                    </a:stretch>
                  </pic:blipFill>
                  <pic:spPr bwMode="auto">
                    <a:xfrm>
                      <a:off x="0" y="0"/>
                      <a:ext cx="3334385" cy="3334385"/>
                    </a:xfrm>
                    <a:prstGeom prst="rect">
                      <a:avLst/>
                    </a:prstGeom>
                    <a:noFill/>
                  </pic:spPr>
                </pic:pic>
              </a:graphicData>
            </a:graphic>
          </wp:anchor>
        </w:drawing>
      </w:r>
    </w:p>
    <w:p>
      <w:pPr>
        <w:pStyle w:val="Normal"/>
        <w:bidi w:val="0"/>
        <w:spacing w:lineRule="auto" w:line="360" w:before="0" w:after="200"/>
        <w:jc w:val="both"/>
        <w:rPr/>
      </w:pPr>
      <w:r>
        <w:rPr>
          <w:rFonts w:eastAsia="Times New Roman" w:cs="Times New Roman"/>
          <w:b w:val="false"/>
          <w:bCs w:val="false"/>
          <w:sz w:val="20"/>
          <w:szCs w:val="20"/>
        </w:rPr>
        <w:t xml:space="preserve">(Source: </w:t>
      </w:r>
      <w:hyperlink r:id="rId14">
        <w:r>
          <w:rPr>
            <w:rStyle w:val="Hyperlink"/>
            <w:rFonts w:eastAsia="Times New Roman" w:cs="Times New Roman"/>
            <w:b w:val="false"/>
            <w:bCs w:val="false"/>
            <w:sz w:val="20"/>
            <w:szCs w:val="20"/>
          </w:rPr>
          <w:t>https://www.professionalacademy.com/blogs/marketing-theories-the-marketing-mix-from-4-ps-to-7-ps/</w:t>
        </w:r>
      </w:hyperlink>
      <w:r>
        <w:rPr>
          <w:rFonts w:eastAsia="Times New Roman" w:cs="Times New Roman"/>
          <w:b w:val="false"/>
          <w:bCs w:val="false"/>
          <w:sz w:val="20"/>
          <w:szCs w:val="20"/>
        </w:rPr>
        <w:t xml:space="preserve">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How cultural and other factors effect Product, promotion and placements along with other Ps</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Product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In Germany, Mercedes offers its full model range with a strong push toward electric and hybrid variants like the EQS and EQE as part of Germany's broader shift toward green mobility and consumer preferences for sustainability (Doole and Lowe, 2012). Advanced driver-assistance technology and digital connectivity features are key selling points for the German buyers.</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While the full model range is also available in the UAE, certain models like G-Class SUV, long-wheelbase S-Class, and AMG high-performance variants are far more popular. This domination is driven by consumer preference for powerful, visually commanding vehicles suited to both desert terrain and urban luxury (Alserhan, 2011). Product adaptation is minimal in terms of mechanics, but Mercedes does offer extended wheelbase versions and bespoke customisation options that appeal strongly to UAE buyers.</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drawing>
          <wp:anchor distT="0" distB="0" distL="0" distR="0" simplePos="0" relativeHeight="40" behindDoc="0" locked="0" layoutInCell="0" allowOverlap="1">
            <wp:simplePos x="0" y="0"/>
            <wp:positionH relativeFrom="column">
              <wp:align>center</wp:align>
            </wp:positionH>
            <wp:positionV relativeFrom="paragraph">
              <wp:posOffset>635</wp:posOffset>
            </wp:positionV>
            <wp:extent cx="4626610" cy="3469640"/>
            <wp:effectExtent l="0" t="0" r="0" b="0"/>
            <wp:wrapTopAndBottom/>
            <wp:docPr id="9" name="Imag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9"/>
                    <pic:cNvPicPr>
                      <a:picLocks noChangeAspect="1" noChangeArrowheads="1"/>
                    </pic:cNvPicPr>
                  </pic:nvPicPr>
                  <pic:blipFill>
                    <a:blip r:embed="rId15"/>
                    <a:stretch>
                      <a:fillRect/>
                    </a:stretch>
                  </pic:blipFill>
                  <pic:spPr bwMode="auto">
                    <a:xfrm>
                      <a:off x="0" y="0"/>
                      <a:ext cx="4626610" cy="3469640"/>
                    </a:xfrm>
                    <a:prstGeom prst="rect">
                      <a:avLst/>
                    </a:prstGeom>
                    <a:noFill/>
                  </pic:spPr>
                </pic:pic>
              </a:graphicData>
            </a:graphic>
          </wp:anchor>
        </w:drawing>
      </w:r>
    </w:p>
    <w:p>
      <w:pPr>
        <w:pStyle w:val="Normal"/>
        <w:bidi w:val="0"/>
        <w:spacing w:lineRule="auto" w:line="360" w:before="0" w:after="200"/>
        <w:jc w:val="center"/>
        <w:rPr/>
      </w:pPr>
      <w:r>
        <w:rPr>
          <w:rFonts w:eastAsia="Times New Roman" w:cs="Times New Roman"/>
          <w:b w:val="false"/>
          <w:bCs w:val="false"/>
          <w:sz w:val="20"/>
          <w:szCs w:val="20"/>
        </w:rPr>
        <w:t xml:space="preserve">(Source: </w:t>
      </w:r>
      <w:hyperlink r:id="rId16">
        <w:r>
          <w:rPr>
            <w:rStyle w:val="Hyperlink"/>
            <w:rFonts w:eastAsia="Times New Roman" w:cs="Times New Roman"/>
            <w:b w:val="false"/>
            <w:bCs w:val="false"/>
            <w:sz w:val="20"/>
            <w:szCs w:val="20"/>
          </w:rPr>
          <w:t>https://www.jct600.co.uk/news/what-are-mercedes-benz-classes/?srsltid=AfmBOoqdhGw7_0pZqtp_tHBNSay2XjGo0M_GZgrFKVj-9VYRgB14krdf</w:t>
        </w:r>
      </w:hyperlink>
      <w:r>
        <w:rPr>
          <w:rFonts w:eastAsia="Times New Roman" w:cs="Times New Roman"/>
          <w:b w:val="false"/>
          <w:bCs w:val="false"/>
          <w:sz w:val="20"/>
          <w:szCs w:val="20"/>
        </w:rPr>
        <w:t xml:space="preserve"> )</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Price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In Germany, Mercedes uses a premium pricing strategy. However, because Germany is the home market, prices are somewhat more competitive compared to export markets, and corporate discount schemes and financing options are widely available (Hollensen, 2020). More specifically, the introduction of subscription model and online purchase models has also widened accessibility within the premium segment.</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In the UAE, prices are generally higher due to import duties and logistical costs but the disposable income is relatively high due to the absence of income tax (Keegan and Green, 2020). UAE consumers are also less price-sensitive. Mercedes positions its top-tier models as aspirational purchases, where price itself becomes part of the brand value and higher price often signals desirability for UAE consumers.</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Place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Germany has one of the most extensive Mercedes dealership networks globally. Which is supported by a mature digital retail infrastructure, where consumers can  configure and order vehicles entirely online. This also supports the German preference for efficiency and information-driven purchasing (Doole and Lowe, 2012).</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In the UAE, dealerships are situated in high-footfall luxury destinations : premium malls and commercial boulevards such as Dubai's Sheikh Zayed Road. Here the physical showroom experience itself is a part of the brand encounter (Alserhan, 2011). The retail environment is designed to feel less like a car showroom and more like a luxury hospitality space.</w:t>
      </w:r>
    </w:p>
    <w:p>
      <w:pPr>
        <w:pStyle w:val="Normal"/>
        <w:bidi w:val="0"/>
        <w:spacing w:lineRule="auto" w:line="360" w:before="0" w:after="200"/>
        <w:jc w:val="both"/>
        <w:rPr>
          <w:rFonts w:eastAsia="Times New Roman" w:cs="Times New Roman"/>
          <w:b w:val="false"/>
          <w:bCs w:val="false"/>
          <w:sz w:val="24"/>
          <w:szCs w:val="24"/>
        </w:rPr>
      </w:pPr>
      <w:r>
        <w:drawing>
          <wp:anchor distT="0" distB="0" distL="0" distR="0" simplePos="0" relativeHeight="43" behindDoc="0" locked="0" layoutInCell="0" allowOverlap="1">
            <wp:simplePos x="0" y="0"/>
            <wp:positionH relativeFrom="column">
              <wp:align>center</wp:align>
            </wp:positionH>
            <wp:positionV relativeFrom="paragraph">
              <wp:posOffset>635</wp:posOffset>
            </wp:positionV>
            <wp:extent cx="4502785" cy="2532380"/>
            <wp:effectExtent l="0" t="0" r="0" b="0"/>
            <wp:wrapTopAndBottom/>
            <wp:docPr id="10" name="Image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14"/>
                    <pic:cNvPicPr>
                      <a:picLocks noChangeAspect="1" noChangeArrowheads="1"/>
                    </pic:cNvPicPr>
                  </pic:nvPicPr>
                  <pic:blipFill>
                    <a:blip r:embed="rId17"/>
                    <a:stretch>
                      <a:fillRect/>
                    </a:stretch>
                  </pic:blipFill>
                  <pic:spPr bwMode="auto">
                    <a:xfrm>
                      <a:off x="0" y="0"/>
                      <a:ext cx="4502785" cy="2532380"/>
                    </a:xfrm>
                    <a:prstGeom prst="rect">
                      <a:avLst/>
                    </a:prstGeom>
                    <a:noFill/>
                  </pic:spPr>
                </pic:pic>
              </a:graphicData>
            </a:graphic>
          </wp:anchor>
        </w:drawing>
      </w:r>
      <w:r>
        <w:rPr>
          <w:rFonts w:eastAsia="Times New Roman" w:cs="Times New Roman"/>
          <w:b w:val="false"/>
          <w:bCs w:val="false"/>
          <w:sz w:val="24"/>
          <w:szCs w:val="24"/>
        </w:rPr>
        <w:t xml:space="preserve">(German showroom of Mercedes : </w:t>
      </w:r>
      <w:hyperlink r:id="rId18">
        <w:r>
          <w:rPr>
            <w:rStyle w:val="Hyperlink"/>
            <w:rFonts w:eastAsia="Times New Roman" w:cs="Times New Roman"/>
            <w:b w:val="false"/>
            <w:bCs w:val="false"/>
            <w:sz w:val="24"/>
            <w:szCs w:val="24"/>
          </w:rPr>
          <w:t>https://group.mercedes-benz.com/careers/about-us/locations/location-detail-page-5255.html</w:t>
        </w:r>
      </w:hyperlink>
      <w:r>
        <w:rPr>
          <w:rFonts w:eastAsia="Times New Roman" w:cs="Times New Roman"/>
          <w:b w:val="false"/>
          <w:bCs w:val="false"/>
          <w:sz w:val="24"/>
          <w:szCs w:val="24"/>
        </w:rPr>
        <w:t xml:space="preserve"> )</w:t>
      </w:r>
    </w:p>
    <w:p>
      <w:pPr>
        <w:pStyle w:val="Normal"/>
        <w:bidi w:val="0"/>
        <w:spacing w:lineRule="auto" w:line="360" w:before="0" w:after="200"/>
        <w:jc w:val="center"/>
        <w:rPr>
          <w:rFonts w:eastAsia="Times New Roman" w:cs="Times New Roman"/>
          <w:b w:val="false"/>
          <w:bCs w:val="false"/>
          <w:sz w:val="24"/>
          <w:szCs w:val="24"/>
        </w:rPr>
      </w:pPr>
      <w:r>
        <w:drawing>
          <wp:anchor distT="0" distB="0" distL="0" distR="0" simplePos="0" relativeHeight="44" behindDoc="0" locked="0" layoutInCell="0" allowOverlap="1">
            <wp:simplePos x="0" y="0"/>
            <wp:positionH relativeFrom="column">
              <wp:align>center</wp:align>
            </wp:positionH>
            <wp:positionV relativeFrom="paragraph">
              <wp:posOffset>635</wp:posOffset>
            </wp:positionV>
            <wp:extent cx="4785360" cy="3194050"/>
            <wp:effectExtent l="0" t="0" r="0" b="0"/>
            <wp:wrapTopAndBottom/>
            <wp:docPr id="11" name="Image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15"/>
                    <pic:cNvPicPr>
                      <a:picLocks noChangeAspect="1" noChangeArrowheads="1"/>
                    </pic:cNvPicPr>
                  </pic:nvPicPr>
                  <pic:blipFill>
                    <a:blip r:embed="rId19"/>
                    <a:stretch>
                      <a:fillRect/>
                    </a:stretch>
                  </pic:blipFill>
                  <pic:spPr bwMode="auto">
                    <a:xfrm>
                      <a:off x="0" y="0"/>
                      <a:ext cx="4785360" cy="3194050"/>
                    </a:xfrm>
                    <a:prstGeom prst="rect">
                      <a:avLst/>
                    </a:prstGeom>
                    <a:noFill/>
                  </pic:spPr>
                </pic:pic>
              </a:graphicData>
            </a:graphic>
          </wp:anchor>
        </w:drawing>
      </w:r>
      <w:r>
        <w:rPr>
          <w:rFonts w:eastAsia="Times New Roman" w:cs="Times New Roman"/>
          <w:b w:val="false"/>
          <w:bCs w:val="false"/>
          <w:sz w:val="24"/>
          <w:szCs w:val="24"/>
        </w:rPr>
        <w:t xml:space="preserve">(UAE showroom : </w:t>
      </w:r>
      <w:hyperlink r:id="rId20">
        <w:r>
          <w:rPr>
            <w:rStyle w:val="Hyperlink"/>
            <w:rFonts w:eastAsia="Times New Roman" w:cs="Times New Roman"/>
            <w:b w:val="false"/>
            <w:bCs w:val="false"/>
            <w:sz w:val="24"/>
            <w:szCs w:val="24"/>
          </w:rPr>
          <w:t>https://www.gargash-group.com/news-en/gargash-group-unveils-state-of-the-art-mercedes-benz-brand-center-in-dubai</w:t>
        </w:r>
      </w:hyperlink>
      <w:r>
        <w:rPr>
          <w:rFonts w:eastAsia="Times New Roman" w:cs="Times New Roman"/>
          <w:b w:val="false"/>
          <w:bCs w:val="false"/>
          <w:sz w:val="24"/>
          <w:szCs w:val="24"/>
        </w:rPr>
        <w:t xml:space="preserve"> )</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Promotion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In Germany, promotional communication appeals to intellectual buyers - who is rational, heritage-driven, and increasingly sustainability-focused and appreciates engineering excellence (Kapferer, 2012). Because of the broader target audience, Mercedes’s promotional activities inlcude Formula one sponsorship, digital campaigns and use of national media.</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In the UAE, target audience is highly concentrated. So promotional mix includes high-profile event sponsorships, luxury lifestyle campaigns, and social media influencer partnerships. The promotions are more experiential and visually extravagant rather than technical (Keegan and Green, 2020). Ramadan is a high time of consumer spending, so Mercedes adapts it’s campaigns for Arabic-speaking audiences durng this time. This demonstrates Mercedes' deep cultural sensitivity and intelligent market adaptation.</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People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The human element of Mercedes' service is noticeably different between the two markets. German sales staff are highly technical and well-trained. They are capable of walking a customer through all the engineering specifications, battery range data or driver-assistance features in technical depth (Hollensen, 2020). The German consumer expects sales staff to be well informed and the people delivering that experience are selected and trained accordingly by Mercedes. In the UAE, relationship management is primary focus rather than technical knowledge. Mercedes dealerships deploy VIP relationship managers to provide premium dealership experience and build long-term personal connections with high-value clients (Alserhan, 2011). This approach aligns closely with the Gulf culture. Emirati customers consider personal trust as a foundation for business, where the relationship with the salesperson often matters as much as the product itself. Mercedes-Benz Group employs approximately 114,000 people in Germany (Mercedes benz, 2025).</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Process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Germany operates on an efficient and standardised sales process. Customers can walk into a dealership - configure their vehicle digitally - complete financing arrangements and schedule delivery in a streamlined, predictable sequence. This shows that German customers prefer order and efficiency (Doole and Lowe, 2012). In the UAE, the process is transformed into something far more experiential. Purchasing a top-tier Mercedes is not just a transaction, It’s an occasion. The process inlcudes hyper-personalisation and bespoke consultations - custom configuration sessions and finally a vehicle delivery that is deliberately orchestrated as an event. The Process  completes with unveilings and display of personal touches that make the buyer feel uniquely valued (Keegan and Green, 2020). Here, how you are treated is as important as what you are buying.</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Physical Evidence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Mercedes dealerships in Germany reflect a modern, minimalist aesthetic. Showrooms use green-certified materials and display the EV charging infrastructure on the showroom floor to emphasize on sustainability (Kapferer, 2012). Showroom environment communicates precision and responsibility. The physical environment of UAE showrooms is designed to deliver a sense of wonderness and function more like luxury destinations rather than a conventional dealership. Showrooms feature private preview rooms where clients can view new models before public release, high-end in-house cafés and interior design that mirrors five-star hospitality (Alserhan, 2011).Every physical detail is intentional, It subtuly signals that choosing Mercedes is not just a purchase but an entry pass into an exclusive world.</w:t>
      </w:r>
    </w:p>
    <w:p>
      <w:pPr>
        <w:pStyle w:val="Normal"/>
        <w:bidi w:val="0"/>
        <w:spacing w:lineRule="auto" w:line="360" w:before="0" w:after="200"/>
        <w:jc w:val="center"/>
        <w:rPr>
          <w:rFonts w:ascii="Arial" w:hAnsi="Arial" w:eastAsia="Times New Roman" w:cs="Times New Roman"/>
          <w:b w:val="false"/>
          <w:bCs w:val="false"/>
          <w:sz w:val="24"/>
          <w:szCs w:val="24"/>
        </w:rPr>
      </w:pPr>
      <w:r>
        <w:drawing>
          <wp:anchor distT="0" distB="0" distL="0" distR="0" simplePos="0" relativeHeight="41" behindDoc="0" locked="0" layoutInCell="0" allowOverlap="1">
            <wp:simplePos x="0" y="0"/>
            <wp:positionH relativeFrom="column">
              <wp:align>center</wp:align>
            </wp:positionH>
            <wp:positionV relativeFrom="paragraph">
              <wp:posOffset>635</wp:posOffset>
            </wp:positionV>
            <wp:extent cx="5366385" cy="2709545"/>
            <wp:effectExtent l="0" t="0" r="0" b="0"/>
            <wp:wrapTopAndBottom/>
            <wp:docPr id="12" name="Image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11"/>
                    <pic:cNvPicPr>
                      <a:picLocks noChangeAspect="1" noChangeArrowheads="1"/>
                    </pic:cNvPicPr>
                  </pic:nvPicPr>
                  <pic:blipFill>
                    <a:blip r:embed="rId21"/>
                    <a:stretch>
                      <a:fillRect/>
                    </a:stretch>
                  </pic:blipFill>
                  <pic:spPr bwMode="auto">
                    <a:xfrm>
                      <a:off x="0" y="0"/>
                      <a:ext cx="5366385" cy="2709545"/>
                    </a:xfrm>
                    <a:prstGeom prst="rect">
                      <a:avLst/>
                    </a:prstGeom>
                    <a:noFill/>
                  </pic:spPr>
                </pic:pic>
              </a:graphicData>
            </a:graphic>
          </wp:anchor>
        </w:drawing>
      </w:r>
      <w:r>
        <w:rPr>
          <w:rFonts w:eastAsia="Times New Roman" w:cs="Times New Roman"/>
          <w:b w:val="false"/>
          <w:bCs w:val="false"/>
          <w:sz w:val="24"/>
          <w:szCs w:val="24"/>
        </w:rPr>
        <w:t>(Source: https://www.mercedes-benz-mena.com/dubai/en/)</w:t>
      </w:r>
    </w:p>
    <w:p>
      <w:pPr>
        <w:pStyle w:val="Normal"/>
        <w:bidi w:val="0"/>
        <w:spacing w:lineRule="auto" w:line="360" w:before="0" w:after="200"/>
        <w:jc w:val="center"/>
        <w:rPr>
          <w:rFonts w:eastAsia="Times New Roman" w:cs="Times New Roman"/>
          <w:b w:val="false"/>
          <w:bCs w:val="false"/>
          <w:sz w:val="24"/>
          <w:szCs w:val="24"/>
        </w:rPr>
      </w:pPr>
      <w:r>
        <w:drawing>
          <wp:anchor distT="0" distB="0" distL="0" distR="0" simplePos="0" relativeHeight="42" behindDoc="0" locked="0" layoutInCell="0" allowOverlap="1">
            <wp:simplePos x="0" y="0"/>
            <wp:positionH relativeFrom="column">
              <wp:align>center</wp:align>
            </wp:positionH>
            <wp:positionV relativeFrom="paragraph">
              <wp:posOffset>635</wp:posOffset>
            </wp:positionV>
            <wp:extent cx="4537710" cy="2291080"/>
            <wp:effectExtent l="0" t="0" r="0" b="0"/>
            <wp:wrapTopAndBottom/>
            <wp:docPr id="13" name="Image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13"/>
                    <pic:cNvPicPr>
                      <a:picLocks noChangeAspect="1" noChangeArrowheads="1"/>
                    </pic:cNvPicPr>
                  </pic:nvPicPr>
                  <pic:blipFill>
                    <a:blip r:embed="rId22"/>
                    <a:stretch>
                      <a:fillRect/>
                    </a:stretch>
                  </pic:blipFill>
                  <pic:spPr bwMode="auto">
                    <a:xfrm>
                      <a:off x="0" y="0"/>
                      <a:ext cx="4537710" cy="2291080"/>
                    </a:xfrm>
                    <a:prstGeom prst="rect">
                      <a:avLst/>
                    </a:prstGeom>
                    <a:noFill/>
                  </pic:spPr>
                </pic:pic>
              </a:graphicData>
            </a:graphic>
          </wp:anchor>
        </w:drawing>
      </w:r>
      <w:r>
        <w:rPr>
          <w:rFonts w:eastAsia="Times New Roman" w:cs="Times New Roman"/>
          <w:b w:val="false"/>
          <w:bCs w:val="false"/>
          <w:sz w:val="24"/>
          <w:szCs w:val="24"/>
        </w:rPr>
        <w:tab/>
        <w:t xml:space="preserve">(Source: </w:t>
      </w:r>
      <w:hyperlink r:id="rId23">
        <w:r>
          <w:rPr>
            <w:rStyle w:val="Hyperlink"/>
            <w:rFonts w:eastAsia="Times New Roman" w:cs="Times New Roman"/>
            <w:b w:val="false"/>
            <w:bCs w:val="false"/>
            <w:sz w:val="24"/>
            <w:szCs w:val="24"/>
          </w:rPr>
          <w:t>https://www.mercedes-benz.de/</w:t>
        </w:r>
      </w:hyperlink>
      <w:r>
        <w:rPr>
          <w:rFonts w:eastAsia="Times New Roman" w:cs="Times New Roman"/>
          <w:b w:val="false"/>
          <w:bCs w:val="false"/>
          <w:sz w:val="24"/>
          <w:szCs w:val="24"/>
        </w:rPr>
        <w:t xml:space="preserve"> )</w:t>
      </w:r>
    </w:p>
    <w:p>
      <w:pPr>
        <w:pStyle w:val="Normal"/>
        <w:bidi w:val="0"/>
        <w:spacing w:lineRule="auto" w:line="360" w:before="0" w:after="200"/>
        <w:jc w:val="both"/>
        <w:rPr>
          <w:b/>
          <w:bCs/>
        </w:rPr>
      </w:pPr>
      <w:r>
        <w:rPr>
          <w:b/>
          <w:bCs/>
        </w:rPr>
      </w:r>
    </w:p>
    <w:p>
      <w:pPr>
        <w:pStyle w:val="Normal"/>
        <w:bidi w:val="0"/>
        <w:spacing w:lineRule="auto" w:line="360" w:before="0" w:after="200"/>
        <w:jc w:val="both"/>
        <w:rPr>
          <w:b/>
          <w:bCs/>
        </w:rPr>
      </w:pPr>
      <w:r>
        <w:rPr>
          <w:b/>
          <w:bCs/>
        </w:rPr>
      </w:r>
    </w:p>
    <w:p>
      <w:pPr>
        <w:pStyle w:val="Normal"/>
        <w:bidi w:val="0"/>
        <w:spacing w:lineRule="auto" w:line="360" w:before="0" w:after="200"/>
        <w:jc w:val="both"/>
        <w:rPr>
          <w:b/>
          <w:bCs/>
        </w:rPr>
      </w:pPr>
      <w:r>
        <w:rPr>
          <w:rFonts w:eastAsia="Times New Roman" w:cs="Times New Roman"/>
          <w:b/>
          <w:bCs/>
          <w:sz w:val="24"/>
          <w:szCs w:val="24"/>
        </w:rPr>
        <w:t>5. Brand’s Directional Development Strategy</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The Ansoff Matrix (Ansoff, 1957) is a useful and widely recognised strategic framework,we will use it to understand how Mercedes-Benz is developing its brand direction in the UAE. According to Ansoff Matrix, Mercedes has four possible growth directions : market penetration, market development, product development and diversification for it’s existing and new markets and products. Mercedes' UAE strategy shows a clear pattern of simultaneous product development and market penetration (primarily through it’s deliberate move toward ultra-luxury positioning).</w:t>
      </w:r>
    </w:p>
    <w:p>
      <w:pPr>
        <w:pStyle w:val="Normal"/>
        <w:bidi w:val="0"/>
        <w:spacing w:lineRule="auto" w:line="360" w:before="0" w:after="200"/>
        <w:jc w:val="center"/>
        <w:rPr>
          <w:rFonts w:eastAsia="Times New Roman" w:cs="Times New Roman"/>
          <w:b w:val="false"/>
          <w:bCs w:val="false"/>
          <w:sz w:val="24"/>
          <w:szCs w:val="24"/>
        </w:rPr>
      </w:pPr>
      <w:r>
        <w:drawing>
          <wp:anchor distT="0" distB="0" distL="0" distR="0" simplePos="0" relativeHeight="34" behindDoc="0" locked="0" layoutInCell="0" allowOverlap="1">
            <wp:simplePos x="0" y="0"/>
            <wp:positionH relativeFrom="column">
              <wp:align>center</wp:align>
            </wp:positionH>
            <wp:positionV relativeFrom="paragraph">
              <wp:posOffset>635</wp:posOffset>
            </wp:positionV>
            <wp:extent cx="5147310" cy="3652520"/>
            <wp:effectExtent l="0" t="0" r="0" b="0"/>
            <wp:wrapTopAndBottom/>
            <wp:docPr id="14"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4"/>
                    <pic:cNvPicPr>
                      <a:picLocks noChangeAspect="1" noChangeArrowheads="1"/>
                    </pic:cNvPicPr>
                  </pic:nvPicPr>
                  <pic:blipFill>
                    <a:blip r:embed="rId24"/>
                    <a:stretch>
                      <a:fillRect/>
                    </a:stretch>
                  </pic:blipFill>
                  <pic:spPr bwMode="auto">
                    <a:xfrm>
                      <a:off x="0" y="0"/>
                      <a:ext cx="5147310" cy="3652520"/>
                    </a:xfrm>
                    <a:prstGeom prst="rect">
                      <a:avLst/>
                    </a:prstGeom>
                    <a:noFill/>
                  </pic:spPr>
                </pic:pic>
              </a:graphicData>
            </a:graphic>
          </wp:anchor>
        </w:drawing>
      </w:r>
      <w:r>
        <w:rPr>
          <w:rFonts w:eastAsia="Times New Roman" w:cs="Times New Roman"/>
          <w:b w:val="false"/>
          <w:bCs w:val="false"/>
          <w:sz w:val="24"/>
          <w:szCs w:val="24"/>
        </w:rPr>
        <w:t xml:space="preserve">(Source: </w:t>
      </w:r>
      <w:hyperlink r:id="rId25">
        <w:r>
          <w:rPr>
            <w:rStyle w:val="Hyperlink"/>
            <w:rFonts w:eastAsia="Times New Roman" w:cs="Times New Roman"/>
            <w:b w:val="false"/>
            <w:bCs w:val="false"/>
            <w:sz w:val="24"/>
            <w:szCs w:val="24"/>
          </w:rPr>
          <w:t>https://meghaganguli23.medium.com/ansoff-matrix-101-the-4-strategies-for-growth-and-expansion-2149da4b5a76</w:t>
        </w:r>
      </w:hyperlink>
      <w:r>
        <w:rPr>
          <w:rFonts w:eastAsia="Times New Roman" w:cs="Times New Roman"/>
          <w:b w:val="false"/>
          <w:bCs w:val="false"/>
          <w:sz w:val="24"/>
          <w:szCs w:val="24"/>
        </w:rPr>
        <w:t>)</w:t>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t>Product Development</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Mercedes has been expanding Maybach(It’s ultra-luxury sub-brand) and its AMG performance lineup in the UAE. This has been the most significant directional shift in the UAE over the past four years. The Maybach GLS 600 was prominently  introduced in the Gulf market from 2021 onwards and Mercedes specifically marketed it as a ‘statement of extreme exclusivity’. This was in direct response to research indicating that UAE consumers were seeking greater differentiation within the luxury tier (Mercedes-Benz Group AG, 2023). Alongside this, Mercedes has begun calculated and cautious rollout of its EQ electric vehicle portfolio in the UAE, but the adoption has been limited because of the country's infrastructure development stage and mainly because of consumer’s preference for high-performance combustion engines (Keegan and Green, 2020). The EQ introduction signals forward-looking product diversification within the existing UAE customer base, despite the results.</w:t>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t>Market Penetration</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Mercedes has aggressively deepened its presence within the existing UAE market. According to Mercedes-Benz Group's Annual Report (2023), the Middle East and Africa region recorded strong revenue growth; The UAE has consistently ranked as one of the brand's ‘highest-performing markets’ for top-end vehicles. Mercedes has focused on increasing its share of revenue among existing high-value consumers rather than expanding the customer base. This was done through encouraging current owners to upgrade to higher-specification models such as the Maybach ‘S-Class’ and ‘G-Class’ variants. This penetration strategy is supported through loyalty programmes, exclusive ownership events and VIP relationship management. It collectively deepen brand attachment and reduce the likelihood of switching to competitors such as Rolls-Royce or Bentley (Hollensen, 2020).</w:t>
      </w:r>
    </w:p>
    <w:p>
      <w:pPr>
        <w:pStyle w:val="Normal"/>
        <w:bidi w:val="0"/>
        <w:spacing w:lineRule="auto" w:line="360" w:before="0" w:after="200"/>
        <w:jc w:val="both"/>
        <w:rPr>
          <w:b/>
          <w:bCs/>
        </w:rPr>
      </w:pPr>
      <w:r>
        <w:rPr>
          <w:rFonts w:eastAsia="Times New Roman" w:cs="Times New Roman"/>
          <w:b/>
          <w:bCs/>
          <w:sz w:val="24"/>
          <w:szCs w:val="24"/>
        </w:rPr>
        <w:t>6. Ethical Concerns</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Despite the efforts for sustainability and ethical marketing, Mercedes-Benz’s ethical concerns are centered around the contrast between its environmental positioning at corporate level and the reality of luxury consumption. One of the major concern is the  risk of "greenwashing" and the legal scrutiny of its climate commitments. For instance, the brand has recently faced major climate litigation from environmental NGOs like Deutsche Umwelthilfe (DUH) in Germany. Mercedes’ compatibility of national and corporate climate targets was challenged because of the growing internal combustion engine vehicle sales (Climate Litigation Database, 2026). Litigation like this directly impacts brand’s credibility in such highly regulated, eco-conscious markets like Germany, where consumers and regulators both heavily scrutinize the authenticity of corporate social responsibility (CSR) claims. Furthermore, Mercedes faces a complex luxury vs sustainability challenge in status-driven markets like the UAE (Teah, Cheah and Shimul, 2023). The brand actively promotes the values of elitism, extravagance and hedonism through it’s aggressive promotion of resource-intensive, high-emissions luxury vehicles (Teah, Cheah and Shimul, 2023). This marketing mix directly clashes with the values required for brand’s genuine environmental responsibility. These challenges make it ethically challenging for the brand to reconcile its high-consumption luxury identity with its overarching decarbonization goals (Teah, Cheah and Shimul, 2023).</w:t>
      </w:r>
    </w:p>
    <w:p>
      <w:pPr>
        <w:pStyle w:val="Normal"/>
        <w:bidi w:val="0"/>
        <w:spacing w:lineRule="auto" w:line="360" w:before="0" w:after="200"/>
        <w:jc w:val="both"/>
        <w:rPr>
          <w:b/>
          <w:bCs/>
        </w:rPr>
      </w:pPr>
      <w:r>
        <w:rPr>
          <w:rFonts w:eastAsia="Times New Roman" w:cs="Times New Roman"/>
          <w:b/>
          <w:bCs/>
          <w:sz w:val="24"/>
          <w:szCs w:val="24"/>
          <w:u w:val="double"/>
        </w:rPr>
        <w:t>7.</w:t>
      </w:r>
      <w:r>
        <w:rPr>
          <w:rFonts w:eastAsia="Times New Roman" w:cs="Times New Roman"/>
          <w:b/>
          <w:bCs/>
          <w:sz w:val="24"/>
          <w:szCs w:val="24"/>
        </w:rPr>
        <w:t xml:space="preserve"> Recommendations for International Marketing</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Based on the comparative analysis of the macroenvironmental, STP, and ethical landscapes, the brand must adopt a highly localized strategic roadmap with investments in R&amp;D and operational modifications to remain competetive.</w:t>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t>German Market</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Germany is a mature and highly regulated market. Simply expanding the EQ electric vehicle range is no longer a sufficient point of differentiation. Mercedes must evolve its Product and Process strategies toward a fully circular economy in order to counteract consumer skepticism regarding greenwashing (Bocken and Geradts, 2022).</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Mercedes should heavily promote its recent investments in closed-loop systems through various marketing channels. These promotions should be targeted to relevant demographics. Mercedes’ new mechanical-hydrometallurgical battery recycling plant that opened in 2024 in Kuppenheim, Germany and has a recovery rate of 96%+ for critical metals. Marketing communications should pivot from focusing solely on zero emissions to highlighting the entire lifecycle sustainability of the vehicle. By doing so, the brand can authentically capture the pragmatic, highly eco-conscious German consumer and restore trust in its corporate social responsibility commitments (Golini, De Marchi and Bindi, 2023).</w:t>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t>UAE Market</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In the UAE, The acquisition of status and prestige is what drive the consumers. The global sales of its iconic top-end vehicles like the G-Class surged by 26% in 2025, brand must lean into its upper-tier luxury positioning to sustain and grow it’s UAE sales (Mercedes-Benz, 2026).</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Mercedes should significantly expand its 'Manufaktur' bespoke customization program specifically for the UAE. It can enhance its Product exclusivity and command even more premium pricing by creating hyper-localized, limited-edition models with aesthetics that resonate culturally and specialized technological adaptations for severe heat. Mercedes should market its EVs on the bases of technological supremacy. This will align Mercedes with the UAE government's future sustainability goals while resonating with its power-hungry consumers at the same time. The promotional focus should be on high-performance AMG electric variants by stating electric propulsion as the ultimate evolution of speed and innovation. That too without an ecological compromise (Teah, Cheah and Shimul, 2023).</w:t>
      </w:r>
    </w:p>
    <w:p>
      <w:pPr>
        <w:pStyle w:val="Heading2"/>
        <w:spacing w:lineRule="auto" w:line="360" w:before="0" w:after="200"/>
        <w:jc w:val="both"/>
        <w:rPr>
          <w:rFonts w:ascii="Arial" w:hAnsi="Arial"/>
          <w:sz w:val="24"/>
          <w:szCs w:val="24"/>
        </w:rPr>
      </w:pPr>
      <w:bookmarkStart w:id="3" w:name="__RefHeading___Toc4341_2000338780"/>
      <w:bookmarkEnd w:id="3"/>
      <w:r>
        <w:rPr>
          <w:rFonts w:ascii="Arial" w:hAnsi="Arial"/>
          <w:sz w:val="24"/>
          <w:szCs w:val="24"/>
        </w:rPr>
        <w:t>2.0.</w:t>
      </w:r>
      <w:r>
        <w:rPr>
          <w:rFonts w:eastAsia="Times New Roman" w:cs="Times New Roman" w:ascii="Arial" w:hAnsi="Arial"/>
          <w:b/>
          <w:bCs/>
          <w:i w:val="false"/>
          <w:caps w:val="false"/>
          <w:smallCaps w:val="false"/>
          <w:strike w:val="false"/>
          <w:dstrike w:val="false"/>
          <w:color w:val="000000"/>
          <w:position w:val="0"/>
          <w:sz w:val="24"/>
          <w:szCs w:val="24"/>
          <w:u w:val="none"/>
          <w:shd w:fill="auto" w:val="clear"/>
          <w:vertAlign w:val="baseline"/>
        </w:rPr>
        <w:t>reflection</w:t>
      </w:r>
    </w:p>
    <w:p>
      <w:pPr>
        <w:pStyle w:val="Normal"/>
        <w:spacing w:lineRule="auto" w:line="360" w:before="0" w:after="200"/>
        <w:jc w:val="both"/>
        <w:rPr>
          <w:rFonts w:ascii="Arial" w:hAnsi="Arial"/>
          <w:sz w:val="24"/>
          <w:szCs w:val="24"/>
        </w:rPr>
      </w:pPr>
      <w:r>
        <w:rPr>
          <w:rFonts w:eastAsia="Times New Roman" w:cs="Times New Roman"/>
          <w:b/>
          <w:bCs/>
          <w:i w:val="false"/>
          <w:caps w:val="false"/>
          <w:smallCaps w:val="false"/>
          <w:strike w:val="false"/>
          <w:dstrike w:val="false"/>
          <w:color w:val="000000"/>
          <w:sz w:val="24"/>
          <w:szCs w:val="24"/>
          <w:u w:val="none"/>
          <w:shd w:fill="auto" w:val="clear"/>
        </w:rPr>
        <w:t>8. Gibb’s Reflective Cycle</w:t>
      </w:r>
    </w:p>
    <w:p>
      <w:pPr>
        <w:pStyle w:val="Normal"/>
        <w:bidi w:val="0"/>
        <w:spacing w:lineRule="auto" w:line="360" w:before="0" w:after="200"/>
        <w:jc w:val="both"/>
        <w:rPr>
          <w:rFonts w:ascii="Arial" w:hAnsi="Arial"/>
          <w:sz w:val="24"/>
          <w:szCs w:val="24"/>
        </w:rPr>
      </w:pPr>
      <w:r>
        <w:rPr>
          <w:rFonts w:eastAsia="Arial" w:cs="Arial"/>
          <w:b w:val="false"/>
          <w:bCs w:val="false"/>
          <w:sz w:val="24"/>
          <w:szCs w:val="24"/>
        </w:rPr>
        <w:t xml:space="preserve">The core objective was to critically evaluate Mercedes-Benz’s strategic adaptations across two profoundly different markets and completely two different cultures : Germany and the United Arab Emirates (UAE). Developing this report required extensive research, critical analysis. I had to apply multiple theoretical frameworks like Hofstede’s Cultural Dimensions, STP, PESTLE and the 7Ps. I wen through ocean of academic journals and articles - to establish a strong academic foundation; Then went thorugh multiple industry specific reports and corporate financial data of Mercedes benz to gaze the current reality. In order to make this a </w:t>
      </w:r>
      <w:r>
        <w:rPr>
          <w:sz w:val="24"/>
          <w:szCs w:val="24"/>
        </w:rPr>
        <w:t xml:space="preserve">Level 7 Master’s standards report, I had to avoid just descriptive writing and employ critical analysis. I used </w:t>
      </w:r>
      <w:r>
        <w:rPr>
          <w:rFonts w:eastAsia="Arial" w:cs="Arial"/>
          <w:b w:val="false"/>
          <w:bCs w:val="false"/>
          <w:sz w:val="24"/>
          <w:szCs w:val="24"/>
        </w:rPr>
        <w:t>reflective learning strategies to achieve it.</w:t>
      </w:r>
    </w:p>
    <w:p>
      <w:pPr>
        <w:pStyle w:val="Normal"/>
        <w:bidi w:val="0"/>
        <w:spacing w:lineRule="auto" w:line="360" w:before="0" w:after="200"/>
        <w:jc w:val="both"/>
        <w:rPr>
          <w:rFonts w:eastAsia="Arial" w:cs="Arial"/>
          <w:b/>
          <w:bCs/>
          <w:sz w:val="24"/>
          <w:szCs w:val="24"/>
        </w:rPr>
      </w:pPr>
      <w:r>
        <w:rPr>
          <w:rFonts w:eastAsia="Arial" w:cs="Arial"/>
          <w:b/>
          <w:bCs/>
          <w:sz w:val="24"/>
          <w:szCs w:val="24"/>
        </w:rPr>
        <w:t>Feelings</w:t>
      </w:r>
    </w:p>
    <w:p>
      <w:pPr>
        <w:pStyle w:val="Normal"/>
        <w:bidi w:val="0"/>
        <w:spacing w:lineRule="auto" w:line="360" w:before="0" w:after="200"/>
        <w:jc w:val="both"/>
        <w:rPr>
          <w:rFonts w:eastAsia="Arial" w:cs="Arial"/>
          <w:b w:val="false"/>
          <w:bCs w:val="false"/>
          <w:sz w:val="24"/>
          <w:szCs w:val="24"/>
        </w:rPr>
      </w:pPr>
      <w:r>
        <w:rPr>
          <w:rFonts w:eastAsia="Arial" w:cs="Arial"/>
          <w:b w:val="false"/>
          <w:bCs w:val="false"/>
          <w:sz w:val="24"/>
          <w:szCs w:val="24"/>
        </w:rPr>
        <w:t>Both markets are vastly different from each other in all possible senses. The sheer volume of material was a challenge and doing analysis on top of that, for two distinct markets felt overwheling. I relied on Hofstede’s dimensions for the complex data analytical part and ontinuous self-reflection to avoid my own biases and make sure the arguments are objective and based on data (Schön, 1983). Overcoming this initial challenge thorough systemetic frameworks approach boosted my confidence.</w:t>
      </w:r>
    </w:p>
    <w:p>
      <w:pPr>
        <w:pStyle w:val="Normal"/>
        <w:bidi w:val="0"/>
        <w:spacing w:lineRule="auto" w:line="360" w:before="0" w:after="200"/>
        <w:jc w:val="both"/>
        <w:rPr>
          <w:rFonts w:eastAsia="Arial" w:cs="Arial"/>
          <w:b/>
          <w:bCs/>
          <w:sz w:val="24"/>
          <w:szCs w:val="24"/>
        </w:rPr>
      </w:pPr>
      <w:r>
        <w:rPr>
          <w:rFonts w:eastAsia="Arial" w:cs="Arial"/>
          <w:b/>
          <w:bCs/>
          <w:sz w:val="24"/>
          <w:szCs w:val="24"/>
        </w:rPr>
        <w:t>Evaluation</w:t>
      </w:r>
    </w:p>
    <w:p>
      <w:pPr>
        <w:pStyle w:val="Normal"/>
        <w:bidi w:val="0"/>
        <w:spacing w:lineRule="auto" w:line="360" w:before="0" w:after="200"/>
        <w:jc w:val="both"/>
        <w:rPr>
          <w:rFonts w:eastAsia="Arial" w:cs="Arial"/>
          <w:b w:val="false"/>
          <w:bCs w:val="false"/>
          <w:sz w:val="24"/>
          <w:szCs w:val="24"/>
        </w:rPr>
      </w:pPr>
      <w:r>
        <w:rPr>
          <w:rFonts w:eastAsia="Arial" w:cs="Arial"/>
          <w:b w:val="false"/>
          <w:bCs w:val="false"/>
          <w:sz w:val="24"/>
          <w:szCs w:val="24"/>
        </w:rPr>
        <w:t>I can see several strengths are weaknesses when I reflect on this process. Integrating all the complex data in the cultural analysis and then presenting it in a concise academic writing was a challenge for me.  Selecting any two european nations would have been easier but choosing two different macro environment allowed me to realize the extreme contrast and deeper analysis of  Mercedes-Benz’s STP strategies.  I was able to critically understand consumer behaviour and it’s reasons using Hofstede’s dimensions &amp; PESTLE analysis.</w:t>
      </w:r>
    </w:p>
    <w:p>
      <w:pPr>
        <w:pStyle w:val="Normal"/>
        <w:bidi w:val="0"/>
        <w:spacing w:lineRule="auto" w:line="360" w:before="0" w:after="200"/>
        <w:jc w:val="both"/>
        <w:rPr>
          <w:rFonts w:eastAsia="Arial" w:cs="Arial"/>
          <w:b/>
          <w:bCs/>
          <w:sz w:val="24"/>
          <w:szCs w:val="24"/>
        </w:rPr>
      </w:pPr>
      <w:r>
        <w:rPr>
          <w:rFonts w:eastAsia="Arial" w:cs="Arial"/>
          <w:b/>
          <w:bCs/>
          <w:sz w:val="24"/>
          <w:szCs w:val="24"/>
        </w:rPr>
        <w:t>Conclusion</w:t>
      </w:r>
    </w:p>
    <w:p>
      <w:pPr>
        <w:pStyle w:val="Normal"/>
        <w:bidi w:val="0"/>
        <w:spacing w:lineRule="auto" w:line="360" w:before="0" w:after="200"/>
        <w:jc w:val="both"/>
        <w:rPr>
          <w:rFonts w:eastAsia="Arial" w:cs="Arial"/>
          <w:b w:val="false"/>
          <w:bCs w:val="false"/>
          <w:sz w:val="24"/>
          <w:szCs w:val="24"/>
        </w:rPr>
      </w:pPr>
      <w:r>
        <w:rPr>
          <w:rFonts w:eastAsia="Arial" w:cs="Arial"/>
          <w:b w:val="false"/>
          <w:bCs w:val="false"/>
          <w:sz w:val="24"/>
          <w:szCs w:val="24"/>
        </w:rPr>
        <w:t>In the end, the assessment helped me advance my critical thinking capabilities, academic writing and complex problem solving through systemic approach. All this happened because I have to navigate all these tasks and face my weaknesses.This helped me understand how standard, theoretical models adap to real-life environments and how It can be used to be a successful marketer.</w:t>
      </w:r>
    </w:p>
    <w:p>
      <w:pPr>
        <w:pStyle w:val="Normal"/>
        <w:bidi w:val="0"/>
        <w:spacing w:lineRule="auto" w:line="360" w:before="0" w:after="200"/>
        <w:jc w:val="both"/>
        <w:rPr>
          <w:rFonts w:eastAsia="Arial" w:cs="Arial"/>
          <w:b/>
          <w:bCs/>
          <w:sz w:val="24"/>
          <w:szCs w:val="24"/>
        </w:rPr>
      </w:pPr>
      <w:r>
        <w:rPr>
          <w:rFonts w:eastAsia="Arial" w:cs="Arial"/>
          <w:b/>
          <w:bCs/>
          <w:sz w:val="24"/>
          <w:szCs w:val="24"/>
        </w:rPr>
        <w:t>Action Plan</w:t>
      </w:r>
    </w:p>
    <w:p>
      <w:pPr>
        <w:pStyle w:val="Normal"/>
        <w:bidi w:val="0"/>
        <w:spacing w:lineRule="auto" w:line="360" w:before="0" w:after="200"/>
        <w:jc w:val="both"/>
        <w:rPr>
          <w:rFonts w:eastAsia="Arial" w:cs="Arial"/>
          <w:b w:val="false"/>
          <w:bCs w:val="false"/>
          <w:sz w:val="24"/>
          <w:szCs w:val="24"/>
        </w:rPr>
      </w:pPr>
      <w:r>
        <w:rPr>
          <w:rFonts w:eastAsia="Arial" w:cs="Arial"/>
          <w:b w:val="false"/>
          <w:bCs w:val="false"/>
          <w:sz w:val="24"/>
          <w:szCs w:val="24"/>
        </w:rPr>
        <w:t>In future, I will follow more regerous and structured approaches. I will spend less time collecting data and more time on high level critical analysis and drafting to fit harmonically - this will help me improve my narration. I will use reflective techniques mentioned earlier to eliminate my personal biases from the work and be more objective while analyzing. I will support my arguments with solid statistical data and quantitative matrics. I feel this will help me become more competent professional and enhace my cabilities.</w:t>
      </w:r>
      <w:r>
        <w:br w:type="page"/>
      </w:r>
    </w:p>
    <w:p>
      <w:pPr>
        <w:pStyle w:val="Heading1"/>
        <w:spacing w:lineRule="auto" w:line="360" w:before="0" w:after="200"/>
        <w:jc w:val="both"/>
        <w:rPr>
          <w:rFonts w:ascii="Arial" w:hAnsi="Arial"/>
          <w:sz w:val="24"/>
          <w:szCs w:val="24"/>
        </w:rPr>
      </w:pPr>
      <w:bookmarkStart w:id="4" w:name="__RefHeading___Toc4333_2000338780"/>
      <w:bookmarkStart w:id="5" w:name="_pemnsk9klfvc"/>
      <w:bookmarkEnd w:id="4"/>
      <w:bookmarkEnd w:id="5"/>
      <w:r>
        <w:rPr>
          <w:rFonts w:ascii="Arial" w:hAnsi="Arial"/>
          <w:sz w:val="24"/>
          <w:szCs w:val="24"/>
        </w:rPr>
        <w:t>References</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1. Johnson, G., Scholes, K. and Whittington, R. (2008) Exploring Corporate Strategy. 8th edn. Harlow: Pearson Education. (Accessed on : 2 April, 2026)</w:t>
      </w:r>
    </w:p>
    <w:p>
      <w:pPr>
        <w:pStyle w:val="BodyText"/>
        <w:bidi w:val="0"/>
        <w:spacing w:before="0" w:after="140"/>
        <w:ind w:hanging="0" w:start="0" w:end="0"/>
        <w:jc w:val="start"/>
        <w:rPr>
          <w:rFonts w:ascii="Arial" w:hAnsi="Arial" w:eastAsia="Times New Roman" w:cs="Times New Roman"/>
          <w:sz w:val="24"/>
          <w:szCs w:val="24"/>
          <w:u w:val="none"/>
        </w:rPr>
      </w:pPr>
      <w:r>
        <w:rPr>
          <w:rFonts w:eastAsia="Times New Roman" w:cs="Times New Roman"/>
          <w:sz w:val="24"/>
          <w:szCs w:val="24"/>
        </w:rPr>
        <w:t xml:space="preserve">2. Zirpoli, F. (2025) 'The Green Deal in the Automotive Industry: The Mistakes the EU Cannot Afford', IEP@BU, 294. </w:t>
      </w:r>
      <w:hyperlink r:id="rId26">
        <w:r>
          <w:rPr>
            <w:rStyle w:val="Hyperlink"/>
            <w:rFonts w:eastAsia="Times New Roman" w:cs="Times New Roman"/>
            <w:sz w:val="24"/>
            <w:szCs w:val="24"/>
          </w:rPr>
          <w:t>https://iep.unibocconi.eu/green-deal-automotive-industry-mistakes-eu-cannot-afford</w:t>
        </w:r>
      </w:hyperlink>
      <w:r>
        <w:rPr>
          <w:rStyle w:val="Hyperlink"/>
          <w:rFonts w:eastAsia="Times New Roman" w:cs="Times New Roman"/>
          <w:sz w:val="24"/>
          <w:szCs w:val="24"/>
        </w:rPr>
        <w:t xml:space="preserve"> </w:t>
      </w:r>
      <w:r>
        <w:rPr>
          <w:sz w:val="24"/>
          <w:szCs w:val="24"/>
        </w:rPr>
        <w:t>(Accessed on : 1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3. Wesseling, J.H., Bidmon, C.M. and Bohnsack, R. (2020) 'Waves of disruption in clean energy transitions: Sociotechnical dimensions of system disruption in Germany and the United Kingdom', Energy Research &amp; Social Science, 59, p. 101300. </w:t>
      </w:r>
      <w:hyperlink r:id="rId27">
        <w:r>
          <w:rPr>
            <w:rStyle w:val="Hyperlink"/>
            <w:rFonts w:eastAsia="Times New Roman" w:cs="Times New Roman"/>
            <w:sz w:val="24"/>
            <w:szCs w:val="24"/>
          </w:rPr>
          <w:t>https://www.researchgate.net/publication/338312802_Waves_of_disruption_in_clean_energy_transitions_Sociotechnical_dimensions_of_system_disruption_in_Germany_and_the_United_Kingdom</w:t>
        </w:r>
      </w:hyperlink>
      <w:r>
        <w:rPr>
          <w:rStyle w:val="Hyperlink"/>
          <w:rFonts w:eastAsia="Times New Roman" w:cs="Times New Roman"/>
          <w:sz w:val="24"/>
          <w:szCs w:val="24"/>
        </w:rPr>
        <w:t xml:space="preserve"> </w:t>
      </w:r>
      <w:r>
        <w:rPr>
          <w:rFonts w:eastAsia="Times New Roman" w:cs="Times New Roman"/>
          <w:sz w:val="24"/>
          <w:szCs w:val="24"/>
        </w:rPr>
        <w:t>(Accessed on : 6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4. Department of Foreign Affairs and Trade (DFAT) (2026) United Arab Emirates country brief. Australian Government. </w:t>
      </w:r>
      <w:hyperlink r:id="rId28">
        <w:r>
          <w:rPr>
            <w:rStyle w:val="Hyperlink"/>
            <w:rFonts w:eastAsia="Times New Roman" w:cs="Times New Roman"/>
            <w:sz w:val="24"/>
            <w:szCs w:val="24"/>
          </w:rPr>
          <w:t>https://www.dfat.gov.au/geo/united-arab-emirates/united-arab-emirates-country-brief</w:t>
        </w:r>
      </w:hyperlink>
      <w:r>
        <w:rPr>
          <w:rStyle w:val="Hyperlink"/>
          <w:rFonts w:eastAsia="Times New Roman" w:cs="Times New Roman"/>
          <w:sz w:val="24"/>
          <w:szCs w:val="24"/>
        </w:rPr>
        <w:t xml:space="preserve">  </w:t>
      </w:r>
      <w:r>
        <w:rPr>
          <w:rFonts w:eastAsia="Times New Roman" w:cs="Times New Roman"/>
          <w:sz w:val="24"/>
          <w:szCs w:val="24"/>
        </w:rPr>
        <w:t>(Accessed on : 10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5. Bartlett, W., Ker-Lindsay, J., Alexander, K. and Prelec, T. (2017) 'The UAE as an Emerging Actor in the Western Balkans: The Case of Strategic Investment in Serbia', Journal of Arabian Studies, 7(1), pp. 94-112. </w:t>
      </w:r>
      <w:hyperlink r:id="rId29">
        <w:r>
          <w:rPr>
            <w:rStyle w:val="Hyperlink"/>
            <w:rFonts w:eastAsia="Times New Roman" w:cs="Times New Roman"/>
            <w:sz w:val="24"/>
            <w:szCs w:val="24"/>
          </w:rPr>
          <w:t>https://scispace.com/pdf/the-uae-as-an-emerging-actor-in-the-western-balkans-the-case-3jmyonpn4e.pdf</w:t>
        </w:r>
      </w:hyperlink>
      <w:r>
        <w:rPr>
          <w:rStyle w:val="Hyperlink"/>
          <w:rFonts w:eastAsia="Times New Roman" w:cs="Times New Roman"/>
          <w:sz w:val="24"/>
          <w:szCs w:val="24"/>
        </w:rPr>
        <w:t xml:space="preserve"> </w:t>
      </w:r>
      <w:r>
        <w:rPr>
          <w:rFonts w:eastAsia="Times New Roman" w:cs="Times New Roman"/>
          <w:sz w:val="24"/>
          <w:szCs w:val="24"/>
        </w:rPr>
        <w:t>(Accessed on : 8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6. BNP Paribas (2025) Germany: the country launches its new growth cycle. </w:t>
      </w:r>
      <w:hyperlink r:id="rId30">
        <w:r>
          <w:rPr>
            <w:rStyle w:val="Hyperlink"/>
            <w:rFonts w:eastAsia="Times New Roman" w:cs="Times New Roman"/>
            <w:sz w:val="24"/>
            <w:szCs w:val="24"/>
          </w:rPr>
          <w:t>https://economic-research.bnpparibas.com/html/en-US/Germany-country-launches-growth-cycle-12/18/2025,53106</w:t>
        </w:r>
      </w:hyperlink>
      <w:r>
        <w:rPr>
          <w:rStyle w:val="Hyperlink"/>
          <w:rFonts w:eastAsia="Times New Roman" w:cs="Times New Roman"/>
          <w:sz w:val="24"/>
          <w:szCs w:val="24"/>
        </w:rPr>
        <w:t xml:space="preserve"> </w:t>
      </w:r>
      <w:r>
        <w:rPr>
          <w:rFonts w:eastAsia="Times New Roman" w:cs="Times New Roman"/>
          <w:sz w:val="24"/>
          <w:szCs w:val="24"/>
        </w:rPr>
        <w:t>(Accessed on : 15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7. Stewards Investment Capital (2025) Dubai Media September 2025 - The Rise Of Dubai Report. </w:t>
      </w:r>
      <w:hyperlink r:id="rId31">
        <w:r>
          <w:rPr>
            <w:rStyle w:val="Hyperlink"/>
            <w:rFonts w:eastAsia="Times New Roman" w:cs="Times New Roman"/>
            <w:sz w:val="24"/>
            <w:szCs w:val="24"/>
          </w:rPr>
          <w:t>https://stewardsinvestment.com/wp-content/uploads/2025/10/The_Rise_Of_Dubai_Report_2025.pdf</w:t>
        </w:r>
      </w:hyperlink>
      <w:r>
        <w:rPr>
          <w:rStyle w:val="Hyperlink"/>
          <w:rFonts w:eastAsia="Times New Roman" w:cs="Times New Roman"/>
          <w:sz w:val="24"/>
          <w:szCs w:val="24"/>
        </w:rPr>
        <w:t xml:space="preserve"> </w:t>
      </w:r>
      <w:r>
        <w:rPr>
          <w:rFonts w:eastAsia="Times New Roman" w:cs="Times New Roman"/>
          <w:sz w:val="24"/>
          <w:szCs w:val="24"/>
        </w:rPr>
        <w:t>(Accessed on : 16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8. EV Sales in Europe Up in the First Half of 2025: Full Overview (Eleport). </w:t>
      </w:r>
      <w:hyperlink r:id="rId32">
        <w:r>
          <w:rPr>
            <w:rStyle w:val="Hyperlink"/>
            <w:rFonts w:eastAsia="Times New Roman" w:cs="Times New Roman"/>
            <w:sz w:val="24"/>
            <w:szCs w:val="24"/>
          </w:rPr>
          <w:t>https://eleport.com/ev-sales-in-europe-2025-the-first-half/</w:t>
        </w:r>
      </w:hyperlink>
      <w:r>
        <w:rPr>
          <w:rStyle w:val="Hyperlink"/>
          <w:rFonts w:eastAsia="Times New Roman" w:cs="Times New Roman"/>
          <w:sz w:val="24"/>
          <w:szCs w:val="24"/>
        </w:rPr>
        <w:t xml:space="preserve"> </w:t>
      </w:r>
      <w:r>
        <w:rPr>
          <w:rFonts w:eastAsia="Times New Roman" w:cs="Times New Roman"/>
          <w:sz w:val="24"/>
          <w:szCs w:val="24"/>
        </w:rPr>
        <w:t>(Accessed on : 17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9. Year-on-year change of the gross domestic product (GDP) in Germany from 2010 to 2024, with a forecast until 2026 (Statistica ). </w:t>
      </w:r>
      <w:hyperlink r:id="rId33">
        <w:r>
          <w:rPr>
            <w:rStyle w:val="Hyperlink"/>
            <w:rFonts w:eastAsia="Times New Roman" w:cs="Times New Roman"/>
            <w:sz w:val="24"/>
            <w:szCs w:val="24"/>
          </w:rPr>
          <w:t>https://www.statista.com/statistics/1322391/gdp-development-forecast-germany/</w:t>
        </w:r>
      </w:hyperlink>
      <w:r>
        <w:rPr>
          <w:rStyle w:val="Hyperlink"/>
          <w:rFonts w:eastAsia="Times New Roman" w:cs="Times New Roman"/>
          <w:sz w:val="24"/>
          <w:szCs w:val="24"/>
        </w:rPr>
        <w:t xml:space="preserve"> </w:t>
      </w:r>
      <w:r>
        <w:rPr>
          <w:rFonts w:eastAsia="Times New Roman" w:cs="Times New Roman"/>
          <w:sz w:val="24"/>
          <w:szCs w:val="24"/>
        </w:rPr>
        <w:t>(Accessed on : 16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10. Alserhan, B.A. (2011) The Principles of Islamic Marketing. Gower Publishing. </w:t>
      </w:r>
      <w:hyperlink r:id="rId34">
        <w:r>
          <w:rPr>
            <w:rStyle w:val="Hyperlink"/>
            <w:rFonts w:eastAsia="Times New Roman" w:cs="Times New Roman"/>
            <w:sz w:val="24"/>
            <w:szCs w:val="24"/>
          </w:rPr>
          <w:t>https://www.researchgate.net/profile/Baker-Alserhan-2/publication/343919814_The_Principles_of_Islamic_Marketing/links/61647c69e7993f536cc34f96/The-Principles-of-Islamic-Marketing.pdf</w:t>
        </w:r>
      </w:hyperlink>
      <w:r>
        <w:rPr>
          <w:rStyle w:val="Hyperlink"/>
          <w:rFonts w:eastAsia="Times New Roman" w:cs="Times New Roman"/>
          <w:sz w:val="24"/>
          <w:szCs w:val="24"/>
        </w:rPr>
        <w:t xml:space="preserve"> </w:t>
      </w:r>
      <w:r>
        <w:rPr>
          <w:rFonts w:eastAsia="Times New Roman" w:cs="Times New Roman"/>
          <w:sz w:val="24"/>
          <w:szCs w:val="24"/>
        </w:rPr>
        <w:t>(Accessed on : 16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11. Doole, I. and Lowe, R. (2012) International Marketing Strategy: Analysis, Development and Implementation. 6th edn. Cengage Learning. </w:t>
      </w:r>
      <w:hyperlink r:id="rId35">
        <w:r>
          <w:rPr>
            <w:rStyle w:val="Hyperlink"/>
            <w:rFonts w:eastAsia="Times New Roman" w:cs="Times New Roman"/>
            <w:sz w:val="24"/>
            <w:szCs w:val="24"/>
          </w:rPr>
          <w:t>https://images.template.net/wp-content/uploads/2015/10/09212256/international-marketing-plan-template.pdf</w:t>
        </w:r>
      </w:hyperlink>
      <w:r>
        <w:rPr>
          <w:rStyle w:val="Hyperlink"/>
          <w:rFonts w:eastAsia="Times New Roman" w:cs="Times New Roman"/>
          <w:sz w:val="24"/>
          <w:szCs w:val="24"/>
        </w:rPr>
        <w:t xml:space="preserve"> </w:t>
      </w:r>
      <w:r>
        <w:rPr>
          <w:rFonts w:eastAsia="Times New Roman" w:cs="Times New Roman"/>
          <w:sz w:val="24"/>
          <w:szCs w:val="24"/>
        </w:rPr>
        <w:t>(Accessed on : 19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12. Hollensen, S. (2020) Global Marketing. 8th edn. Pearson Education. </w:t>
      </w:r>
      <w:hyperlink r:id="rId36">
        <w:r>
          <w:rPr>
            <w:rStyle w:val="Hyperlink"/>
            <w:rFonts w:eastAsia="Times New Roman" w:cs="Times New Roman"/>
            <w:sz w:val="24"/>
            <w:szCs w:val="24"/>
          </w:rPr>
          <w:t>https://www.pearson.com/nl/en_NL/higher-education/subject-catalogue/marketing/hollensen-global-marketing-8e.html</w:t>
        </w:r>
      </w:hyperlink>
      <w:r>
        <w:rPr>
          <w:rStyle w:val="Hyperlink"/>
          <w:rFonts w:eastAsia="Times New Roman" w:cs="Times New Roman"/>
          <w:sz w:val="24"/>
          <w:szCs w:val="24"/>
        </w:rPr>
        <w:t xml:space="preserve"> </w:t>
      </w:r>
      <w:r>
        <w:rPr>
          <w:rFonts w:eastAsia="Times New Roman" w:cs="Times New Roman"/>
          <w:sz w:val="24"/>
          <w:szCs w:val="24"/>
        </w:rPr>
        <w:t>(Accessed on : 18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13. Kapferer, J.N. (2012) The New Strategic Brand Management: Advanced Insights and Strategic Thinking. 5th edn. Kogan Page . </w:t>
      </w:r>
      <w:hyperlink r:id="rId37">
        <w:r>
          <w:rPr>
            <w:rStyle w:val="Hyperlink"/>
            <w:rFonts w:eastAsia="Times New Roman" w:cs="Times New Roman"/>
            <w:sz w:val="24"/>
            <w:szCs w:val="24"/>
          </w:rPr>
          <w:t>https://www.researchgate.net/publication/281803401_The_New_Strategic_Brand_Management</w:t>
        </w:r>
      </w:hyperlink>
      <w:r>
        <w:rPr>
          <w:rStyle w:val="Hyperlink"/>
          <w:rFonts w:eastAsia="Times New Roman" w:cs="Times New Roman"/>
          <w:sz w:val="24"/>
          <w:szCs w:val="24"/>
        </w:rPr>
        <w:t xml:space="preserve"> </w:t>
      </w:r>
      <w:r>
        <w:rPr>
          <w:rFonts w:eastAsia="Times New Roman" w:cs="Times New Roman"/>
          <w:sz w:val="24"/>
          <w:szCs w:val="24"/>
        </w:rPr>
        <w:t>(Accessed on : 19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14. Keegan, W.J. and Green, M.C. (2020) Global Marketing. 9th edn. Pearson Education. </w:t>
      </w:r>
      <w:hyperlink r:id="rId38">
        <w:r>
          <w:rPr>
            <w:rStyle w:val="Hyperlink"/>
            <w:rFonts w:eastAsia="Times New Roman" w:cs="Times New Roman"/>
            <w:sz w:val="24"/>
            <w:szCs w:val="24"/>
          </w:rPr>
          <w:t>https://archive.org/details/globalmarketing0000keeg_h8j2</w:t>
        </w:r>
      </w:hyperlink>
      <w:r>
        <w:rPr>
          <w:rStyle w:val="Hyperlink"/>
          <w:rFonts w:eastAsia="Times New Roman" w:cs="Times New Roman"/>
          <w:sz w:val="24"/>
          <w:szCs w:val="24"/>
        </w:rPr>
        <w:t xml:space="preserve"> </w:t>
      </w:r>
      <w:r>
        <w:rPr>
          <w:rFonts w:eastAsia="Times New Roman" w:cs="Times New Roman"/>
          <w:sz w:val="24"/>
          <w:szCs w:val="24"/>
        </w:rPr>
        <w:t>(Accessed on : 8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15. Henderson, B. (1970) The Product Portfolio. Boston Consulting Group. </w:t>
      </w:r>
      <w:hyperlink r:id="rId39">
        <w:r>
          <w:rPr>
            <w:rStyle w:val="Hyperlink"/>
            <w:rFonts w:eastAsia="Times New Roman" w:cs="Times New Roman"/>
            <w:sz w:val="24"/>
            <w:szCs w:val="24"/>
          </w:rPr>
          <w:t>https://www.bcg.com/publications/1970/strategy-the-product-portfolio</w:t>
        </w:r>
      </w:hyperlink>
      <w:r>
        <w:rPr>
          <w:rStyle w:val="Hyperlink"/>
          <w:rFonts w:eastAsia="Times New Roman" w:cs="Times New Roman"/>
          <w:sz w:val="24"/>
          <w:szCs w:val="24"/>
        </w:rPr>
        <w:t xml:space="preserve"> </w:t>
      </w:r>
      <w:r>
        <w:rPr>
          <w:rFonts w:eastAsia="Times New Roman" w:cs="Times New Roman"/>
          <w:sz w:val="24"/>
          <w:szCs w:val="24"/>
        </w:rPr>
        <w:t>(Accessed on : 17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16. Mercedes-Benz Group AG (2023) Annual Report 2023. </w:t>
      </w:r>
      <w:hyperlink r:id="rId40">
        <w:r>
          <w:rPr>
            <w:rStyle w:val="Hyperlink"/>
            <w:rFonts w:eastAsia="Times New Roman" w:cs="Times New Roman"/>
            <w:sz w:val="24"/>
            <w:szCs w:val="24"/>
          </w:rPr>
          <w:t>https://group.mercedes-benz.com/investors/reports-news/annual-reports/2023</w:t>
        </w:r>
      </w:hyperlink>
      <w:r>
        <w:rPr>
          <w:rStyle w:val="Hyperlink"/>
          <w:rFonts w:eastAsia="Times New Roman" w:cs="Times New Roman"/>
          <w:sz w:val="24"/>
          <w:szCs w:val="24"/>
        </w:rPr>
        <w:t xml:space="preserve"> </w:t>
      </w:r>
      <w:r>
        <w:rPr>
          <w:rFonts w:eastAsia="Times New Roman" w:cs="Times New Roman"/>
          <w:sz w:val="24"/>
          <w:szCs w:val="24"/>
        </w:rPr>
        <w:t>(Accessed on : 15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17. Statista (2024) Luxury vehicle market in the UAE – statistics and facts. </w:t>
      </w:r>
      <w:hyperlink r:id="rId41">
        <w:r>
          <w:rPr>
            <w:rStyle w:val="Hyperlink"/>
            <w:rFonts w:eastAsia="Times New Roman" w:cs="Times New Roman"/>
            <w:sz w:val="24"/>
            <w:szCs w:val="24"/>
          </w:rPr>
          <w:t>https://www.statista.com/forecasts/1327063/uae-luxury-car-sales/</w:t>
        </w:r>
      </w:hyperlink>
      <w:r>
        <w:rPr>
          <w:rStyle w:val="Hyperlink"/>
          <w:rFonts w:eastAsia="Times New Roman" w:cs="Times New Roman"/>
          <w:sz w:val="24"/>
          <w:szCs w:val="24"/>
        </w:rPr>
        <w:t xml:space="preserve"> </w:t>
      </w:r>
      <w:r>
        <w:rPr>
          <w:rFonts w:eastAsia="Times New Roman" w:cs="Times New Roman"/>
          <w:sz w:val="24"/>
          <w:szCs w:val="24"/>
        </w:rPr>
        <w:t>(Accessed on : 15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18. UAE Government (2023) UAE Net Zero by 2050 Strategic Initiative. </w:t>
      </w:r>
      <w:hyperlink r:id="rId42">
        <w:r>
          <w:rPr>
            <w:rStyle w:val="Hyperlink"/>
            <w:rFonts w:eastAsia="Times New Roman" w:cs="Times New Roman"/>
            <w:sz w:val="24"/>
            <w:szCs w:val="24"/>
          </w:rPr>
          <w:t>https://u.ae/en/about-the-uae/strategies-initiatives-and-awards/strategies-plans-and-visions/environment-and-energy/the-uae-net-zero-2050-strategy</w:t>
        </w:r>
      </w:hyperlink>
      <w:r>
        <w:rPr>
          <w:rStyle w:val="Hyperlink"/>
          <w:rFonts w:eastAsia="Times New Roman" w:cs="Times New Roman"/>
          <w:sz w:val="24"/>
          <w:szCs w:val="24"/>
        </w:rPr>
        <w:t xml:space="preserve"> </w:t>
      </w:r>
      <w:r>
        <w:rPr>
          <w:rFonts w:eastAsia="Times New Roman" w:cs="Times New Roman"/>
          <w:sz w:val="24"/>
          <w:szCs w:val="24"/>
        </w:rPr>
        <w:t>(Accessed on : 20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19. Climate Litigation Database (2026) Deutsche Umwelthilfe (DUH) v. Mercedes-Benz AG. </w:t>
      </w:r>
      <w:hyperlink r:id="rId43">
        <w:r>
          <w:rPr>
            <w:rStyle w:val="Hyperlink"/>
            <w:rFonts w:eastAsia="Times New Roman" w:cs="Times New Roman"/>
            <w:sz w:val="24"/>
            <w:szCs w:val="24"/>
          </w:rPr>
          <w:t>https://www.climatecasechart.com/document/deutsche-umwelthilfe-duh-v-mercedes-benz-ag_9bce</w:t>
        </w:r>
      </w:hyperlink>
      <w:r>
        <w:rPr>
          <w:rStyle w:val="Hyperlink"/>
          <w:rFonts w:eastAsia="Times New Roman" w:cs="Times New Roman"/>
          <w:sz w:val="24"/>
          <w:szCs w:val="24"/>
        </w:rPr>
        <w:t xml:space="preserve"> </w:t>
      </w:r>
      <w:r>
        <w:rPr>
          <w:rFonts w:eastAsia="Times New Roman" w:cs="Times New Roman"/>
          <w:sz w:val="24"/>
          <w:szCs w:val="24"/>
        </w:rPr>
        <w:t>(Accessed on : 20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20. Teah, K., Cheah, I. and Shimul, A.S. (2023) 'The Present and Future of the Luxury-Sustainability Paradox', in Luxury Marketing, Sustainability and Technology. Routledge, pp. 135-149. </w:t>
      </w:r>
      <w:hyperlink r:id="rId44">
        <w:r>
          <w:rPr>
            <w:rStyle w:val="Hyperlink"/>
            <w:rFonts w:eastAsia="Times New Roman" w:cs="Times New Roman"/>
            <w:sz w:val="24"/>
            <w:szCs w:val="24"/>
          </w:rPr>
          <w:t>https://www.researchgate.net/publication/369992963_The_Present_and_Future_of_the_Luxury-Sustainability_Paradox</w:t>
        </w:r>
      </w:hyperlink>
      <w:r>
        <w:rPr>
          <w:rStyle w:val="Hyperlink"/>
          <w:rFonts w:eastAsia="Times New Roman" w:cs="Times New Roman"/>
          <w:sz w:val="24"/>
          <w:szCs w:val="24"/>
        </w:rPr>
        <w:t xml:space="preserve"> </w:t>
      </w:r>
      <w:r>
        <w:rPr>
          <w:rFonts w:eastAsia="Times New Roman" w:cs="Times New Roman"/>
          <w:sz w:val="24"/>
          <w:szCs w:val="24"/>
        </w:rPr>
        <w:t>(Accessed on : 20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21. Bocken, N. and Geradts, T. (2022) 'Barriers and drivers to sustainable business model innovation: Organization design and dynamic capabilities', Long Range Planning. </w:t>
      </w:r>
      <w:hyperlink r:id="rId45">
        <w:r>
          <w:rPr>
            <w:rStyle w:val="Hyperlink"/>
            <w:rFonts w:eastAsia="Times New Roman" w:cs="Times New Roman"/>
            <w:sz w:val="24"/>
            <w:szCs w:val="24"/>
          </w:rPr>
          <w:t>https://www.researchgate.net/publication/337964319_Barriers_and_drivers_to_sustainable_business_model_innovation_Organization_design_and_dynamic_capabilities</w:t>
        </w:r>
      </w:hyperlink>
      <w:r>
        <w:rPr>
          <w:rStyle w:val="Hyperlink"/>
          <w:rFonts w:eastAsia="Times New Roman" w:cs="Times New Roman"/>
          <w:sz w:val="24"/>
          <w:szCs w:val="24"/>
        </w:rPr>
        <w:t xml:space="preserve"> </w:t>
      </w:r>
      <w:r>
        <w:rPr>
          <w:rFonts w:eastAsia="Times New Roman" w:cs="Times New Roman"/>
          <w:sz w:val="24"/>
          <w:szCs w:val="24"/>
        </w:rPr>
        <w:t>(Accessed on : 21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22. Golini, R., De Marchi, V. and Bindi, B. (2023) 'The impact of circular economy practices on corporate reputation in the automotive sector', Business Strategy and the Environment.  </w:t>
      </w:r>
      <w:hyperlink r:id="rId46">
        <w:r>
          <w:rPr>
            <w:rStyle w:val="Hyperlink"/>
            <w:rFonts w:eastAsia="Times New Roman" w:cs="Times New Roman"/>
            <w:sz w:val="24"/>
            <w:szCs w:val="24"/>
          </w:rPr>
          <w:t>https://onlinelibrary.wiley.com/doi/10.1002/bse.3188</w:t>
        </w:r>
      </w:hyperlink>
      <w:r>
        <w:rPr>
          <w:rStyle w:val="Hyperlink"/>
          <w:rFonts w:eastAsia="Times New Roman" w:cs="Times New Roman"/>
          <w:sz w:val="24"/>
          <w:szCs w:val="24"/>
        </w:rPr>
        <w:t xml:space="preserve"> </w:t>
      </w:r>
      <w:r>
        <w:rPr>
          <w:rFonts w:eastAsia="Times New Roman" w:cs="Times New Roman"/>
          <w:sz w:val="24"/>
          <w:szCs w:val="24"/>
        </w:rPr>
        <w:t>(Accessed on : 22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23. Mercedes-Benz Group AG (2024) Own recycling factory to close the battery loop. </w:t>
      </w:r>
      <w:hyperlink r:id="rId47">
        <w:r>
          <w:rPr>
            <w:rStyle w:val="Hyperlink"/>
            <w:rFonts w:eastAsia="Times New Roman" w:cs="Times New Roman"/>
            <w:sz w:val="24"/>
            <w:szCs w:val="24"/>
          </w:rPr>
          <w:t>https://group.mercedes-benz.com/company/news/recycling-factory-kuppenheim.html</w:t>
        </w:r>
      </w:hyperlink>
      <w:r>
        <w:rPr>
          <w:rStyle w:val="Hyperlink"/>
          <w:rFonts w:eastAsia="Times New Roman" w:cs="Times New Roman"/>
          <w:sz w:val="24"/>
          <w:szCs w:val="24"/>
        </w:rPr>
        <w:t xml:space="preserve"> </w:t>
      </w:r>
      <w:r>
        <w:rPr>
          <w:rFonts w:eastAsia="Times New Roman" w:cs="Times New Roman"/>
          <w:sz w:val="24"/>
          <w:szCs w:val="24"/>
        </w:rPr>
        <w:t>(Accessed on : 19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24. Mercedes-Benz USA (2026) Mercedes-Benz USA Reports 2025 Year-Over-Year Retail Sales Growth. </w:t>
      </w:r>
      <w:hyperlink r:id="rId48">
        <w:r>
          <w:rPr>
            <w:rStyle w:val="Hyperlink"/>
            <w:rFonts w:eastAsia="Times New Roman" w:cs="Times New Roman"/>
            <w:sz w:val="24"/>
            <w:szCs w:val="24"/>
          </w:rPr>
          <w:t>https://media.mbusa.com/releases/release-4889b1d1c66cddc71207802037074cd5-mercedes-benz-usa-reports-2025-year-over-year-retail-sales-growth</w:t>
        </w:r>
      </w:hyperlink>
      <w:r>
        <w:rPr>
          <w:rStyle w:val="Hyperlink"/>
          <w:rFonts w:eastAsia="Times New Roman" w:cs="Times New Roman"/>
          <w:sz w:val="24"/>
          <w:szCs w:val="24"/>
        </w:rPr>
        <w:t xml:space="preserve"> </w:t>
      </w:r>
      <w:r>
        <w:rPr>
          <w:rFonts w:eastAsia="Times New Roman" w:cs="Times New Roman"/>
          <w:sz w:val="24"/>
          <w:szCs w:val="24"/>
        </w:rPr>
        <w:t>(Accessed on : 19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25. ArabWheels (2026) 'Mercedes Sales Dip 9% in 2025: AMG and G-Class Still Lead the Way'. </w:t>
      </w:r>
      <w:hyperlink r:id="rId49">
        <w:r>
          <w:rPr>
            <w:rStyle w:val="Hyperlink"/>
            <w:rFonts w:eastAsia="Times New Roman" w:cs="Times New Roman"/>
            <w:sz w:val="24"/>
            <w:szCs w:val="24"/>
          </w:rPr>
          <w:t>https://www.arabwheels.ae/blog/mercedes-benz-2025-annual-sales-report/</w:t>
        </w:r>
      </w:hyperlink>
      <w:r>
        <w:rPr>
          <w:rStyle w:val="Hyperlink"/>
          <w:rFonts w:eastAsia="Times New Roman" w:cs="Times New Roman"/>
          <w:sz w:val="24"/>
          <w:szCs w:val="24"/>
        </w:rPr>
        <w:t xml:space="preserve"> </w:t>
      </w:r>
      <w:r>
        <w:rPr>
          <w:rFonts w:eastAsia="Times New Roman" w:cs="Times New Roman"/>
          <w:sz w:val="24"/>
          <w:szCs w:val="24"/>
        </w:rPr>
        <w:t>(Accessed on : 21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26. Schön, D.A. (1983) The Reflective Practitioner: How Professionals Think in Action. Basic Books. </w:t>
      </w:r>
      <w:hyperlink r:id="rId50">
        <w:r>
          <w:rPr>
            <w:rStyle w:val="Hyperlink"/>
            <w:rFonts w:eastAsia="Times New Roman" w:cs="Times New Roman"/>
            <w:sz w:val="24"/>
            <w:szCs w:val="24"/>
          </w:rPr>
          <w:t>https://www.routledge.com/The-Reflective-Practitioner-How-Professionals-Think-in-Action/Schon/p/book/9781857423198</w:t>
        </w:r>
      </w:hyperlink>
      <w:r>
        <w:rPr>
          <w:rStyle w:val="Hyperlink"/>
          <w:rFonts w:eastAsia="Times New Roman" w:cs="Times New Roman"/>
          <w:sz w:val="24"/>
          <w:szCs w:val="24"/>
        </w:rPr>
        <w:t xml:space="preserve"> </w:t>
      </w:r>
      <w:r>
        <w:rPr>
          <w:rFonts w:eastAsia="Times New Roman" w:cs="Times New Roman"/>
          <w:sz w:val="24"/>
          <w:szCs w:val="24"/>
        </w:rPr>
        <w:t>(Accessed on : 21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27. Gibbs, G. (1988) Learning by Doing: A guide to teaching and learning methods. Further Education Unit. </w:t>
      </w:r>
      <w:hyperlink r:id="rId51">
        <w:r>
          <w:rPr>
            <w:rStyle w:val="Hyperlink"/>
            <w:rFonts w:eastAsia="Times New Roman" w:cs="Times New Roman"/>
            <w:sz w:val="24"/>
            <w:szCs w:val="24"/>
          </w:rPr>
          <w:t>https://reflection.ed.ac.uk/reflectors-toolkit/reflecting-on-experience/gibbs-reflective-cycle</w:t>
        </w:r>
      </w:hyperlink>
      <w:r>
        <w:rPr>
          <w:rStyle w:val="Hyperlink"/>
          <w:rFonts w:eastAsia="Times New Roman" w:cs="Times New Roman"/>
          <w:sz w:val="24"/>
          <w:szCs w:val="24"/>
        </w:rPr>
        <w:t xml:space="preserve"> </w:t>
      </w:r>
      <w:r>
        <w:rPr>
          <w:sz w:val="24"/>
          <w:szCs w:val="24"/>
        </w:rPr>
        <w:t>(Accessed on : 23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28. General Works Council Mercedes-Benz Group, Mercedese Benz (2025) . </w:t>
      </w:r>
      <w:hyperlink r:id="rId52">
        <w:r>
          <w:rPr>
            <w:rStyle w:val="Hyperlink"/>
            <w:rFonts w:eastAsia="Times New Roman" w:cs="Times New Roman"/>
            <w:sz w:val="24"/>
            <w:szCs w:val="24"/>
          </w:rPr>
          <w:t>https://group.mercedes-benz.com/company/works-council/</w:t>
        </w:r>
      </w:hyperlink>
      <w:r>
        <w:rPr>
          <w:rFonts w:eastAsia="Times New Roman" w:cs="Times New Roman"/>
          <w:sz w:val="24"/>
          <w:szCs w:val="24"/>
        </w:rPr>
        <w:t xml:space="preserve"> (Accessed on : 23 April, 2026)</w:t>
      </w:r>
    </w:p>
    <w:sectPr>
      <w:headerReference w:type="even" r:id="rId53"/>
      <w:headerReference w:type="default" r:id="rId54"/>
      <w:headerReference w:type="first" r:id="rId55"/>
      <w:footerReference w:type="even" r:id="rId56"/>
      <w:footerReference w:type="default" r:id="rId57"/>
      <w:footerReference w:type="first" r:id="rId58"/>
      <w:type w:val="nextPage"/>
      <w:pgSz w:w="11906" w:h="16838"/>
      <w:pgMar w:left="1440" w:right="1440" w:gutter="0" w:header="720" w:top="1440" w:footer="720" w:bottom="1440"/>
      <w:pgNumType w:start="1"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1" w:characterSet="utf-8"/>
    <w:family w:val="roman"/>
    <w:pitch w:val="variable"/>
  </w:font>
  <w:font w:name="Times New Roman">
    <w:charset w:val="01" w:characterSet="utf-8"/>
    <w:family w:val="roman"/>
    <w:pitch w:val="variable"/>
  </w:font>
  <w:font w:name="Arial">
    <w:charset w:val="01" w:characterSet="utf-8"/>
    <w:family w:val="swiss"/>
    <w:pitch w:val="variable"/>
  </w:font>
  <w:font w:name="OpenSymbol">
    <w:altName w:val="Arial Unicode MS"/>
    <w:charset w:val="01" w:characterSet="utf-8"/>
    <w:family w:val="roman"/>
    <w:pitch w:val="variable"/>
  </w:font>
  <w:font w:name="Liberation Sans">
    <w:altName w:val="Arial"/>
    <w:charset w:val="01" w:characterSet="utf-8"/>
    <w:family w:val="swiss"/>
    <w:pitch w:val="variable"/>
  </w:font>
  <w:font w:name="Calibri">
    <w:charset w:val="01" w:characterSet="utf-8"/>
    <w:family w:val="swiss"/>
    <w:pitch w:val="variable"/>
  </w:font>
  <w:font w:name="Cambria">
    <w:charset w:val="01" w:characterSet="utf-8"/>
    <w:family w:val="swiss"/>
    <w:pitch w:val="variable"/>
  </w:font>
  <w:font w:name="Symbol">
    <w:charset w:val="02"/>
    <w:family w:val="auto"/>
    <w:pitch w:val="default"/>
  </w:font>
  <w:font w:name="OpenSymbol">
    <w:altName w:val="Arial Unicode MS"/>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rFonts w:ascii="Times New Roman" w:hAnsi="Times New Roman" w:eastAsia="Times New Roman" w:cs="Times New Roman"/>
        <w:sz w:val="24"/>
        <w:szCs w:val="24"/>
      </w:rPr>
    </w:pPr>
    <w:r>
      <w:rPr/>
      <w:fldChar w:fldCharType="begin"/>
    </w:r>
    <w:r>
      <w:rPr/>
      <w:instrText xml:space="preserve"> PAGE </w:instrText>
    </w:r>
    <w:r>
      <w:rPr/>
      <w:fldChar w:fldCharType="separate"/>
    </w:r>
    <w:r>
      <w:rPr/>
      <w:t>29</w:t>
    </w:r>
    <w:r>
      <w:rPr/>
      <w:fldChar w:fldCharType="end"/>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rFonts w:ascii="Times New Roman" w:hAnsi="Times New Roman" w:eastAsia="Times New Roman" w:cs="Times New Roman"/>
        <w:sz w:val="24"/>
        <w:szCs w:val="24"/>
      </w:rPr>
    </w:pPr>
    <w:r>
      <w:rPr/>
      <w:fldChar w:fldCharType="begin"/>
    </w:r>
    <w:r>
      <w:rPr/>
      <w:instrText xml:space="preserve"> PAGE </w:instrText>
    </w:r>
    <w:r>
      <w:rPr/>
      <w:fldChar w:fldCharType="separate"/>
    </w:r>
    <w:r>
      <w:rPr/>
      <w:t>29</w:t>
    </w:r>
    <w:r>
      <w:rPr/>
      <w:fldChar w:fldCharType="end"/>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pPr>
    <w:bookmarkStart w:id="6" w:name="_GoBack"/>
    <w:bookmarkEnd w:id="6"/>
    <w:r>
      <w:rPr/>
      <w:drawing>
        <wp:inline distT="0" distB="0" distL="0" distR="0">
          <wp:extent cx="1783715" cy="951865"/>
          <wp:effectExtent l="0" t="0" r="0" b="0"/>
          <wp:docPr id="15"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pPr>
    <w:bookmarkStart w:id="7" w:name="_GoBack"/>
    <w:bookmarkEnd w:id="7"/>
    <w:r>
      <w:rPr/>
      <w:drawing>
        <wp:inline distT="0" distB="0" distL="0" distR="0">
          <wp:extent cx="1783715" cy="951865"/>
          <wp:effectExtent l="0" t="0" r="0" b="0"/>
          <wp:docPr id="16"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2">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20"/>
  <w:autoHyphenation w:val="true"/>
  <w:hyphenationZone w:val="0"/>
  <w:compat>
    <w:doNotExpandShiftReturn/>
    <w:compatSetting w:name="compatibilityMode" w:uri="http://schemas.microsoft.com/office/word" w:val="15"/>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SimSun" w:cs="Times New Roman"/>
        <w:lang w:val="en-US" w:eastAsia="zh-CN" w:bidi="hi-IN"/>
      </w:rPr>
    </w:rPrDefault>
    <w:pPrDefault>
      <w:pPr>
        <w:suppressAutoHyphens w:val="true"/>
      </w:pPr>
    </w:pPrDefault>
  </w:docDefaults>
  <w:latentStyles w:defLockedState="0" w:defUIPriority="99" w:defSemiHidden="1" w:defUnhideWhenUsed="1" w:defQFormat="0" w:count="260">
    <w:lsdException w:name="Normal" w:uiPriority="0" w:semiHidden="0" w:unhideWhenUsed="0"/>
    <w:lsdException w:name="heading 1" w:uiPriority="0" w:semiHidden="0" w:unhideWhenUsed="0" w:qFormat="1"/>
    <w:lsdException w:name="heading 2" w:uiPriority="0" w:semiHidden="0" w:unhideWhenUsed="0" w:qFormat="1"/>
    <w:lsdException w:name="heading 3" w:uiPriority="0" w:semiHidden="0" w:unhideWhenUsed="0"/>
    <w:lsdException w:name="heading 4" w:uiPriority="0" w:semiHidden="0" w:unhideWhenUsed="0"/>
    <w:lsdException w:name="heading 5" w:uiPriority="0" w:semiHidden="0" w:unhideWhenUsed="0" w:qFormat="1"/>
    <w:lsdException w:name="heading 6" w:uiPriority="0" w:semiHidden="0" w:unhideWhenUsed="0" w:qFormat="1"/>
    <w:lsdException w:name="heading 7" w:uiPriority="0" w:qFormat="1"/>
    <w:lsdException w:name="heading 8" w:uiPriority="0" w:qFormat="1"/>
    <w:lsdException w:name="heading 9" w:uiPriority="0" w:qFormat="1"/>
    <w:lsdException w:name="index 1" w:uiPriority="0" w:semiHidden="0" w:unhideWhenUsed="0"/>
    <w:lsdException w:name="index 2" w:uiPriority="0" w:semiHidden="0" w:unhideWhenUsed="0"/>
    <w:lsdException w:name="index 3" w:uiPriority="0" w:semiHidden="0" w:unhideWhenUsed="0"/>
    <w:lsdException w:name="index 4" w:uiPriority="0" w:semiHidden="0" w:unhideWhenUsed="0"/>
    <w:lsdException w:name="index 5" w:uiPriority="0" w:semiHidden="0" w:unhideWhenUsed="0"/>
    <w:lsdException w:name="index 6" w:uiPriority="0" w:semiHidden="0" w:unhideWhenUsed="0"/>
    <w:lsdException w:name="index 7" w:uiPriority="0" w:semiHidden="0" w:unhideWhenUsed="0"/>
    <w:lsdException w:name="index 8" w:uiPriority="0" w:semiHidden="0" w:unhideWhenUsed="0"/>
    <w:lsdException w:name="index 9" w:uiPriority="0" w:semiHidden="0" w:unhideWhenUsed="0"/>
    <w:lsdException w:name="toc 1" w:uiPriority="0" w:semiHidden="0" w:unhideWhenUsed="0"/>
    <w:lsdException w:name="toc 2" w:uiPriority="0" w:semiHidden="0" w:unhideWhenUsed="0"/>
    <w:lsdException w:name="toc 3" w:uiPriority="0" w:semiHidden="0" w:unhideWhenUsed="0"/>
    <w:lsdException w:name="toc 4" w:uiPriority="0" w:semiHidden="0" w:unhideWhenUsed="0"/>
    <w:lsdException w:name="toc 5" w:uiPriority="0" w:semiHidden="0" w:unhideWhenUsed="0"/>
    <w:lsdException w:name="toc 6" w:uiPriority="0" w:semiHidden="0" w:unhideWhenUsed="0"/>
    <w:lsdException w:name="toc 7" w:uiPriority="0" w:semiHidden="0" w:unhideWhenUsed="0"/>
    <w:lsdException w:name="toc 8" w:uiPriority="0" w:semiHidden="0" w:unhideWhenUsed="0"/>
    <w:lsdException w:name="toc 9" w:uiPriority="0" w:semiHidden="0" w:unhideWhenUsed="0"/>
    <w:lsdException w:name="Normal Indent" w:uiPriority="0" w:semiHidden="0" w:unhideWhenUsed="0"/>
    <w:lsdException w:name="footnote text" w:uiPriority="0" w:semiHidden="0" w:unhideWhenUsed="0"/>
    <w:lsdException w:name="annotation text" w:uiPriority="0" w:semiHidden="0" w:unhideWhenUsed="0"/>
    <w:lsdException w:name="header" w:uiPriority="0" w:semiHidden="0" w:unhideWhenUsed="0"/>
    <w:lsdException w:name="footer" w:uiPriority="0" w:semiHidden="0" w:unhideWhenUsed="0"/>
    <w:lsdException w:name="index heading" w:uiPriority="0" w:semiHidden="0" w:unhideWhenUsed="0"/>
    <w:lsdException w:name="caption" w:uiPriority="0" w:qFormat="1"/>
    <w:lsdException w:name="table of figures" w:uiPriority="0" w:semiHidden="0" w:unhideWhenUsed="0"/>
    <w:lsdException w:name="envelope address" w:uiPriority="0" w:semiHidden="0" w:unhideWhenUsed="0"/>
    <w:lsdException w:name="envelope return" w:uiPriority="0" w:semiHidden="0" w:unhideWhenUsed="0"/>
    <w:lsdException w:name="footnote reference" w:uiPriority="0" w:semiHidden="0" w:unhideWhenUsed="0"/>
    <w:lsdException w:name="annotation reference" w:uiPriority="0" w:semiHidden="0" w:unhideWhenUsed="0"/>
    <w:lsdException w:name="line number" w:uiPriority="0" w:semiHidden="0" w:unhideWhenUsed="0"/>
    <w:lsdException w:name="page number" w:uiPriority="0" w:semiHidden="0" w:unhideWhenUsed="0"/>
    <w:lsdException w:name="endnote reference" w:uiPriority="0" w:semiHidden="0" w:unhideWhenUsed="0"/>
    <w:lsdException w:name="endnote text" w:uiPriority="0" w:semiHidden="0" w:unhideWhenUsed="0"/>
    <w:lsdException w:name="table of authorities" w:uiPriority="0" w:semiHidden="0" w:unhideWhenUsed="0"/>
    <w:lsdException w:name="macro" w:uiPriority="0" w:semiHidden="0" w:unhideWhenUsed="0"/>
    <w:lsdException w:name="toa heading" w:uiPriority="0" w:semiHidden="0" w:unhideWhenUsed="0"/>
    <w:lsdException w:name="List" w:uiPriority="0" w:semiHidden="0" w:unhideWhenUsed="0"/>
    <w:lsdException w:name="List Bullet" w:uiPriority="0" w:semiHidden="0" w:unhideWhenUsed="0"/>
    <w:lsdException w:name="List Number" w:uiPriority="0" w:semiHidden="0" w:unhideWhenUsed="0"/>
    <w:lsdException w:name="List 2" w:uiPriority="0" w:semiHidden="0" w:unhideWhenUsed="0"/>
    <w:lsdException w:name="List 3" w:uiPriority="0" w:semiHidden="0" w:unhideWhenUsed="0"/>
    <w:lsdException w:name="List 4" w:uiPriority="0" w:semiHidden="0" w:unhideWhenUsed="0"/>
    <w:lsdException w:name="List 5" w:uiPriority="0" w:semiHidden="0" w:unhideWhenUsed="0"/>
    <w:lsdException w:name="List Bullet 2" w:uiPriority="0" w:semiHidden="0" w:unhideWhenUsed="0"/>
    <w:lsdException w:name="List Bullet 3" w:uiPriority="0" w:semiHidden="0" w:unhideWhenUsed="0"/>
    <w:lsdException w:name="List Bullet 4" w:uiPriority="0" w:semiHidden="0" w:unhideWhenUsed="0"/>
    <w:lsdException w:name="List Bullet 5" w:uiPriority="0" w:semiHidden="0" w:unhideWhenUsed="0"/>
    <w:lsdException w:name="List Number 2" w:uiPriority="0" w:semiHidden="0" w:unhideWhenUsed="0"/>
    <w:lsdException w:name="List Number 3" w:uiPriority="0" w:semiHidden="0" w:unhideWhenUsed="0"/>
    <w:lsdException w:name="List Number 4" w:uiPriority="0" w:semiHidden="0" w:unhideWhenUsed="0"/>
    <w:lsdException w:name="List Number 5" w:uiPriority="0" w:semiHidden="0" w:unhideWhenUsed="0"/>
    <w:lsdException w:name="Title" w:uiPriority="0" w:semiHidden="0" w:unhideWhenUsed="0"/>
    <w:lsdException w:name="Closing" w:uiPriority="0" w:semiHidden="0" w:unhideWhenUsed="0"/>
    <w:lsdException w:name="Signature" w:uiPriority="0" w:semiHidden="0" w:unhideWhenUsed="0"/>
    <w:lsdException w:name="Default Paragraph Font" w:uiPriority="0" w:unhideWhenUsed="0"/>
    <w:lsdException w:name="Body Text" w:uiPriority="0" w:semiHidden="0" w:unhideWhenUsed="0"/>
    <w:lsdException w:name="Body Text Indent" w:uiPriority="0" w:semiHidden="0" w:unhideWhenUsed="0"/>
    <w:lsdException w:name="List Continue" w:uiPriority="0" w:semiHidden="0" w:unhideWhenUsed="0"/>
    <w:lsdException w:name="List Continue 2" w:uiPriority="0" w:semiHidden="0" w:unhideWhenUsed="0"/>
    <w:lsdException w:name="List Continue 3" w:uiPriority="0" w:semiHidden="0" w:unhideWhenUsed="0"/>
    <w:lsdException w:name="List Continue 4" w:uiPriority="0" w:semiHidden="0" w:unhideWhenUsed="0"/>
    <w:lsdException w:name="List Continue 5" w:uiPriority="0" w:semiHidden="0" w:unhideWhenUsed="0"/>
    <w:lsdException w:name="Message Header" w:uiPriority="0" w:semiHidden="0" w:unhideWhenUsed="0"/>
    <w:lsdException w:name="Subtitle" w:uiPriority="0" w:semiHidden="0" w:unhideWhenUsed="0" w:qFormat="1"/>
    <w:lsdException w:name="Salutation" w:uiPriority="0" w:semiHidden="0" w:unhideWhenUsed="0"/>
    <w:lsdException w:name="Date" w:uiPriority="0" w:semiHidden="0" w:unhideWhenUsed="0"/>
    <w:lsdException w:name="Body Text First Indent" w:uiPriority="0" w:semiHidden="0" w:unhideWhenUsed="0"/>
    <w:lsdException w:name="Body Text First Indent 2" w:uiPriority="0" w:semiHidden="0" w:unhideWhenUsed="0"/>
    <w:lsdException w:name="Note Heading" w:uiPriority="0" w:semiHidden="0" w:unhideWhenUsed="0"/>
    <w:lsdException w:name="Body Text 2" w:uiPriority="0" w:semiHidden="0" w:unhideWhenUsed="0"/>
    <w:lsdException w:name="Body Text 3" w:uiPriority="0" w:semiHidden="0" w:unhideWhenUsed="0"/>
    <w:lsdException w:name="Body Text Indent 2" w:uiPriority="0" w:semiHidden="0" w:unhideWhenUsed="0"/>
    <w:lsdException w:name="Body Text Indent 3" w:uiPriority="0" w:semiHidden="0" w:unhideWhenUsed="0"/>
    <w:lsdException w:name="Block Text" w:uiPriority="0" w:semiHidden="0" w:unhideWhenUsed="0"/>
    <w:lsdException w:name="Hyperlink" w:uiPriority="0" w:semiHidden="0" w:unhideWhenUsed="0"/>
    <w:lsdException w:name="FollowedHyperlink" w:uiPriority="0" w:semiHidden="0" w:unhideWhenUsed="0"/>
    <w:lsdException w:name="Strong" w:uiPriority="0" w:semiHidden="0" w:unhideWhenUsed="0" w:qFormat="1"/>
    <w:lsdException w:name="Emphasis" w:uiPriority="0" w:semiHidden="0" w:unhideWhenUsed="0" w:qFormat="1"/>
    <w:lsdException w:name="Document Map" w:uiPriority="0" w:semiHidden="0" w:unhideWhenUsed="0"/>
    <w:lsdException w:name="Plain Text" w:uiPriority="0" w:semiHidden="0" w:unhideWhenUsed="0"/>
    <w:lsdException w:name="E-mail Signature" w:uiPriority="0" w:semiHidden="0" w:unhideWhenUsed="0"/>
    <w:lsdException w:name="Normal (Web)" w:uiPriority="0" w:semiHidden="0" w:unhideWhenUsed="0"/>
    <w:lsdException w:name="HTML Acronym" w:uiPriority="0" w:semiHidden="0" w:unhideWhenUsed="0"/>
    <w:lsdException w:name="HTML Address" w:uiPriority="0" w:semiHidden="0" w:unhideWhenUsed="0"/>
    <w:lsdException w:name="HTML Cite" w:uiPriority="0" w:semiHidden="0" w:unhideWhenUsed="0"/>
    <w:lsdException w:name="HTML Code" w:uiPriority="0" w:semiHidden="0" w:unhideWhenUsed="0"/>
    <w:lsdException w:name="HTML Definition" w:uiPriority="0" w:semiHidden="0" w:unhideWhenUsed="0"/>
    <w:lsdException w:name="HTML Keyboard" w:uiPriority="0" w:semiHidden="0" w:unhideWhenUsed="0"/>
    <w:lsdException w:name="HTML Preformatted" w:uiPriority="0" w:semiHidden="0" w:unhideWhenUsed="0"/>
    <w:lsdException w:name="HTML Sample" w:uiPriority="0" w:semiHidden="0" w:unhideWhenUsed="0"/>
    <w:lsdException w:name="HTML Typewriter" w:uiPriority="0" w:semiHidden="0" w:unhideWhenUsed="0"/>
    <w:lsdException w:name="HTML Variable" w:uiPriority="0" w:semiHidden="0" w:unhideWhenUsed="0"/>
    <w:lsdException w:name="Normal Table" w:uiPriority="0" w:unhideWhenUsed="0"/>
    <w:lsdException w:name="annotation subject" w:uiPriority="0" w:semiHidden="0" w:unhideWhenUsed="0"/>
    <w:lsdException w:name="Table Simple 1" w:uiPriority="0" w:semiHidden="0" w:unhideWhenUsed="0"/>
    <w:lsdException w:name="Table Simple 2" w:uiPriority="0" w:semiHidden="0" w:unhideWhenUsed="0"/>
    <w:lsdException w:name="Table Simple 3" w:uiPriority="0" w:semiHidden="0" w:unhideWhenUsed="0"/>
    <w:lsdException w:name="Table Classic 1" w:uiPriority="0" w:semiHidden="0" w:unhideWhenUsed="0"/>
    <w:lsdException w:name="Table Classic 2" w:uiPriority="0" w:semiHidden="0" w:unhideWhenUsed="0"/>
    <w:lsdException w:name="Table Classic 3" w:uiPriority="0" w:semiHidden="0" w:unhideWhenUsed="0"/>
    <w:lsdException w:name="Table Classic 4" w:uiPriority="0" w:semiHidden="0" w:unhideWhenUsed="0"/>
    <w:lsdException w:name="Table Colorful 1" w:uiPriority="0" w:semiHidden="0" w:unhideWhenUsed="0"/>
    <w:lsdException w:name="Table Colorful 2" w:uiPriority="0" w:semiHidden="0" w:unhideWhenUsed="0"/>
    <w:lsdException w:name="Table Colorful 3" w:uiPriority="0" w:semiHidden="0" w:unhideWhenUsed="0"/>
    <w:lsdException w:name="Table Columns 1" w:uiPriority="0" w:semiHidden="0" w:unhideWhenUsed="0"/>
    <w:lsdException w:name="Table Columns 2" w:uiPriority="0" w:semiHidden="0" w:unhideWhenUsed="0"/>
    <w:lsdException w:name="Table Columns 3" w:uiPriority="0" w:semiHidden="0" w:unhideWhenUsed="0"/>
    <w:lsdException w:name="Table Columns 4" w:uiPriority="0" w:semiHidden="0" w:unhideWhenUsed="0"/>
    <w:lsdException w:name="Table Columns 5" w:uiPriority="0" w:semiHidden="0" w:unhideWhenUsed="0"/>
    <w:lsdException w:name="Table Grid 1" w:uiPriority="0" w:semiHidden="0" w:unhideWhenUsed="0"/>
    <w:lsdException w:name="Table Grid 2" w:uiPriority="0" w:semiHidden="0" w:unhideWhenUsed="0"/>
    <w:lsdException w:name="Table Grid 3" w:uiPriority="0" w:semiHidden="0" w:unhideWhenUsed="0"/>
    <w:lsdException w:name="Table Grid 4" w:uiPriority="0" w:semiHidden="0" w:unhideWhenUsed="0"/>
    <w:lsdException w:name="Table Grid 5" w:uiPriority="0" w:semiHidden="0" w:unhideWhenUsed="0"/>
    <w:lsdException w:name="Table Grid 6" w:uiPriority="0" w:semiHidden="0" w:unhideWhenUsed="0"/>
    <w:lsdException w:name="Table Grid 7" w:uiPriority="0" w:semiHidden="0" w:unhideWhenUsed="0"/>
    <w:lsdException w:name="Table Grid 8" w:uiPriority="0" w:semiHidden="0" w:unhideWhenUsed="0"/>
    <w:lsdException w:name="Table List 1" w:uiPriority="0" w:semiHidden="0" w:unhideWhenUsed="0"/>
    <w:lsdException w:name="Table List 2" w:uiPriority="0" w:semiHidden="0" w:unhideWhenUsed="0"/>
    <w:lsdException w:name="Table List 3" w:uiPriority="0" w:semiHidden="0" w:unhideWhenUsed="0"/>
    <w:lsdException w:name="Table List 4" w:uiPriority="0" w:semiHidden="0" w:unhideWhenUsed="0"/>
    <w:lsdException w:name="Table List 5" w:uiPriority="0" w:semiHidden="0" w:unhideWhenUsed="0"/>
    <w:lsdException w:name="Table List 6" w:uiPriority="0" w:semiHidden="0" w:unhideWhenUsed="0"/>
    <w:lsdException w:name="Table List 7" w:uiPriority="0" w:semiHidden="0" w:unhideWhenUsed="0"/>
    <w:lsdException w:name="Table List 8" w:uiPriority="0" w:semiHidden="0" w:unhideWhenUsed="0"/>
    <w:lsdException w:name="Table 3D effects 1" w:uiPriority="0" w:semiHidden="0" w:unhideWhenUsed="0"/>
    <w:lsdException w:name="Table 3D effects 2" w:uiPriority="0" w:semiHidden="0" w:unhideWhenUsed="0"/>
    <w:lsdException w:name="Table 3D effects 3" w:uiPriority="0" w:semiHidden="0" w:unhideWhenUsed="0"/>
    <w:lsdException w:name="Table Contemporary" w:uiPriority="0" w:semiHidden="0" w:unhideWhenUsed="0"/>
    <w:lsdException w:name="Table Elegant" w:uiPriority="0" w:semiHidden="0" w:unhideWhenUsed="0"/>
    <w:lsdException w:name="Table Professional" w:uiPriority="0" w:semiHidden="0" w:unhideWhenUsed="0"/>
    <w:lsdException w:name="Table Subtle 1" w:uiPriority="0" w:semiHidden="0" w:unhideWhenUsed="0"/>
    <w:lsdException w:name="Table Subtle 2" w:uiPriority="0" w:semiHidden="0" w:unhideWhenUsed="0"/>
    <w:lsdException w:name="Table Web 1" w:uiPriority="0" w:semiHidden="0" w:unhideWhenUsed="0"/>
    <w:lsdException w:name="Table Web 2" w:uiPriority="0" w:semiHidden="0" w:unhideWhenUsed="0"/>
    <w:lsdException w:name="Table Web 3" w:uiPriority="0" w:semiHidden="0" w:unhideWhenUsed="0"/>
    <w:lsdException w:name="Balloon Text" w:uiPriority="0" w:semiHidden="0" w:unhideWhenUsed="0"/>
    <w:lsdException w:name="Table Grid" w:uiPriority="0" w:semiHidden="0" w:unhideWhenUsed="0"/>
    <w:lsdException w:name="Table Theme" w:uiPriority="0" w:semiHidden="0" w:unhideWhenUsed="0"/>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Normal" w:default="1">
    <w:name w:val="Normal"/>
    <w:uiPriority w:val="0"/>
    <w:qFormat/>
    <w:pPr>
      <w:widowControl/>
      <w:suppressAutoHyphens w:val="true"/>
      <w:bidi w:val="0"/>
      <w:spacing w:lineRule="auto" w:line="276" w:before="0" w:after="0"/>
      <w:jc w:val="start"/>
    </w:pPr>
    <w:rPr>
      <w:rFonts w:ascii="Arial" w:hAnsi="Arial" w:eastAsia="Arial" w:cs="Arial"/>
      <w:color w:val="auto"/>
      <w:kern w:val="0"/>
      <w:sz w:val="22"/>
      <w:szCs w:val="22"/>
      <w:lang w:val="zh-CN" w:eastAsia="zh-CN" w:bidi="hi-IN"/>
    </w:rPr>
  </w:style>
  <w:style w:type="paragraph" w:styleId="Heading1">
    <w:name w:val="heading 1"/>
    <w:basedOn w:val="Normal"/>
    <w:next w:val="Normal"/>
    <w:uiPriority w:val="0"/>
    <w:qFormat/>
    <w:pPr>
      <w:keepNext w:val="true"/>
      <w:keepLines/>
      <w:spacing w:lineRule="auto" w:line="360" w:before="0" w:after="200"/>
      <w:jc w:val="both"/>
    </w:pPr>
    <w:rPr>
      <w:rFonts w:ascii="Times New Roman" w:hAnsi="Times New Roman" w:eastAsia="Times New Roman" w:cs="Times New Roman"/>
      <w:b/>
      <w:sz w:val="24"/>
      <w:szCs w:val="24"/>
    </w:rPr>
  </w:style>
  <w:style w:type="paragraph" w:styleId="Heading2">
    <w:name w:val="heading 2"/>
    <w:basedOn w:val="Normal"/>
    <w:next w:val="Normal"/>
    <w:uiPriority w:val="0"/>
    <w:qFormat/>
    <w:pPr>
      <w:keepNext w:val="true"/>
      <w:keepLines/>
      <w:spacing w:lineRule="auto" w:line="360" w:before="0" w:after="200"/>
      <w:jc w:val="both"/>
    </w:pPr>
    <w:rPr>
      <w:rFonts w:ascii="Times New Roman" w:hAnsi="Times New Roman" w:eastAsia="Times New Roman" w:cs="Times New Roman"/>
      <w:b/>
      <w:sz w:val="24"/>
      <w:szCs w:val="24"/>
    </w:rPr>
  </w:style>
  <w:style w:type="paragraph" w:styleId="Heading3">
    <w:name w:val="heading 3"/>
    <w:basedOn w:val="Normal"/>
    <w:next w:val="Normal"/>
    <w:uiPriority w:val="0"/>
    <w:qFormat/>
    <w:pPr>
      <w:keepNext w:val="true"/>
      <w:keepLines/>
      <w:pageBreakBefore w:val="false"/>
      <w:spacing w:before="320" w:after="80"/>
    </w:pPr>
    <w:rPr>
      <w:color w:val="434343"/>
      <w:sz w:val="28"/>
      <w:szCs w:val="28"/>
    </w:rPr>
  </w:style>
  <w:style w:type="paragraph" w:styleId="Heading4">
    <w:name w:val="heading 4"/>
    <w:basedOn w:val="Normal"/>
    <w:next w:val="Normal"/>
    <w:uiPriority w:val="0"/>
    <w:qFormat/>
    <w:pPr>
      <w:keepNext w:val="true"/>
      <w:keepLines/>
      <w:pageBreakBefore w:val="false"/>
      <w:spacing w:before="280" w:after="80"/>
    </w:pPr>
    <w:rPr>
      <w:color w:val="666666"/>
      <w:sz w:val="24"/>
      <w:szCs w:val="24"/>
    </w:rPr>
  </w:style>
  <w:style w:type="paragraph" w:styleId="Heading5">
    <w:name w:val="heading 5"/>
    <w:basedOn w:val="Normal"/>
    <w:next w:val="Normal"/>
    <w:uiPriority w:val="0"/>
    <w:qFormat/>
    <w:pPr>
      <w:keepNext w:val="true"/>
      <w:keepLines/>
      <w:pageBreakBefore w:val="false"/>
      <w:spacing w:before="240" w:after="80"/>
    </w:pPr>
    <w:rPr>
      <w:color w:val="666666"/>
      <w:sz w:val="22"/>
      <w:szCs w:val="22"/>
    </w:rPr>
  </w:style>
  <w:style w:type="paragraph" w:styleId="Heading6">
    <w:name w:val="heading 6"/>
    <w:basedOn w:val="Normal"/>
    <w:next w:val="Normal"/>
    <w:uiPriority w:val="0"/>
    <w:qFormat/>
    <w:pPr>
      <w:keepNext w:val="true"/>
      <w:keepLines/>
      <w:pageBreakBefore w:val="false"/>
      <w:spacing w:before="240" w:after="80"/>
    </w:pPr>
    <w:rPr>
      <w:i/>
      <w:color w:val="666666"/>
      <w:sz w:val="22"/>
      <w:szCs w:val="22"/>
    </w:rPr>
  </w:style>
  <w:style w:type="character" w:styleId="DefaultParagraphFont" w:default="1">
    <w:name w:val="Default Paragraph Font"/>
    <w:uiPriority w:val="0"/>
    <w:semiHidden/>
    <w:qFormat/>
    <w:rPr/>
  </w:style>
  <w:style w:type="character" w:styleId="Hyperlink">
    <w:name w:val="Hyperlink"/>
    <w:rPr>
      <w:color w:val="000080"/>
      <w:u w:val="single"/>
    </w:rPr>
  </w:style>
  <w:style w:type="character" w:styleId="IndexLink">
    <w:name w:val="Index Link"/>
    <w:qFormat/>
    <w:rPr/>
  </w:style>
  <w:style w:type="character" w:styleId="FootnoteCharactersuser">
    <w:name w:val="Footnote Characters (user)"/>
    <w:qFormat/>
    <w:rPr/>
  </w:style>
  <w:style w:type="character" w:styleId="EndnoteCharactersuser">
    <w:name w:val="Endnote Characters (user)"/>
    <w:qFormat/>
    <w:rPr/>
  </w:style>
  <w:style w:type="character" w:styleId="FollowedHyperlink">
    <w:name w:val="FollowedHyperlink"/>
    <w:rPr>
      <w:color w:val="800000"/>
      <w:u w:val="single"/>
    </w:rPr>
  </w:style>
  <w:style w:type="character" w:styleId="Emphasis">
    <w:name w:val="Emphasis"/>
    <w:qFormat/>
    <w:rPr>
      <w:i/>
      <w:iCs/>
    </w:rPr>
  </w:style>
  <w:style w:type="character" w:styleId="Bulletsuser">
    <w:name w:val="Bullets (user)"/>
    <w:qFormat/>
    <w:rPr>
      <w:rFonts w:ascii="OpenSymbol" w:hAnsi="OpenSymbol" w:eastAsia="OpenSymbol" w:cs="OpenSymbol"/>
    </w:rPr>
  </w:style>
  <w:style w:type="paragraph" w:styleId="Heading">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Subtitle">
    <w:name w:val="Subtitle"/>
    <w:basedOn w:val="Normal"/>
    <w:next w:val="Normal"/>
    <w:uiPriority w:val="0"/>
    <w:qFormat/>
    <w:pPr>
      <w:keepNext w:val="true"/>
      <w:keepLines/>
      <w:pageBreakBefore w:val="false"/>
      <w:spacing w:before="0" w:after="320"/>
    </w:pPr>
    <w:rPr>
      <w:rFonts w:ascii="Arial" w:hAnsi="Arial" w:eastAsia="Arial" w:cs="Arial"/>
      <w:color w:val="666666"/>
      <w:sz w:val="30"/>
      <w:szCs w:val="30"/>
    </w:rPr>
  </w:style>
  <w:style w:type="paragraph" w:styleId="Title">
    <w:name w:val="Title"/>
    <w:basedOn w:val="Normal"/>
    <w:next w:val="Normal"/>
    <w:uiPriority w:val="0"/>
    <w:qFormat/>
    <w:pPr>
      <w:keepNext w:val="true"/>
      <w:keepLines/>
      <w:pageBreakBefore w:val="false"/>
      <w:spacing w:before="0" w:after="60"/>
    </w:pPr>
    <w:rPr>
      <w:sz w:val="52"/>
      <w:szCs w:val="52"/>
    </w:rPr>
  </w:style>
  <w:style w:type="paragraph" w:styleId="HeaderandFooter">
    <w:name w:val="Header and Footer"/>
    <w:basedOn w:val="Normal"/>
    <w:qFormat/>
    <w:pPr/>
    <w:rPr/>
  </w:style>
  <w:style w:type="paragraph" w:styleId="Header">
    <w:name w:val="header"/>
    <w:basedOn w:val="HeaderandFooter"/>
    <w:pPr/>
    <w:rPr/>
  </w:style>
  <w:style w:type="paragraph" w:styleId="Footer">
    <w:name w:val="footer"/>
    <w:basedOn w:val="HeaderandFooter"/>
    <w:pPr/>
    <w:rPr/>
  </w:style>
  <w:style w:type="paragraph" w:styleId="ListContents">
    <w:name w:val="List Contents"/>
    <w:basedOn w:val="Normal"/>
    <w:qFormat/>
    <w:pPr>
      <w:ind w:start="567"/>
    </w:pPr>
    <w:rPr/>
  </w:style>
  <w:style w:type="paragraph" w:styleId="normal1">
    <w:name w:val="normal1"/>
    <w:qFormat/>
    <w:pPr>
      <w:widowControl/>
      <w:suppressAutoHyphens w:val="true"/>
      <w:bidi w:val="0"/>
      <w:spacing w:lineRule="auto" w:line="259" w:before="0" w:after="160"/>
      <w:jc w:val="start"/>
    </w:pPr>
    <w:rPr>
      <w:rFonts w:ascii="Times New Roman" w:hAnsi="Times New Roman" w:eastAsia="SimSun" w:cs="Times New Roman"/>
      <w:color w:val="auto"/>
      <w:kern w:val="0"/>
      <w:sz w:val="20"/>
      <w:szCs w:val="20"/>
      <w:lang w:val="en-US" w:eastAsia="zh-CN" w:bidi="hi-IN"/>
    </w:rPr>
  </w:style>
  <w:style w:type="paragraph" w:styleId="normal2">
    <w:name w:val="normal2"/>
    <w:qFormat/>
    <w:pPr>
      <w:widowControl/>
      <w:suppressAutoHyphens w:val="true"/>
      <w:bidi w:val="0"/>
      <w:spacing w:lineRule="auto" w:line="276" w:before="0" w:after="0"/>
      <w:jc w:val="start"/>
    </w:pPr>
    <w:rPr>
      <w:rFonts w:ascii="Times New Roman" w:hAnsi="Times New Roman" w:eastAsia="SimSun" w:cs="Times New Roman"/>
      <w:color w:val="auto"/>
      <w:kern w:val="0"/>
      <w:sz w:val="20"/>
      <w:szCs w:val="20"/>
      <w:lang w:val="en-US" w:eastAsia="zh-CN" w:bidi="hi-IN"/>
    </w:rPr>
  </w:style>
  <w:style w:type="paragraph" w:styleId="TableContents">
    <w:name w:val="Table Contents"/>
    <w:basedOn w:val="Normal"/>
    <w:qFormat/>
    <w:pPr>
      <w:widowControl w:val="false"/>
      <w:suppressLineNumbers/>
    </w:pPr>
    <w:rPr/>
  </w:style>
  <w:style w:type="paragraph" w:styleId="TableHeading">
    <w:name w:val="Table Heading"/>
    <w:basedOn w:val="TableContents"/>
    <w:qFormat/>
    <w:pPr>
      <w:suppressLineNumbers/>
      <w:jc w:val="center"/>
    </w:pPr>
    <w:rPr>
      <w:b/>
      <w:bCs/>
    </w:rPr>
  </w:style>
  <w:style w:type="paragraph" w:styleId="TOC1">
    <w:name w:val="toc 1"/>
    <w:basedOn w:val="Index"/>
    <w:pPr>
      <w:tabs>
        <w:tab w:val="clear" w:pos="720"/>
        <w:tab w:val="right" w:pos="9026" w:leader="dot"/>
      </w:tabs>
      <w:ind w:hanging="0" w:start="0"/>
    </w:pPr>
    <w:rPr/>
  </w:style>
  <w:style w:type="paragraph" w:styleId="TOC2">
    <w:name w:val="toc 2"/>
    <w:basedOn w:val="Index"/>
    <w:pPr>
      <w:tabs>
        <w:tab w:val="clear" w:pos="720"/>
        <w:tab w:val="right" w:pos="8743" w:leader="dot"/>
      </w:tabs>
      <w:ind w:hanging="0" w:start="283"/>
    </w:pPr>
    <w:rPr/>
  </w:style>
  <w:style w:type="paragraph" w:styleId="IndexHeading">
    <w:name w:val="index heading"/>
    <w:basedOn w:val="Heading"/>
    <w:pPr/>
    <w:rPr/>
  </w:style>
  <w:style w:type="paragraph" w:styleId="TOCHeading">
    <w:name w:val="TOC Heading"/>
    <w:basedOn w:val="Heading1"/>
    <w:next w:val="Normal"/>
    <w:qFormat/>
    <w:pPr>
      <w:spacing w:lineRule="auto" w:line="259" w:before="240" w:after="0"/>
      <w:jc w:val="start"/>
    </w:pPr>
    <w:rPr>
      <w:rFonts w:ascii="Calibri" w:hAnsi="Calibri" w:eastAsia="" w:cs="" w:asciiTheme="majorHAnsi" w:cstheme="majorBidi" w:eastAsiaTheme="majorEastAsia" w:hAnsiTheme="majorHAnsi"/>
      <w:b w:val="false"/>
      <w:bCs w:val="false"/>
      <w:color w:themeColor="accent1" w:themeShade="bf" w:val="365F91"/>
      <w:sz w:val="32"/>
      <w:szCs w:val="32"/>
      <w:lang w:val="en-US" w:eastAsia="en-US"/>
    </w:rPr>
  </w:style>
  <w:style w:type="paragraph" w:styleId="TOC3">
    <w:name w:val="toc 3"/>
    <w:basedOn w:val="Normal"/>
    <w:next w:val="Normal"/>
    <w:pPr>
      <w:spacing w:before="0" w:after="100"/>
      <w:ind w:start="480"/>
    </w:pPr>
    <w:rPr/>
  </w:style>
  <w:style w:type="table" w:default="1" w:styleId="9">
    <w:name w:val="Normal Table"/>
    <w:uiPriority w:val="0"/>
    <w:semiHidden/>
    <w:tblPr>
      <w:tblCellMar>
        <w:top w:w="0" w:type="dxa"/>
        <w:left w:w="108" w:type="dxa"/>
        <w:bottom w:w="0" w:type="dxa"/>
        <w:right w:w="108" w:type="dxa"/>
      </w:tblCellMar>
    </w:tblPr>
  </w:style>
  <w:style w:type="table" w:customStyle="1" w:styleId="12">
    <w:name w:val="TableNormal"/>
    <w:uiPriority w:val="0"/>
    <w:qFormat/>
  </w:style>
  <w:style w:type="table" w:customStyle="1" w:styleId="13">
    <w:name w:val="_Style 10"/>
    <w:basedOn w:val="12"/>
    <w:uiPriority w:val="0"/>
    <w:qFormat/>
    <w:pPr>
      <w:spacing w:after="0" w:line="240" w:lineRule="auto"/>
    </w:pPr>
    <w:tblPr>
      <w:tblCellMar>
        <w:top w:w="0" w:type="dxa"/>
        <w:left w:w="108" w:type="dxa"/>
        <w:bottom w:w="0" w:type="dxa"/>
        <w:right w:w="108" w:type="dxa"/>
      </w:tblCellMar>
    </w:tblPr>
  </w:style>
  <w:style w:type="table" w:customStyle="1" w:styleId="14">
    <w:name w:val="_Style 11"/>
    <w:basedOn w:val="12"/>
    <w:uiPriority w:val="0"/>
    <w:qFormat/>
    <w:tblPr>
      <w:tblCellMar>
        <w:top w:w="100" w:type="dxa"/>
        <w:left w:w="100" w:type="dxa"/>
        <w:bottom w:w="100" w:type="dxa"/>
        <w:right w:w="100" w:type="dxa"/>
      </w:tblCellMar>
    </w:tblPr>
  </w:style>
  <w:style w:type="table" w:customStyle="1" w:styleId="15">
    <w:name w:val="_Style 12"/>
    <w:basedOn w:val="12"/>
    <w:uiPriority w:val="0"/>
    <w:qFormat/>
    <w:tblPr>
      <w:tblCellMar>
        <w:top w:w="100" w:type="dxa"/>
        <w:left w:w="100" w:type="dxa"/>
        <w:bottom w:w="100" w:type="dxa"/>
        <w:right w:w="100" w:type="dxa"/>
      </w:tblCellMar>
    </w:tblPr>
  </w:style>
  <w:style w:type="table" w:customStyle="1" w:styleId="16">
    <w:name w:val="_Style 13"/>
    <w:basedOn w:val="12"/>
    <w:uiPriority w:val="0"/>
    <w:qFormat/>
    <w:tblPr>
      <w:tblCellMar>
        <w:top w:w="100" w:type="dxa"/>
        <w:left w:w="100" w:type="dxa"/>
        <w:bottom w:w="100" w:type="dxa"/>
        <w:right w:w="100"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hyperlink" Target="https://www.slideteam.net/geert-hofstede-key-organisational-culture-dimensions.html" TargetMode="External"/><Relationship Id="rId7" Type="http://schemas.openxmlformats.org/officeDocument/2006/relationships/image" Target="media/image5.png"/><Relationship Id="rId8" Type="http://schemas.openxmlformats.org/officeDocument/2006/relationships/hyperlink" Target="https://www.automobilwoche.de/autohersteller/mercedes-benz/amw-mercedes-sudafrika-partner-geely/" TargetMode="External"/><Relationship Id="rId9" Type="http://schemas.openxmlformats.org/officeDocument/2006/relationships/image" Target="media/image6.png"/><Relationship Id="rId10" Type="http://schemas.openxmlformats.org/officeDocument/2006/relationships/hyperlink" Target="https://creately.com/guides/hofstede-cultural-dimension/" TargetMode="External"/><Relationship Id="rId11" Type="http://schemas.openxmlformats.org/officeDocument/2006/relationships/image" Target="media/image7.png"/><Relationship Id="rId12" Type="http://schemas.openxmlformats.org/officeDocument/2006/relationships/hyperlink" Target="https://kathonewmedia.wordpress.com/2016/01/22/the-german-automobile-war" TargetMode="External"/><Relationship Id="rId13" Type="http://schemas.openxmlformats.org/officeDocument/2006/relationships/image" Target="media/image8.png"/><Relationship Id="rId14" Type="http://schemas.openxmlformats.org/officeDocument/2006/relationships/hyperlink" Target="https://www.professionalacademy.com/blogs/marketing-theories-the-marketing-mix-from-4-ps-to-7-ps/" TargetMode="External"/><Relationship Id="rId15" Type="http://schemas.openxmlformats.org/officeDocument/2006/relationships/image" Target="media/image9.png"/><Relationship Id="rId16" Type="http://schemas.openxmlformats.org/officeDocument/2006/relationships/hyperlink" Target="https://www.jct600.co.uk/news/what-are-mercedes-benz-classes/?srsltid=AfmBOoqdhGw7_0pZqtp_tHBNSay2XjGo0M_GZgrFKVj-9VYRgB14krdf" TargetMode="External"/><Relationship Id="rId17" Type="http://schemas.openxmlformats.org/officeDocument/2006/relationships/image" Target="media/image10.png"/><Relationship Id="rId18" Type="http://schemas.openxmlformats.org/officeDocument/2006/relationships/hyperlink" Target="https://group.mercedes-benz.com/careers/about-us/locations/location-detail-page-5255.html" TargetMode="External"/><Relationship Id="rId19" Type="http://schemas.openxmlformats.org/officeDocument/2006/relationships/image" Target="media/image11.png"/><Relationship Id="rId20" Type="http://schemas.openxmlformats.org/officeDocument/2006/relationships/hyperlink" Target="https://www.gargash-group.com/news-en/gargash-group-unveils-state-of-the-art-mercedes-benz-brand-center-in-dubai" TargetMode="External"/><Relationship Id="rId21" Type="http://schemas.openxmlformats.org/officeDocument/2006/relationships/image" Target="media/image12.png"/><Relationship Id="rId22" Type="http://schemas.openxmlformats.org/officeDocument/2006/relationships/image" Target="media/image13.png"/><Relationship Id="rId23" Type="http://schemas.openxmlformats.org/officeDocument/2006/relationships/hyperlink" Target="https://www.mercedes-benz.de/" TargetMode="External"/><Relationship Id="rId24" Type="http://schemas.openxmlformats.org/officeDocument/2006/relationships/image" Target="media/image14.png"/><Relationship Id="rId25" Type="http://schemas.openxmlformats.org/officeDocument/2006/relationships/hyperlink" Target="https://meghaganguli23.medium.com/ansoff-matrix-101-the-4-strategies-for-growth-and-expansion-2149da4b5a76" TargetMode="External"/><Relationship Id="rId26" Type="http://schemas.openxmlformats.org/officeDocument/2006/relationships/hyperlink" Target="https://iep.unibocconi.eu/green-deal-automotive-industry-mistakes-eu-cannot-afford" TargetMode="External"/><Relationship Id="rId27" Type="http://schemas.openxmlformats.org/officeDocument/2006/relationships/hyperlink" Target="https://www.researchgate.net/publication/338312802_Waves_of_disruption_in_clean_energy_transitions_Sociotechnical_dimensions_of_system_disruption_in_Germany_and_the_United_Kingdom" TargetMode="External"/><Relationship Id="rId28" Type="http://schemas.openxmlformats.org/officeDocument/2006/relationships/hyperlink" Target="https://www.dfat.gov.au/geo/united-arab-emirates/united-arab-emirates-country-brief" TargetMode="External"/><Relationship Id="rId29" Type="http://schemas.openxmlformats.org/officeDocument/2006/relationships/hyperlink" Target="https://scispace.com/pdf/the-uae-as-an-emerging-actor-in-the-western-balkans-the-case-3jmyonpn4e.pdf" TargetMode="External"/><Relationship Id="rId30" Type="http://schemas.openxmlformats.org/officeDocument/2006/relationships/hyperlink" Target="https://economic-research.bnpparibas.com/html/en-US/Germany-country-launches-growth-cycle-12/18/2025,53106" TargetMode="External"/><Relationship Id="rId31" Type="http://schemas.openxmlformats.org/officeDocument/2006/relationships/hyperlink" Target="https://stewardsinvestment.com/wp-content/uploads/2025/10/The_Rise_Of_Dubai_Report_2025.pdf" TargetMode="External"/><Relationship Id="rId32" Type="http://schemas.openxmlformats.org/officeDocument/2006/relationships/hyperlink" Target="https://eleport.com/ev-sales-in-europe-2025-the-first-half/" TargetMode="External"/><Relationship Id="rId33" Type="http://schemas.openxmlformats.org/officeDocument/2006/relationships/hyperlink" Target="https://www.statista.com/statistics/1322391/gdp-development-forecast-germany/" TargetMode="External"/><Relationship Id="rId34" Type="http://schemas.openxmlformats.org/officeDocument/2006/relationships/hyperlink" Target="https://www.researchgate.net/profile/Baker-Alserhan-2/publication/343919814_The_Principles_of_Islamic_Marketing/links/61647c69e7993f536cc34f96/The-Principles-of-Islamic-Marketing.pdf" TargetMode="External"/><Relationship Id="rId35" Type="http://schemas.openxmlformats.org/officeDocument/2006/relationships/hyperlink" Target="https://images.template.net/wp-content/uploads/2015/10/09212256/international-marketing-plan-template.pdf" TargetMode="External"/><Relationship Id="rId36" Type="http://schemas.openxmlformats.org/officeDocument/2006/relationships/hyperlink" Target="https://www.pearson.com/nl/en_NL/higher-education/subject-catalogue/marketing/hollensen-global-marketing-8e.html" TargetMode="External"/><Relationship Id="rId37" Type="http://schemas.openxmlformats.org/officeDocument/2006/relationships/hyperlink" Target="https://www.researchgate.net/publication/281803401_The_New_Strategic_Brand_Management" TargetMode="External"/><Relationship Id="rId38" Type="http://schemas.openxmlformats.org/officeDocument/2006/relationships/hyperlink" Target="https://archive.org/details/globalmarketing0000keeg_h8j2" TargetMode="External"/><Relationship Id="rId39" Type="http://schemas.openxmlformats.org/officeDocument/2006/relationships/hyperlink" Target="https://www.bcg.com/publications/1970/strategy-the-product-portfolio" TargetMode="External"/><Relationship Id="rId40" Type="http://schemas.openxmlformats.org/officeDocument/2006/relationships/hyperlink" Target="https://group.mercedes-benz.com/investors/reports-news/annual-reports/2023" TargetMode="External"/><Relationship Id="rId41" Type="http://schemas.openxmlformats.org/officeDocument/2006/relationships/hyperlink" Target="https://www.statista.com/forecasts/1327063/uae-luxury-car-sales/" TargetMode="External"/><Relationship Id="rId42" Type="http://schemas.openxmlformats.org/officeDocument/2006/relationships/hyperlink" Target="https://u.ae/en/about-the-uae/strategies-initiatives-and-awards/strategies-plans-and-visions/environment-and-energy/the-uae-net-zero-2050-strategy" TargetMode="External"/><Relationship Id="rId43" Type="http://schemas.openxmlformats.org/officeDocument/2006/relationships/hyperlink" Target="https://www.climatecasechart.com/document/deutsche-umwelthilfe-duh-v-mercedes-benz-ag_9bce" TargetMode="External"/><Relationship Id="rId44" Type="http://schemas.openxmlformats.org/officeDocument/2006/relationships/hyperlink" Target="https://www.researchgate.net/publication/369992963_The_Present_and_Future_of_the_Luxury-Sustainability_Paradox" TargetMode="External"/><Relationship Id="rId45" Type="http://schemas.openxmlformats.org/officeDocument/2006/relationships/hyperlink" Target="https://www.researchgate.net/publication/337964319_Barriers_and_drivers_to_sustainable_business_model_innovation_Organization_design_and_dynamic_capabilities" TargetMode="External"/><Relationship Id="rId46" Type="http://schemas.openxmlformats.org/officeDocument/2006/relationships/hyperlink" Target="https://onlinelibrary.wiley.com/doi/10.1002/bse.3188" TargetMode="External"/><Relationship Id="rId47" Type="http://schemas.openxmlformats.org/officeDocument/2006/relationships/hyperlink" Target="https://group.mercedes-benz.com/company/news/recycling-factory-kuppenheim.html" TargetMode="External"/><Relationship Id="rId48" Type="http://schemas.openxmlformats.org/officeDocument/2006/relationships/hyperlink" Target="https://media.mbusa.com/releases/release-4889b1d1c66cddc71207802037074cd5-mercedes-benz-usa-reports-2025-year-over-year-retail-sales-growth" TargetMode="External"/><Relationship Id="rId49" Type="http://schemas.openxmlformats.org/officeDocument/2006/relationships/hyperlink" Target="https://www.arabwheels.ae/blog/mercedes-benz-2025-annual-sales-report/" TargetMode="External"/><Relationship Id="rId50" Type="http://schemas.openxmlformats.org/officeDocument/2006/relationships/hyperlink" Target="https://www.routledge.com/The-Reflective-Practitioner-How-Professionals-Think-in-Action/Schon/p/book/9781857423198" TargetMode="External"/><Relationship Id="rId51" Type="http://schemas.openxmlformats.org/officeDocument/2006/relationships/hyperlink" Target="https://reflection.ed.ac.uk/reflectors-toolkit/reflecting-on-experience/gibbs-reflective-cycle" TargetMode="External"/><Relationship Id="rId52" Type="http://schemas.openxmlformats.org/officeDocument/2006/relationships/hyperlink" Target="https://group.mercedes-benz.com/company/works-council/" TargetMode="External"/><Relationship Id="rId53" Type="http://schemas.openxmlformats.org/officeDocument/2006/relationships/header" Target="header1.xml"/><Relationship Id="rId54" Type="http://schemas.openxmlformats.org/officeDocument/2006/relationships/header" Target="header2.xml"/><Relationship Id="rId55" Type="http://schemas.openxmlformats.org/officeDocument/2006/relationships/header" Target="header3.xml"/><Relationship Id="rId56" Type="http://schemas.openxmlformats.org/officeDocument/2006/relationships/footer" Target="footer1.xml"/><Relationship Id="rId57" Type="http://schemas.openxmlformats.org/officeDocument/2006/relationships/footer" Target="footer2.xml"/><Relationship Id="rId58" Type="http://schemas.openxmlformats.org/officeDocument/2006/relationships/footer" Target="footer3.xml"/><Relationship Id="rId59" Type="http://schemas.openxmlformats.org/officeDocument/2006/relationships/numbering" Target="numbering.xml"/><Relationship Id="rId60" Type="http://schemas.openxmlformats.org/officeDocument/2006/relationships/fontTable" Target="fontTable.xml"/><Relationship Id="rId61" Type="http://schemas.openxmlformats.org/officeDocument/2006/relationships/settings" Target="settings.xml"/><Relationship Id="rId62" Type="http://schemas.openxmlformats.org/officeDocument/2006/relationships/theme" Target="theme/theme1.xml"/>
</Relationships>
</file>

<file path=word/_rels/header2.xml.rels><?xml version="1.0" encoding="UTF-8"?>
<Relationships xmlns="http://schemas.openxmlformats.org/package/2006/relationships"><Relationship Id="rId1" Type="http://schemas.openxmlformats.org/officeDocument/2006/relationships/image" Target="media/image15.jpeg"/>
</Relationships>
</file>

<file path=word/_rels/header3.xml.rels><?xml version="1.0" encoding="UTF-8"?>
<Relationships xmlns="http://schemas.openxmlformats.org/package/2006/relationships"><Relationship Id="rId1" Type="http://schemas.openxmlformats.org/officeDocument/2006/relationships/image" Target="media/image15.jpeg"/>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
  <TotalTime>3495</TotalTime>
  <Application>LibreOffice/25.8.6.2$Linux_X86_64 LibreOffice_project/a46b460d1686bb49c718d2ef5f88b83ff2dc4981</Application>
  <AppVersion>15.0000</AppVersion>
  <Pages>29</Pages>
  <Words>5521</Words>
  <Characters>38292</Characters>
  <CharactersWithSpaces>43644</CharactersWithSpaces>
  <Paragraphs>226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2025-11-04T08:13:42Z</dcterms:created>
  <dc:creator>dasdi</dc:creator>
  <dc:description/>
  <dc:language>en-US</dc:language>
  <cp:lastModifiedBy/>
  <dcterms:modified xsi:type="dcterms:W3CDTF">2026-04-24T17:17:15Z</dcterms:modified>
  <cp:revision>517</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C9116E688BD948F5861709C88BB315E9_13</vt:lpwstr>
  </property>
  <property fmtid="{D5CDD505-2E9C-101B-9397-08002B2CF9AE}" pid="3" name="KSOProductBuildVer">
    <vt:lpwstr>1033-12.2.0.23155</vt:lpwstr>
  </property>
</Properties>
</file>