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Black" w:hAnsi="Arial Black"/>
          <w:sz w:val="52"/>
          <w:szCs w:val="52"/>
          <w:u w:val="thick"/>
        </w:rPr>
        <w:id w:val="492381920"/>
        <w:docPartObj>
          <w:docPartGallery w:val="Cover Pages"/>
          <w:docPartUnique/>
        </w:docPartObj>
      </w:sdtPr>
      <w:sdtEndPr>
        <w:rPr>
          <w:rFonts w:cs="Arial"/>
          <w:b/>
          <w:bCs/>
        </w:rPr>
      </w:sdtEndPr>
      <w:sdtContent>
        <w:p w14:paraId="45185160" w14:textId="77777777" w:rsidR="000D0547" w:rsidRDefault="000D0547" w:rsidP="00D94B08">
          <w:pPr>
            <w:ind w:left="720"/>
            <w:rPr>
              <w:rFonts w:ascii="Arial Black" w:hAnsi="Arial Black"/>
              <w:sz w:val="52"/>
              <w:szCs w:val="52"/>
              <w:u w:val="thick"/>
            </w:rPr>
          </w:pPr>
        </w:p>
        <w:p w14:paraId="1F69DF38" w14:textId="77777777" w:rsidR="000D0547" w:rsidRDefault="000D0547" w:rsidP="00D94B08">
          <w:pPr>
            <w:ind w:left="720"/>
            <w:rPr>
              <w:rFonts w:ascii="Arial Black" w:hAnsi="Arial Black"/>
              <w:sz w:val="52"/>
              <w:szCs w:val="52"/>
              <w:u w:val="thick"/>
            </w:rPr>
          </w:pPr>
        </w:p>
        <w:p w14:paraId="6BAA4334" w14:textId="50F69974" w:rsidR="00D94B08" w:rsidRPr="000D0547" w:rsidRDefault="00D94B08" w:rsidP="00D94B08">
          <w:pPr>
            <w:ind w:left="720"/>
            <w:rPr>
              <w:rFonts w:ascii="Arial Black" w:hAnsi="Arial Black"/>
              <w:sz w:val="52"/>
              <w:szCs w:val="52"/>
              <w:u w:val="thick"/>
            </w:rPr>
          </w:pPr>
          <w:r w:rsidRPr="000D0547">
            <w:rPr>
              <w:rFonts w:ascii="Arial Black" w:hAnsi="Arial Black"/>
              <w:sz w:val="52"/>
              <w:szCs w:val="52"/>
              <w:u w:val="thick"/>
            </w:rPr>
            <w:t>Student name:</w:t>
          </w:r>
          <w:r w:rsidRPr="000D0547">
            <w:rPr>
              <w:rFonts w:ascii="Arial Black" w:hAnsi="Arial Black"/>
              <w:sz w:val="52"/>
              <w:szCs w:val="52"/>
              <w:u w:val="thick"/>
            </w:rPr>
            <w:t xml:space="preserve"> Emanuel Lioca</w:t>
          </w:r>
        </w:p>
        <w:p w14:paraId="7DE1046B" w14:textId="478510A1" w:rsidR="00D94B08" w:rsidRPr="000D0547" w:rsidRDefault="00D94B08" w:rsidP="00D94B08">
          <w:pPr>
            <w:ind w:left="720"/>
            <w:rPr>
              <w:rFonts w:ascii="Arial Black" w:hAnsi="Arial Black"/>
              <w:sz w:val="52"/>
              <w:szCs w:val="52"/>
              <w:u w:val="thick"/>
            </w:rPr>
          </w:pPr>
          <w:r w:rsidRPr="000D0547">
            <w:rPr>
              <w:rFonts w:ascii="Arial Black" w:hAnsi="Arial Black"/>
              <w:sz w:val="52"/>
              <w:szCs w:val="52"/>
              <w:u w:val="thick"/>
            </w:rPr>
            <w:t>Programme:</w:t>
          </w:r>
          <w:r w:rsidRPr="000D0547">
            <w:rPr>
              <w:rFonts w:ascii="Arial Black" w:hAnsi="Arial Black"/>
              <w:sz w:val="52"/>
              <w:szCs w:val="52"/>
              <w:u w:val="thick"/>
            </w:rPr>
            <w:tab/>
            <w:t>BA/HND Business and Management</w:t>
          </w:r>
        </w:p>
        <w:p w14:paraId="3C7377AE" w14:textId="63DBEC76" w:rsidR="00D94B08" w:rsidRPr="000D0547" w:rsidRDefault="00D94B08" w:rsidP="00D94B08">
          <w:pPr>
            <w:ind w:left="720"/>
            <w:rPr>
              <w:rFonts w:ascii="Arial Black" w:hAnsi="Arial Black"/>
              <w:sz w:val="52"/>
              <w:szCs w:val="52"/>
              <w:u w:val="thick"/>
            </w:rPr>
          </w:pPr>
          <w:r w:rsidRPr="000D0547">
            <w:rPr>
              <w:rFonts w:ascii="Arial Black" w:hAnsi="Arial Black"/>
              <w:sz w:val="52"/>
              <w:szCs w:val="52"/>
              <w:u w:val="thick"/>
            </w:rPr>
            <w:t>Module:</w:t>
          </w:r>
          <w:r w:rsidRPr="000D0547">
            <w:rPr>
              <w:rFonts w:ascii="Arial Black" w:hAnsi="Arial Black"/>
              <w:sz w:val="52"/>
              <w:szCs w:val="52"/>
              <w:u w:val="thick"/>
            </w:rPr>
            <w:t xml:space="preserve"> </w:t>
          </w:r>
          <w:r w:rsidRPr="000D0547">
            <w:rPr>
              <w:rFonts w:ascii="Arial Black" w:hAnsi="Arial Black"/>
              <w:sz w:val="52"/>
              <w:szCs w:val="52"/>
              <w:u w:val="thick"/>
            </w:rPr>
            <w:t xml:space="preserve">Financial Management </w:t>
          </w:r>
          <w:r w:rsidRPr="000D0547">
            <w:rPr>
              <w:rFonts w:ascii="Arial Black" w:hAnsi="Arial Black"/>
              <w:sz w:val="52"/>
              <w:szCs w:val="52"/>
              <w:u w:val="thick"/>
            </w:rPr>
            <w:t>for</w:t>
          </w:r>
          <w:r w:rsidRPr="000D0547">
            <w:rPr>
              <w:rFonts w:ascii="Arial Black" w:hAnsi="Arial Black"/>
              <w:sz w:val="52"/>
              <w:szCs w:val="52"/>
              <w:u w:val="thick"/>
            </w:rPr>
            <w:t xml:space="preserve"> Business Sustainability</w:t>
          </w:r>
        </w:p>
        <w:p w14:paraId="34C31CF6" w14:textId="1D119DDE" w:rsidR="00D94B08" w:rsidRPr="000D0547" w:rsidRDefault="00D94B08" w:rsidP="00D94B08">
          <w:pPr>
            <w:ind w:left="720"/>
            <w:rPr>
              <w:rFonts w:ascii="Arial Black" w:hAnsi="Arial Black"/>
              <w:sz w:val="52"/>
              <w:szCs w:val="52"/>
              <w:u w:val="thick"/>
            </w:rPr>
          </w:pPr>
          <w:r w:rsidRPr="000D0547">
            <w:rPr>
              <w:rFonts w:ascii="Arial Black" w:hAnsi="Arial Black"/>
              <w:sz w:val="52"/>
              <w:szCs w:val="52"/>
              <w:u w:val="thick"/>
            </w:rPr>
            <w:t>Module code:</w:t>
          </w:r>
          <w:r w:rsidR="000D0547">
            <w:rPr>
              <w:rFonts w:ascii="Arial Black" w:hAnsi="Arial Black"/>
              <w:sz w:val="52"/>
              <w:szCs w:val="52"/>
              <w:u w:val="thick"/>
            </w:rPr>
            <w:t xml:space="preserve"> </w:t>
          </w:r>
          <w:r w:rsidRPr="000D0547">
            <w:rPr>
              <w:rFonts w:ascii="Arial Black" w:hAnsi="Arial Black"/>
              <w:sz w:val="52"/>
              <w:szCs w:val="52"/>
              <w:u w:val="thick"/>
            </w:rPr>
            <w:t>BMSP4011</w:t>
          </w:r>
        </w:p>
        <w:p w14:paraId="33D8C9D3" w14:textId="6A0E649D" w:rsidR="00D94B08" w:rsidRPr="000D0547" w:rsidRDefault="00D94B08" w:rsidP="00D94B08">
          <w:pPr>
            <w:ind w:left="720"/>
            <w:rPr>
              <w:rFonts w:ascii="Arial Black" w:hAnsi="Arial Black"/>
              <w:sz w:val="52"/>
              <w:szCs w:val="52"/>
              <w:u w:val="thick"/>
            </w:rPr>
          </w:pPr>
          <w:r w:rsidRPr="000D0547">
            <w:rPr>
              <w:rFonts w:ascii="Arial Black" w:hAnsi="Arial Black"/>
              <w:sz w:val="52"/>
              <w:szCs w:val="52"/>
              <w:u w:val="thick"/>
            </w:rPr>
            <w:t>Assignment Title:</w:t>
          </w:r>
          <w:r w:rsidRPr="000D0547">
            <w:rPr>
              <w:rFonts w:ascii="Arial Black" w:hAnsi="Arial Black"/>
              <w:sz w:val="52"/>
              <w:szCs w:val="52"/>
              <w:u w:val="thick"/>
            </w:rPr>
            <w:t xml:space="preserve"> </w:t>
          </w:r>
          <w:r w:rsidRPr="000D0547">
            <w:rPr>
              <w:rFonts w:ascii="Arial Black" w:hAnsi="Arial Black"/>
              <w:sz w:val="52"/>
              <w:szCs w:val="52"/>
              <w:u w:val="thick"/>
            </w:rPr>
            <w:t>Financial Analysis</w:t>
          </w:r>
        </w:p>
        <w:p w14:paraId="2E7C65DF" w14:textId="74875C4E" w:rsidR="00D94B08" w:rsidRPr="000D0547" w:rsidRDefault="00D94B08" w:rsidP="00D94B08">
          <w:pPr>
            <w:ind w:left="720"/>
            <w:rPr>
              <w:rFonts w:ascii="Arial Black" w:hAnsi="Arial Black" w:cs="Arial"/>
              <w:b/>
              <w:bCs/>
              <w:sz w:val="52"/>
              <w:szCs w:val="52"/>
              <w:u w:val="thick"/>
            </w:rPr>
          </w:pPr>
          <w:r w:rsidRPr="000D0547">
            <w:rPr>
              <w:rFonts w:ascii="Arial Black" w:hAnsi="Arial Black" w:cs="Arial"/>
              <w:b/>
              <w:bCs/>
              <w:sz w:val="52"/>
              <w:szCs w:val="52"/>
              <w:u w:val="thick"/>
            </w:rPr>
            <w:br w:type="page"/>
          </w:r>
        </w:p>
      </w:sdtContent>
    </w:sdt>
    <w:p w14:paraId="4CAE5878" w14:textId="0291CD44" w:rsidR="005428DD" w:rsidRPr="005428DD" w:rsidRDefault="005428DD" w:rsidP="005428DD">
      <w:pPr>
        <w:spacing w:line="480" w:lineRule="auto"/>
        <w:rPr>
          <w:rFonts w:ascii="Arial" w:hAnsi="Arial" w:cs="Arial"/>
          <w:b/>
          <w:bCs/>
        </w:rPr>
      </w:pPr>
      <w:r>
        <w:rPr>
          <w:rFonts w:ascii="Arial" w:hAnsi="Arial" w:cs="Arial"/>
          <w:b/>
          <w:bCs/>
        </w:rPr>
        <w:lastRenderedPageBreak/>
        <w:t>Business Overview</w:t>
      </w:r>
    </w:p>
    <w:p w14:paraId="6FA61C9C" w14:textId="0E9B429D" w:rsidR="005428DD" w:rsidRPr="005428DD" w:rsidRDefault="005428DD" w:rsidP="005428DD">
      <w:pPr>
        <w:spacing w:line="480" w:lineRule="auto"/>
        <w:rPr>
          <w:rFonts w:ascii="Arial" w:hAnsi="Arial" w:cs="Arial"/>
        </w:rPr>
      </w:pPr>
      <w:r w:rsidRPr="005428DD">
        <w:rPr>
          <w:rFonts w:ascii="Arial" w:hAnsi="Arial" w:cs="Arial"/>
        </w:rPr>
        <w:t>McDonald's Corporation is a globally operating company that publishes audited annual accounts and has a stable multi-year history of reporting results, making it a suitable firm for ratio analysis. Ratio analysis is an effective way to convert raw accounting figures into various forms of financial performance, including profitability, liquidity, efficiency and financial risk, which help readers analyse how well the business has performed (Hassan, 2018; Rashid, 2021; Olayinka, 2022). The analysis will use McDonald’s annual reports for 2024 and 2023 as the primary source of financial statement information. Additionally, McDonald’s 2025 10-K contains 2024 and 2023 figures as well as the prior year (2023) and prior to (2022) year comparative information. According to McDonald’s</w:t>
      </w:r>
      <w:r>
        <w:rPr>
          <w:rFonts w:ascii="Arial" w:hAnsi="Arial" w:cs="Arial"/>
        </w:rPr>
        <w:t>,</w:t>
      </w:r>
      <w:r w:rsidRPr="005428DD">
        <w:rPr>
          <w:rFonts w:ascii="Arial" w:hAnsi="Arial" w:cs="Arial"/>
        </w:rPr>
        <w:t xml:space="preserve"> the revenue from operations was equal to $25,920 million during 2024 as compared with $25,494 million during 2023; the operating profit was $11,712 million and $11,647 million</w:t>
      </w:r>
      <w:r>
        <w:rPr>
          <w:rFonts w:ascii="Arial" w:hAnsi="Arial" w:cs="Arial"/>
        </w:rPr>
        <w:t>,</w:t>
      </w:r>
      <w:r w:rsidRPr="005428DD">
        <w:rPr>
          <w:rFonts w:ascii="Arial" w:hAnsi="Arial" w:cs="Arial"/>
        </w:rPr>
        <w:t xml:space="preserve"> respectively; and the net profit was $8,223 million and $8,469 million</w:t>
      </w:r>
      <w:r>
        <w:rPr>
          <w:rFonts w:ascii="Arial" w:hAnsi="Arial" w:cs="Arial"/>
        </w:rPr>
        <w:t>,</w:t>
      </w:r>
      <w:r w:rsidRPr="005428DD">
        <w:rPr>
          <w:rFonts w:ascii="Arial" w:hAnsi="Arial" w:cs="Arial"/>
        </w:rPr>
        <w:t xml:space="preserve"> respectively. In addition, McDonald’s total assets were $55,182 million and $56,147 million in 2024 and 2023</w:t>
      </w:r>
      <w:r>
        <w:rPr>
          <w:rFonts w:ascii="Arial" w:hAnsi="Arial" w:cs="Arial"/>
        </w:rPr>
        <w:t>,</w:t>
      </w:r>
      <w:r w:rsidRPr="005428DD">
        <w:rPr>
          <w:rFonts w:ascii="Arial" w:hAnsi="Arial" w:cs="Arial"/>
        </w:rPr>
        <w:t xml:space="preserve"> respectively; while current assets were $4,599 million and $7,986 million</w:t>
      </w:r>
      <w:r>
        <w:rPr>
          <w:rFonts w:ascii="Arial" w:hAnsi="Arial" w:cs="Arial"/>
        </w:rPr>
        <w:t>,</w:t>
      </w:r>
      <w:r w:rsidRPr="005428DD">
        <w:rPr>
          <w:rFonts w:ascii="Arial" w:hAnsi="Arial" w:cs="Arial"/>
        </w:rPr>
        <w:t xml:space="preserve"> respectively; and current liabilities were equal to $3,861 million and $6,859 million in 2024 and 2023</w:t>
      </w:r>
      <w:r>
        <w:rPr>
          <w:rFonts w:ascii="Arial" w:hAnsi="Arial" w:cs="Arial"/>
        </w:rPr>
        <w:t>,</w:t>
      </w:r>
      <w:r w:rsidRPr="005428DD">
        <w:rPr>
          <w:rFonts w:ascii="Arial" w:hAnsi="Arial" w:cs="Arial"/>
        </w:rPr>
        <w:t xml:space="preserve"> respectively.</w:t>
      </w:r>
    </w:p>
    <w:p w14:paraId="52A48694" w14:textId="77777777" w:rsidR="005428DD" w:rsidRPr="005428DD" w:rsidRDefault="005428DD" w:rsidP="005428DD">
      <w:pPr>
        <w:spacing w:line="480" w:lineRule="auto"/>
        <w:rPr>
          <w:rFonts w:ascii="Arial" w:hAnsi="Arial" w:cs="Arial"/>
        </w:rPr>
      </w:pPr>
    </w:p>
    <w:p w14:paraId="69C95842" w14:textId="77777777" w:rsidR="005428DD" w:rsidRDefault="005428DD" w:rsidP="005428DD">
      <w:pPr>
        <w:spacing w:line="480" w:lineRule="auto"/>
        <w:rPr>
          <w:rFonts w:ascii="Arial" w:hAnsi="Arial" w:cs="Arial"/>
        </w:rPr>
      </w:pPr>
    </w:p>
    <w:p w14:paraId="35A97E1E" w14:textId="77777777" w:rsidR="005428DD" w:rsidRDefault="005428DD" w:rsidP="005428DD">
      <w:pPr>
        <w:spacing w:line="480" w:lineRule="auto"/>
        <w:rPr>
          <w:rFonts w:ascii="Arial" w:hAnsi="Arial" w:cs="Arial"/>
        </w:rPr>
      </w:pPr>
    </w:p>
    <w:p w14:paraId="466FAF0F" w14:textId="77777777" w:rsidR="005428DD" w:rsidRDefault="005428DD" w:rsidP="005428DD">
      <w:pPr>
        <w:spacing w:line="480" w:lineRule="auto"/>
        <w:rPr>
          <w:rFonts w:ascii="Arial" w:hAnsi="Arial" w:cs="Arial"/>
        </w:rPr>
      </w:pPr>
    </w:p>
    <w:p w14:paraId="030783B6" w14:textId="77777777" w:rsidR="005428DD" w:rsidRDefault="005428DD" w:rsidP="005428DD">
      <w:pPr>
        <w:spacing w:line="480" w:lineRule="auto"/>
        <w:rPr>
          <w:rFonts w:ascii="Arial" w:hAnsi="Arial" w:cs="Arial"/>
        </w:rPr>
      </w:pPr>
    </w:p>
    <w:p w14:paraId="0CCBC9FD" w14:textId="459BBF52" w:rsidR="005428DD" w:rsidRPr="005428DD" w:rsidRDefault="005428DD" w:rsidP="005428DD">
      <w:pPr>
        <w:spacing w:line="480" w:lineRule="auto"/>
        <w:rPr>
          <w:rFonts w:ascii="Arial" w:hAnsi="Arial" w:cs="Arial"/>
          <w:b/>
          <w:bCs/>
        </w:rPr>
      </w:pPr>
      <w:r w:rsidRPr="005428DD">
        <w:rPr>
          <w:rFonts w:ascii="Arial" w:hAnsi="Arial" w:cs="Arial"/>
          <w:b/>
          <w:bCs/>
        </w:rPr>
        <w:lastRenderedPageBreak/>
        <w:t>Ratio Calculation</w:t>
      </w:r>
    </w:p>
    <w:p w14:paraId="774F14D5" w14:textId="77777777" w:rsidR="005428DD" w:rsidRPr="005428DD" w:rsidRDefault="005428DD" w:rsidP="005428DD">
      <w:pPr>
        <w:spacing w:line="480" w:lineRule="auto"/>
        <w:rPr>
          <w:rFonts w:ascii="Arial" w:hAnsi="Arial" w:cs="Arial"/>
          <w:b/>
          <w:bCs/>
        </w:rPr>
      </w:pPr>
      <w:r w:rsidRPr="005428DD">
        <w:rPr>
          <w:rFonts w:ascii="Arial" w:hAnsi="Arial" w:cs="Arial"/>
          <w:b/>
          <w:bCs/>
        </w:rPr>
        <w:t>Operating profit margin</w:t>
      </w:r>
    </w:p>
    <w:p w14:paraId="2FDF16C8" w14:textId="77777777" w:rsidR="005428DD" w:rsidRPr="005428DD" w:rsidRDefault="005428DD" w:rsidP="005428DD">
      <w:pPr>
        <w:spacing w:line="480" w:lineRule="auto"/>
        <w:rPr>
          <w:rFonts w:ascii="Arial" w:hAnsi="Arial" w:cs="Arial"/>
          <w:b/>
          <w:bCs/>
          <w:color w:val="4C94D8" w:themeColor="text2" w:themeTint="80"/>
        </w:rPr>
      </w:pPr>
      <w:r w:rsidRPr="005428DD">
        <w:rPr>
          <w:rFonts w:ascii="Arial" w:hAnsi="Arial" w:cs="Arial"/>
          <w:b/>
          <w:bCs/>
          <w:color w:val="4C94D8" w:themeColor="text2" w:themeTint="80"/>
        </w:rPr>
        <w:t>Formula = Operating Profit/Revenue × 100</w:t>
      </w:r>
    </w:p>
    <w:p w14:paraId="080CAC24" w14:textId="77777777" w:rsidR="005428DD" w:rsidRPr="005428DD" w:rsidRDefault="005428DD" w:rsidP="005428DD">
      <w:pPr>
        <w:spacing w:line="480" w:lineRule="auto"/>
        <w:rPr>
          <w:rFonts w:ascii="Arial" w:hAnsi="Arial" w:cs="Arial"/>
        </w:rPr>
      </w:pPr>
      <w:r w:rsidRPr="005428DD">
        <w:rPr>
          <w:rFonts w:ascii="Arial" w:hAnsi="Arial" w:cs="Arial"/>
        </w:rPr>
        <w:t>2024: 11,712/25,920 × 100 = 45.2%</w:t>
      </w:r>
    </w:p>
    <w:p w14:paraId="6934918E" w14:textId="77777777" w:rsidR="005428DD" w:rsidRPr="005428DD" w:rsidRDefault="005428DD" w:rsidP="005428DD">
      <w:pPr>
        <w:spacing w:line="480" w:lineRule="auto"/>
        <w:rPr>
          <w:rFonts w:ascii="Arial" w:hAnsi="Arial" w:cs="Arial"/>
        </w:rPr>
      </w:pPr>
      <w:r w:rsidRPr="005428DD">
        <w:rPr>
          <w:rFonts w:ascii="Arial" w:hAnsi="Arial" w:cs="Arial"/>
        </w:rPr>
        <w:t>2023: 11,647/25,494 × 100 = 45.7%</w:t>
      </w:r>
    </w:p>
    <w:p w14:paraId="22BB7ABE" w14:textId="77777777" w:rsidR="005428DD" w:rsidRPr="005428DD" w:rsidRDefault="005428DD" w:rsidP="005428DD">
      <w:pPr>
        <w:spacing w:line="480" w:lineRule="auto"/>
        <w:rPr>
          <w:rFonts w:ascii="Arial" w:hAnsi="Arial" w:cs="Arial"/>
          <w:b/>
          <w:bCs/>
        </w:rPr>
      </w:pPr>
      <w:r w:rsidRPr="005428DD">
        <w:rPr>
          <w:rFonts w:ascii="Arial" w:hAnsi="Arial" w:cs="Arial"/>
          <w:b/>
          <w:bCs/>
        </w:rPr>
        <w:t>Net profit margin</w:t>
      </w:r>
    </w:p>
    <w:p w14:paraId="0D608A44" w14:textId="77777777" w:rsidR="005428DD" w:rsidRPr="005428DD" w:rsidRDefault="005428DD" w:rsidP="005428DD">
      <w:pPr>
        <w:spacing w:line="480" w:lineRule="auto"/>
        <w:rPr>
          <w:rFonts w:ascii="Arial" w:hAnsi="Arial" w:cs="Arial"/>
          <w:b/>
          <w:bCs/>
          <w:color w:val="4C94D8" w:themeColor="text2" w:themeTint="80"/>
        </w:rPr>
      </w:pPr>
      <w:r w:rsidRPr="005428DD">
        <w:rPr>
          <w:rFonts w:ascii="Arial" w:hAnsi="Arial" w:cs="Arial"/>
          <w:b/>
          <w:bCs/>
          <w:color w:val="4C94D8" w:themeColor="text2" w:themeTint="80"/>
        </w:rPr>
        <w:t>Formula = Net Profit/Revenue × 100</w:t>
      </w:r>
    </w:p>
    <w:p w14:paraId="16AB5036" w14:textId="77777777" w:rsidR="005428DD" w:rsidRPr="005428DD" w:rsidRDefault="005428DD" w:rsidP="005428DD">
      <w:pPr>
        <w:spacing w:line="480" w:lineRule="auto"/>
        <w:rPr>
          <w:rFonts w:ascii="Arial" w:hAnsi="Arial" w:cs="Arial"/>
        </w:rPr>
      </w:pPr>
      <w:r w:rsidRPr="005428DD">
        <w:rPr>
          <w:rFonts w:ascii="Arial" w:hAnsi="Arial" w:cs="Arial"/>
        </w:rPr>
        <w:t>2024: 8,223/25,920 × 100 = 31.7%</w:t>
      </w:r>
    </w:p>
    <w:p w14:paraId="4530E3EF" w14:textId="768D8570" w:rsidR="005428DD" w:rsidRPr="005428DD" w:rsidRDefault="005428DD" w:rsidP="005428DD">
      <w:pPr>
        <w:spacing w:line="480" w:lineRule="auto"/>
        <w:rPr>
          <w:rFonts w:ascii="Arial" w:hAnsi="Arial" w:cs="Arial"/>
        </w:rPr>
      </w:pPr>
      <w:r w:rsidRPr="005428DD">
        <w:rPr>
          <w:rFonts w:ascii="Arial" w:hAnsi="Arial" w:cs="Arial"/>
        </w:rPr>
        <w:t>2023: 8,469/25,494 × 100 = 33.2%</w:t>
      </w:r>
    </w:p>
    <w:p w14:paraId="15413B13" w14:textId="2E450B48" w:rsidR="005428DD" w:rsidRPr="005428DD" w:rsidRDefault="005428DD" w:rsidP="005428DD">
      <w:pPr>
        <w:spacing w:line="480" w:lineRule="auto"/>
        <w:rPr>
          <w:rFonts w:ascii="Arial" w:hAnsi="Arial" w:cs="Arial"/>
          <w:b/>
          <w:bCs/>
        </w:rPr>
      </w:pPr>
      <w:r w:rsidRPr="005428DD">
        <w:rPr>
          <w:rFonts w:ascii="Arial" w:hAnsi="Arial" w:cs="Arial"/>
          <w:b/>
          <w:bCs/>
        </w:rPr>
        <w:t xml:space="preserve">Return on assets </w:t>
      </w:r>
    </w:p>
    <w:p w14:paraId="0283FAC8" w14:textId="4EA4F9C0" w:rsidR="005428DD" w:rsidRDefault="005428DD" w:rsidP="005428DD">
      <w:pPr>
        <w:spacing w:line="480" w:lineRule="auto"/>
        <w:rPr>
          <w:rFonts w:ascii="Arial" w:hAnsi="Arial" w:cs="Arial"/>
        </w:rPr>
      </w:pPr>
      <w:r w:rsidRPr="005428DD">
        <w:rPr>
          <w:rFonts w:ascii="Arial" w:hAnsi="Arial" w:cs="Arial"/>
        </w:rPr>
        <w:t>In 2024, ROA was calculated to be 14.9%.</w:t>
      </w:r>
    </w:p>
    <w:p w14:paraId="2B00F93F" w14:textId="0B69D5F1" w:rsidR="005428DD" w:rsidRPr="005428DD" w:rsidRDefault="005428DD" w:rsidP="005428DD">
      <w:pPr>
        <w:spacing w:line="480" w:lineRule="auto"/>
        <w:rPr>
          <w:rFonts w:ascii="Arial" w:hAnsi="Arial" w:cs="Arial"/>
        </w:rPr>
      </w:pPr>
      <w:r w:rsidRPr="005428DD">
        <w:rPr>
          <w:rFonts w:ascii="Arial" w:hAnsi="Arial" w:cs="Arial"/>
        </w:rPr>
        <w:t>8,223</w:t>
      </w:r>
      <w:r>
        <w:rPr>
          <w:rFonts w:ascii="Arial" w:hAnsi="Arial" w:cs="Arial"/>
        </w:rPr>
        <w:t>/</w:t>
      </w:r>
      <w:r w:rsidRPr="005428DD">
        <w:rPr>
          <w:rFonts w:ascii="Arial" w:hAnsi="Arial" w:cs="Arial"/>
        </w:rPr>
        <w:t xml:space="preserve">55,182 </w:t>
      </w:r>
      <w:r>
        <w:rPr>
          <w:rFonts w:ascii="Arial" w:hAnsi="Arial" w:cs="Arial"/>
        </w:rPr>
        <w:t>x 100</w:t>
      </w:r>
      <w:r w:rsidRPr="005428DD">
        <w:rPr>
          <w:rFonts w:ascii="Arial" w:hAnsi="Arial" w:cs="Arial"/>
        </w:rPr>
        <w:t xml:space="preserve"> </w:t>
      </w:r>
      <w:r>
        <w:rPr>
          <w:rFonts w:ascii="Arial" w:hAnsi="Arial" w:cs="Arial"/>
        </w:rPr>
        <w:t>= 14.9%</w:t>
      </w:r>
    </w:p>
    <w:p w14:paraId="403739E9" w14:textId="32FCCF77" w:rsidR="005428DD" w:rsidRDefault="005428DD" w:rsidP="005428DD">
      <w:pPr>
        <w:spacing w:line="480" w:lineRule="auto"/>
        <w:rPr>
          <w:rFonts w:ascii="Arial" w:hAnsi="Arial" w:cs="Arial"/>
        </w:rPr>
      </w:pPr>
      <w:r w:rsidRPr="005428DD">
        <w:rPr>
          <w:rFonts w:ascii="Arial" w:hAnsi="Arial" w:cs="Arial"/>
        </w:rPr>
        <w:t>In 2023, ROA was calculated to be 15.1%.</w:t>
      </w:r>
    </w:p>
    <w:p w14:paraId="5F4791C0" w14:textId="3352D21E" w:rsidR="005428DD" w:rsidRPr="005428DD" w:rsidRDefault="005428DD" w:rsidP="005428DD">
      <w:pPr>
        <w:spacing w:line="480" w:lineRule="auto"/>
        <w:rPr>
          <w:rFonts w:ascii="Arial" w:hAnsi="Arial" w:cs="Arial"/>
        </w:rPr>
      </w:pPr>
      <w:r w:rsidRPr="005428DD">
        <w:rPr>
          <w:rFonts w:ascii="Arial" w:hAnsi="Arial" w:cs="Arial"/>
        </w:rPr>
        <w:t>8,469</w:t>
      </w:r>
      <w:r>
        <w:rPr>
          <w:rFonts w:ascii="Arial" w:hAnsi="Arial" w:cs="Arial"/>
        </w:rPr>
        <w:t>/</w:t>
      </w:r>
      <w:r w:rsidRPr="005428DD">
        <w:rPr>
          <w:rFonts w:ascii="Arial" w:hAnsi="Arial" w:cs="Arial"/>
        </w:rPr>
        <w:t>56,147</w:t>
      </w:r>
      <w:r>
        <w:rPr>
          <w:rFonts w:ascii="Arial" w:hAnsi="Arial" w:cs="Arial"/>
        </w:rPr>
        <w:t xml:space="preserve"> x </w:t>
      </w:r>
      <w:r w:rsidRPr="005428DD">
        <w:rPr>
          <w:rFonts w:ascii="Arial" w:hAnsi="Arial" w:cs="Arial"/>
        </w:rPr>
        <w:t xml:space="preserve">100 </w:t>
      </w:r>
      <w:r>
        <w:rPr>
          <w:rFonts w:ascii="Arial" w:hAnsi="Arial" w:cs="Arial"/>
        </w:rPr>
        <w:t>= 15.1%</w:t>
      </w:r>
    </w:p>
    <w:p w14:paraId="4B444D3C" w14:textId="35F491EB" w:rsidR="005428DD" w:rsidRPr="005428DD" w:rsidRDefault="005428DD" w:rsidP="005428DD">
      <w:pPr>
        <w:spacing w:line="480" w:lineRule="auto"/>
        <w:rPr>
          <w:rFonts w:ascii="Arial" w:hAnsi="Arial" w:cs="Arial"/>
          <w:b/>
          <w:bCs/>
        </w:rPr>
      </w:pPr>
      <w:r w:rsidRPr="005428DD">
        <w:rPr>
          <w:rFonts w:ascii="Arial" w:hAnsi="Arial" w:cs="Arial"/>
          <w:b/>
          <w:bCs/>
        </w:rPr>
        <w:t>C</w:t>
      </w:r>
      <w:r w:rsidRPr="005428DD">
        <w:rPr>
          <w:rFonts w:ascii="Arial" w:hAnsi="Arial" w:cs="Arial"/>
          <w:b/>
          <w:bCs/>
        </w:rPr>
        <w:t xml:space="preserve">urrent ratio </w:t>
      </w:r>
    </w:p>
    <w:p w14:paraId="1D3B9A43" w14:textId="7EB156FB" w:rsidR="005428DD" w:rsidRDefault="005428DD" w:rsidP="005428DD">
      <w:pPr>
        <w:spacing w:line="480" w:lineRule="auto"/>
        <w:rPr>
          <w:rFonts w:ascii="Arial" w:hAnsi="Arial" w:cs="Arial"/>
        </w:rPr>
      </w:pPr>
      <w:r w:rsidRPr="005428DD">
        <w:rPr>
          <w:rFonts w:ascii="Arial" w:hAnsi="Arial" w:cs="Arial"/>
        </w:rPr>
        <w:t>In 2024, the current ratio is c</w:t>
      </w:r>
      <w:r w:rsidR="00E1503A">
        <w:rPr>
          <w:rFonts w:ascii="Arial" w:hAnsi="Arial" w:cs="Arial"/>
        </w:rPr>
        <w:t>alculated</w:t>
      </w:r>
      <w:r w:rsidRPr="005428DD">
        <w:rPr>
          <w:rFonts w:ascii="Arial" w:hAnsi="Arial" w:cs="Arial"/>
        </w:rPr>
        <w:t xml:space="preserve"> to be </w:t>
      </w:r>
      <w:r w:rsidR="00E1503A">
        <w:rPr>
          <w:rFonts w:ascii="Arial" w:hAnsi="Arial" w:cs="Arial"/>
        </w:rPr>
        <w:t>1.19:1.</w:t>
      </w:r>
    </w:p>
    <w:p w14:paraId="0B85E5C2" w14:textId="53F5FBC5" w:rsidR="00E1503A" w:rsidRPr="005428DD" w:rsidRDefault="00E1503A" w:rsidP="005428DD">
      <w:pPr>
        <w:spacing w:line="480" w:lineRule="auto"/>
        <w:rPr>
          <w:rFonts w:ascii="Arial" w:hAnsi="Arial" w:cs="Arial"/>
        </w:rPr>
      </w:pPr>
      <w:r w:rsidRPr="00E1503A">
        <w:rPr>
          <w:rFonts w:ascii="Arial" w:hAnsi="Arial" w:cs="Arial"/>
        </w:rPr>
        <w:t>4,599</w:t>
      </w:r>
      <w:r>
        <w:rPr>
          <w:rFonts w:ascii="Arial" w:hAnsi="Arial" w:cs="Arial"/>
        </w:rPr>
        <w:t>/</w:t>
      </w:r>
      <w:r w:rsidRPr="00E1503A">
        <w:rPr>
          <w:rFonts w:ascii="Arial" w:hAnsi="Arial" w:cs="Arial"/>
        </w:rPr>
        <w:t>3,861</w:t>
      </w:r>
      <w:r>
        <w:rPr>
          <w:rFonts w:ascii="Arial" w:hAnsi="Arial" w:cs="Arial"/>
        </w:rPr>
        <w:t>=</w:t>
      </w:r>
      <w:r w:rsidRPr="00E1503A">
        <w:rPr>
          <w:rFonts w:ascii="Arial" w:hAnsi="Arial" w:cs="Arial"/>
        </w:rPr>
        <w:t xml:space="preserve"> </w:t>
      </w:r>
      <w:r>
        <w:rPr>
          <w:rFonts w:ascii="Arial" w:hAnsi="Arial" w:cs="Arial"/>
        </w:rPr>
        <w:t>1</w:t>
      </w:r>
      <w:r w:rsidRPr="00E1503A">
        <w:rPr>
          <w:rFonts w:ascii="Arial" w:hAnsi="Arial" w:cs="Arial"/>
        </w:rPr>
        <w:t>.19:1</w:t>
      </w:r>
    </w:p>
    <w:p w14:paraId="1299C253" w14:textId="0B78CE60" w:rsidR="005428DD" w:rsidRDefault="005428DD" w:rsidP="005428DD">
      <w:pPr>
        <w:spacing w:line="480" w:lineRule="auto"/>
        <w:rPr>
          <w:rFonts w:ascii="Arial" w:hAnsi="Arial" w:cs="Arial"/>
        </w:rPr>
      </w:pPr>
      <w:r w:rsidRPr="005428DD">
        <w:rPr>
          <w:rFonts w:ascii="Arial" w:hAnsi="Arial" w:cs="Arial"/>
        </w:rPr>
        <w:t>In 2023, current ratio equals 1.16:1.</w:t>
      </w:r>
    </w:p>
    <w:p w14:paraId="2009F1A7" w14:textId="1522D064" w:rsidR="00E1503A" w:rsidRPr="005428DD" w:rsidRDefault="00E1503A" w:rsidP="005428DD">
      <w:pPr>
        <w:spacing w:line="480" w:lineRule="auto"/>
        <w:rPr>
          <w:rFonts w:ascii="Arial" w:hAnsi="Arial" w:cs="Arial"/>
        </w:rPr>
      </w:pPr>
      <w:r w:rsidRPr="00E1503A">
        <w:rPr>
          <w:rFonts w:ascii="Arial" w:hAnsi="Arial" w:cs="Arial"/>
        </w:rPr>
        <w:t>7,986</w:t>
      </w:r>
      <w:r>
        <w:rPr>
          <w:rFonts w:ascii="Arial" w:hAnsi="Arial" w:cs="Arial"/>
        </w:rPr>
        <w:t>/</w:t>
      </w:r>
      <w:r w:rsidRPr="00E1503A">
        <w:rPr>
          <w:rFonts w:ascii="Arial" w:hAnsi="Arial" w:cs="Arial"/>
        </w:rPr>
        <w:t xml:space="preserve">6,859 </w:t>
      </w:r>
      <w:r>
        <w:rPr>
          <w:rFonts w:ascii="Arial" w:hAnsi="Arial" w:cs="Arial"/>
        </w:rPr>
        <w:t>=1.16</w:t>
      </w:r>
      <w:r w:rsidRPr="00E1503A">
        <w:rPr>
          <w:rFonts w:ascii="Arial" w:hAnsi="Arial" w:cs="Arial"/>
        </w:rPr>
        <w:t xml:space="preserve"> </w:t>
      </w:r>
    </w:p>
    <w:p w14:paraId="2FC0B6A8" w14:textId="77777777" w:rsidR="005428DD" w:rsidRPr="005428DD" w:rsidRDefault="005428DD" w:rsidP="005428DD">
      <w:pPr>
        <w:spacing w:line="480" w:lineRule="auto"/>
        <w:rPr>
          <w:rFonts w:ascii="Arial" w:hAnsi="Arial" w:cs="Arial"/>
        </w:rPr>
      </w:pPr>
    </w:p>
    <w:p w14:paraId="0F2C0FF8" w14:textId="73A1378F" w:rsidR="005428DD" w:rsidRPr="00E1503A" w:rsidRDefault="005428DD" w:rsidP="005428DD">
      <w:pPr>
        <w:spacing w:line="480" w:lineRule="auto"/>
        <w:rPr>
          <w:rFonts w:ascii="Arial" w:hAnsi="Arial" w:cs="Arial"/>
          <w:b/>
          <w:bCs/>
        </w:rPr>
      </w:pPr>
      <w:r w:rsidRPr="00E1503A">
        <w:rPr>
          <w:rFonts w:ascii="Arial" w:hAnsi="Arial" w:cs="Arial"/>
          <w:b/>
          <w:bCs/>
        </w:rPr>
        <w:lastRenderedPageBreak/>
        <w:t xml:space="preserve">Asset turnover </w:t>
      </w:r>
    </w:p>
    <w:p w14:paraId="1E97F61C" w14:textId="77777777" w:rsidR="00E1503A" w:rsidRDefault="005428DD" w:rsidP="005428DD">
      <w:pPr>
        <w:spacing w:line="480" w:lineRule="auto"/>
        <w:rPr>
          <w:rFonts w:ascii="Arial" w:hAnsi="Arial" w:cs="Arial"/>
        </w:rPr>
      </w:pPr>
      <w:r w:rsidRPr="005428DD">
        <w:rPr>
          <w:rFonts w:ascii="Arial" w:hAnsi="Arial" w:cs="Arial"/>
        </w:rPr>
        <w:t xml:space="preserve">The asset turnover ratio for </w:t>
      </w:r>
      <w:r w:rsidR="00E1503A">
        <w:rPr>
          <w:rFonts w:ascii="Arial" w:hAnsi="Arial" w:cs="Arial"/>
        </w:rPr>
        <w:t xml:space="preserve">the </w:t>
      </w:r>
      <w:r w:rsidRPr="005428DD">
        <w:rPr>
          <w:rFonts w:ascii="Arial" w:hAnsi="Arial" w:cs="Arial"/>
        </w:rPr>
        <w:t xml:space="preserve">years ending 2024 and 2023 </w:t>
      </w:r>
      <w:r w:rsidR="00E1503A">
        <w:rPr>
          <w:rFonts w:ascii="Arial" w:hAnsi="Arial" w:cs="Arial"/>
        </w:rPr>
        <w:t>was</w:t>
      </w:r>
      <w:r w:rsidRPr="005428DD">
        <w:rPr>
          <w:rFonts w:ascii="Arial" w:hAnsi="Arial" w:cs="Arial"/>
        </w:rPr>
        <w:t xml:space="preserve"> c</w:t>
      </w:r>
      <w:r w:rsidR="00E1503A">
        <w:rPr>
          <w:rFonts w:ascii="Arial" w:hAnsi="Arial" w:cs="Arial"/>
        </w:rPr>
        <w:t>alculated</w:t>
      </w:r>
      <w:r w:rsidRPr="005428DD">
        <w:rPr>
          <w:rFonts w:ascii="Arial" w:hAnsi="Arial" w:cs="Arial"/>
        </w:rPr>
        <w:t xml:space="preserve"> as follows</w:t>
      </w:r>
      <w:r w:rsidR="00E1503A">
        <w:rPr>
          <w:rFonts w:ascii="Arial" w:hAnsi="Arial" w:cs="Arial"/>
        </w:rPr>
        <w:t>:</w:t>
      </w:r>
      <w:r w:rsidRPr="005428DD">
        <w:rPr>
          <w:rFonts w:ascii="Arial" w:hAnsi="Arial" w:cs="Arial"/>
        </w:rPr>
        <w:t xml:space="preserve"> </w:t>
      </w:r>
    </w:p>
    <w:p w14:paraId="3F5ECB7B" w14:textId="77777777" w:rsidR="00E1503A" w:rsidRDefault="005428DD" w:rsidP="005428DD">
      <w:pPr>
        <w:spacing w:line="480" w:lineRule="auto"/>
        <w:rPr>
          <w:rFonts w:ascii="Arial" w:hAnsi="Arial" w:cs="Arial"/>
        </w:rPr>
      </w:pPr>
      <w:r w:rsidRPr="005428DD">
        <w:rPr>
          <w:rFonts w:ascii="Arial" w:hAnsi="Arial" w:cs="Arial"/>
        </w:rPr>
        <w:t>25,920</w:t>
      </w:r>
      <w:r w:rsidR="00E1503A">
        <w:rPr>
          <w:rFonts w:ascii="Arial" w:hAnsi="Arial" w:cs="Arial"/>
        </w:rPr>
        <w:t>/</w:t>
      </w:r>
      <w:r w:rsidRPr="005428DD">
        <w:rPr>
          <w:rFonts w:ascii="Arial" w:hAnsi="Arial" w:cs="Arial"/>
        </w:rPr>
        <w:t xml:space="preserve">55,182 </w:t>
      </w:r>
      <w:r w:rsidR="00E1503A">
        <w:rPr>
          <w:rFonts w:ascii="Arial" w:hAnsi="Arial" w:cs="Arial"/>
        </w:rPr>
        <w:t xml:space="preserve">= </w:t>
      </w:r>
      <w:r w:rsidRPr="005428DD">
        <w:rPr>
          <w:rFonts w:ascii="Arial" w:hAnsi="Arial" w:cs="Arial"/>
        </w:rPr>
        <w:t xml:space="preserve">0.47:1 (2024) </w:t>
      </w:r>
    </w:p>
    <w:p w14:paraId="0559BB79" w14:textId="2B57FA91" w:rsidR="005428DD" w:rsidRPr="005428DD" w:rsidRDefault="005428DD" w:rsidP="005428DD">
      <w:pPr>
        <w:spacing w:line="480" w:lineRule="auto"/>
        <w:rPr>
          <w:rFonts w:ascii="Arial" w:hAnsi="Arial" w:cs="Arial"/>
        </w:rPr>
      </w:pPr>
      <w:r w:rsidRPr="005428DD">
        <w:rPr>
          <w:rFonts w:ascii="Arial" w:hAnsi="Arial" w:cs="Arial"/>
        </w:rPr>
        <w:t>25,494</w:t>
      </w:r>
      <w:r w:rsidR="00E1503A">
        <w:rPr>
          <w:rFonts w:ascii="Arial" w:hAnsi="Arial" w:cs="Arial"/>
        </w:rPr>
        <w:t>/</w:t>
      </w:r>
      <w:r w:rsidRPr="005428DD">
        <w:rPr>
          <w:rFonts w:ascii="Arial" w:hAnsi="Arial" w:cs="Arial"/>
        </w:rPr>
        <w:t>56,147</w:t>
      </w:r>
      <w:r w:rsidR="00E1503A">
        <w:rPr>
          <w:rFonts w:ascii="Arial" w:hAnsi="Arial" w:cs="Arial"/>
        </w:rPr>
        <w:t xml:space="preserve"> = </w:t>
      </w:r>
      <w:r w:rsidRPr="005428DD">
        <w:rPr>
          <w:rFonts w:ascii="Arial" w:hAnsi="Arial" w:cs="Arial"/>
        </w:rPr>
        <w:t>0.45:1 (2023)</w:t>
      </w:r>
    </w:p>
    <w:p w14:paraId="1B6CF08F" w14:textId="5397AABB" w:rsidR="005428DD" w:rsidRPr="005428DD" w:rsidRDefault="005428DD" w:rsidP="005428DD">
      <w:pPr>
        <w:spacing w:line="480" w:lineRule="auto"/>
        <w:rPr>
          <w:rFonts w:ascii="Arial" w:hAnsi="Arial" w:cs="Arial"/>
        </w:rPr>
      </w:pPr>
      <w:r w:rsidRPr="005428DD">
        <w:rPr>
          <w:rFonts w:ascii="Arial" w:hAnsi="Arial" w:cs="Arial"/>
        </w:rPr>
        <w:t xml:space="preserve">Interest coverage ratio </w:t>
      </w:r>
    </w:p>
    <w:p w14:paraId="10B8F3FA" w14:textId="77777777" w:rsidR="003D2854" w:rsidRDefault="005428DD" w:rsidP="005428DD">
      <w:pPr>
        <w:spacing w:line="480" w:lineRule="auto"/>
        <w:rPr>
          <w:rFonts w:ascii="Arial" w:hAnsi="Arial" w:cs="Arial"/>
        </w:rPr>
      </w:pPr>
      <w:r w:rsidRPr="005428DD">
        <w:rPr>
          <w:rFonts w:ascii="Arial" w:hAnsi="Arial" w:cs="Arial"/>
        </w:rPr>
        <w:t xml:space="preserve">The interest coverage ratio for </w:t>
      </w:r>
      <w:r w:rsidR="00E1503A">
        <w:rPr>
          <w:rFonts w:ascii="Arial" w:hAnsi="Arial" w:cs="Arial"/>
        </w:rPr>
        <w:t xml:space="preserve">the </w:t>
      </w:r>
      <w:r w:rsidRPr="005428DD">
        <w:rPr>
          <w:rFonts w:ascii="Arial" w:hAnsi="Arial" w:cs="Arial"/>
        </w:rPr>
        <w:t xml:space="preserve">years ending 2024 and 2023 </w:t>
      </w:r>
      <w:r w:rsidR="00E1503A">
        <w:rPr>
          <w:rFonts w:ascii="Arial" w:hAnsi="Arial" w:cs="Arial"/>
        </w:rPr>
        <w:t>was</w:t>
      </w:r>
      <w:r w:rsidRPr="005428DD">
        <w:rPr>
          <w:rFonts w:ascii="Arial" w:hAnsi="Arial" w:cs="Arial"/>
        </w:rPr>
        <w:t xml:space="preserve"> c</w:t>
      </w:r>
      <w:r w:rsidR="00E1503A">
        <w:rPr>
          <w:rFonts w:ascii="Arial" w:hAnsi="Arial" w:cs="Arial"/>
        </w:rPr>
        <w:t>alculated</w:t>
      </w:r>
      <w:r w:rsidRPr="005428DD">
        <w:rPr>
          <w:rFonts w:ascii="Arial" w:hAnsi="Arial" w:cs="Arial"/>
        </w:rPr>
        <w:t xml:space="preserve"> as follows</w:t>
      </w:r>
      <w:r w:rsidR="00E1503A">
        <w:rPr>
          <w:rFonts w:ascii="Arial" w:hAnsi="Arial" w:cs="Arial"/>
        </w:rPr>
        <w:t>:</w:t>
      </w:r>
      <w:r w:rsidRPr="005428DD">
        <w:rPr>
          <w:rFonts w:ascii="Arial" w:hAnsi="Arial" w:cs="Arial"/>
        </w:rPr>
        <w:t xml:space="preserve"> </w:t>
      </w:r>
    </w:p>
    <w:p w14:paraId="71807BEA" w14:textId="77777777" w:rsidR="003D2854" w:rsidRDefault="005428DD" w:rsidP="005428DD">
      <w:pPr>
        <w:spacing w:line="480" w:lineRule="auto"/>
        <w:rPr>
          <w:rFonts w:ascii="Arial" w:hAnsi="Arial" w:cs="Arial"/>
        </w:rPr>
      </w:pPr>
      <w:r w:rsidRPr="005428DD">
        <w:rPr>
          <w:rFonts w:ascii="Arial" w:hAnsi="Arial" w:cs="Arial"/>
        </w:rPr>
        <w:t>11,712</w:t>
      </w:r>
      <w:r w:rsidR="003D2854">
        <w:rPr>
          <w:rFonts w:ascii="Arial" w:hAnsi="Arial" w:cs="Arial"/>
        </w:rPr>
        <w:t>/</w:t>
      </w:r>
      <w:r w:rsidRPr="005428DD">
        <w:rPr>
          <w:rFonts w:ascii="Arial" w:hAnsi="Arial" w:cs="Arial"/>
        </w:rPr>
        <w:t xml:space="preserve">1,506 </w:t>
      </w:r>
      <w:r w:rsidR="003D2854">
        <w:rPr>
          <w:rFonts w:ascii="Arial" w:hAnsi="Arial" w:cs="Arial"/>
        </w:rPr>
        <w:t xml:space="preserve">= </w:t>
      </w:r>
      <w:r w:rsidRPr="005428DD">
        <w:rPr>
          <w:rFonts w:ascii="Arial" w:hAnsi="Arial" w:cs="Arial"/>
        </w:rPr>
        <w:t xml:space="preserve">7.78 (2024) </w:t>
      </w:r>
    </w:p>
    <w:p w14:paraId="3D5566EE" w14:textId="35FA53D0" w:rsidR="005428DD" w:rsidRPr="005428DD" w:rsidRDefault="005428DD" w:rsidP="005428DD">
      <w:pPr>
        <w:spacing w:line="480" w:lineRule="auto"/>
        <w:rPr>
          <w:rFonts w:ascii="Arial" w:hAnsi="Arial" w:cs="Arial"/>
        </w:rPr>
      </w:pPr>
      <w:r w:rsidRPr="005428DD">
        <w:rPr>
          <w:rFonts w:ascii="Arial" w:hAnsi="Arial" w:cs="Arial"/>
        </w:rPr>
        <w:t>11,647</w:t>
      </w:r>
      <w:r w:rsidR="003D2854">
        <w:rPr>
          <w:rFonts w:ascii="Arial" w:hAnsi="Arial" w:cs="Arial"/>
        </w:rPr>
        <w:t>/</w:t>
      </w:r>
      <w:r w:rsidRPr="005428DD">
        <w:rPr>
          <w:rFonts w:ascii="Arial" w:hAnsi="Arial" w:cs="Arial"/>
        </w:rPr>
        <w:t>1,361</w:t>
      </w:r>
      <w:r w:rsidR="003D2854">
        <w:rPr>
          <w:rFonts w:ascii="Arial" w:hAnsi="Arial" w:cs="Arial"/>
        </w:rPr>
        <w:t xml:space="preserve">= </w:t>
      </w:r>
      <w:r w:rsidRPr="005428DD">
        <w:rPr>
          <w:rFonts w:ascii="Arial" w:hAnsi="Arial" w:cs="Arial"/>
        </w:rPr>
        <w:t>8.56 (2023</w:t>
      </w:r>
      <w:r w:rsidR="003D2854">
        <w:rPr>
          <w:rFonts w:ascii="Arial" w:hAnsi="Arial" w:cs="Arial"/>
        </w:rPr>
        <w:t>)</w:t>
      </w:r>
    </w:p>
    <w:p w14:paraId="7F5A923E" w14:textId="04F01AF4" w:rsidR="005428DD" w:rsidRPr="005428DD" w:rsidRDefault="005428DD" w:rsidP="005428DD">
      <w:pPr>
        <w:spacing w:line="480" w:lineRule="auto"/>
        <w:rPr>
          <w:rFonts w:ascii="Arial" w:hAnsi="Arial" w:cs="Arial"/>
        </w:rPr>
      </w:pPr>
      <w:r w:rsidRPr="005428DD">
        <w:rPr>
          <w:rFonts w:ascii="Arial" w:hAnsi="Arial" w:cs="Arial"/>
        </w:rPr>
        <w:t xml:space="preserve">Free cash flow conversion percentages reported by </w:t>
      </w:r>
      <w:r w:rsidR="003D2854">
        <w:rPr>
          <w:rFonts w:ascii="Arial" w:hAnsi="Arial" w:cs="Arial"/>
        </w:rPr>
        <w:t xml:space="preserve">the </w:t>
      </w:r>
      <w:r w:rsidRPr="005428DD">
        <w:rPr>
          <w:rFonts w:ascii="Arial" w:hAnsi="Arial" w:cs="Arial"/>
        </w:rPr>
        <w:t xml:space="preserve">management of McDonald’s for </w:t>
      </w:r>
      <w:r w:rsidR="003D2854">
        <w:rPr>
          <w:rFonts w:ascii="Arial" w:hAnsi="Arial" w:cs="Arial"/>
        </w:rPr>
        <w:t xml:space="preserve">the </w:t>
      </w:r>
      <w:r w:rsidRPr="005428DD">
        <w:rPr>
          <w:rFonts w:ascii="Arial" w:hAnsi="Arial" w:cs="Arial"/>
        </w:rPr>
        <w:t>years ending 2024 and 2023 were 81% and 86%</w:t>
      </w:r>
      <w:r w:rsidR="003D2854">
        <w:rPr>
          <w:rFonts w:ascii="Arial" w:hAnsi="Arial" w:cs="Arial"/>
        </w:rPr>
        <w:t>,</w:t>
      </w:r>
      <w:r w:rsidRPr="005428DD">
        <w:rPr>
          <w:rFonts w:ascii="Arial" w:hAnsi="Arial" w:cs="Arial"/>
        </w:rPr>
        <w:t xml:space="preserve"> respectively.</w:t>
      </w:r>
    </w:p>
    <w:p w14:paraId="0A6C3D99" w14:textId="4B64272A" w:rsidR="005428DD" w:rsidRPr="005428DD" w:rsidRDefault="005428DD" w:rsidP="005428DD">
      <w:pPr>
        <w:spacing w:line="480" w:lineRule="auto"/>
        <w:rPr>
          <w:rFonts w:ascii="Arial" w:hAnsi="Arial" w:cs="Arial"/>
        </w:rPr>
      </w:pPr>
      <w:r w:rsidRPr="005428DD">
        <w:rPr>
          <w:rFonts w:ascii="Arial" w:hAnsi="Arial" w:cs="Arial"/>
        </w:rPr>
        <w:t xml:space="preserve">Overall, it is evident from using the above ratios that McDonald’s Company remains quite profitable for </w:t>
      </w:r>
      <w:r w:rsidR="003D2854">
        <w:rPr>
          <w:rFonts w:ascii="Arial" w:hAnsi="Arial" w:cs="Arial"/>
        </w:rPr>
        <w:t xml:space="preserve">the </w:t>
      </w:r>
      <w:r w:rsidRPr="005428DD">
        <w:rPr>
          <w:rFonts w:ascii="Arial" w:hAnsi="Arial" w:cs="Arial"/>
        </w:rPr>
        <w:t xml:space="preserve">year ending December 31, 2024, yet demonstrates some decline in profitability compared to 12/31/2023 results. For instance, operating and net profit margins declined from 45.7% to 45.2% and from 33.2% to 31.7%, respectively. Consequently, although total revenue increased, there was a corresponding decrease in profit as a percentage of revenue. In addition, the ROA declined from 15.1% to 14.9%, suggesting that there was a comparable decline in profits generated from total assets owned by McDonald’s for </w:t>
      </w:r>
      <w:r w:rsidR="003D2854">
        <w:rPr>
          <w:rFonts w:ascii="Arial" w:hAnsi="Arial" w:cs="Arial"/>
        </w:rPr>
        <w:t xml:space="preserve">the </w:t>
      </w:r>
      <w:r w:rsidRPr="005428DD">
        <w:rPr>
          <w:rFonts w:ascii="Arial" w:hAnsi="Arial" w:cs="Arial"/>
        </w:rPr>
        <w:t xml:space="preserve">year ending December 31, 2024. Based on changes that occurred and ratio analysis techniques, it may be concluded that ratio analysis provides valuable information about both </w:t>
      </w:r>
      <w:r w:rsidRPr="005428DD">
        <w:rPr>
          <w:rFonts w:ascii="Arial" w:hAnsi="Arial" w:cs="Arial"/>
        </w:rPr>
        <w:lastRenderedPageBreak/>
        <w:t xml:space="preserve">growth and changes related to the quality of earnings and efficiency of an </w:t>
      </w:r>
      <w:r w:rsidR="003D2854">
        <w:rPr>
          <w:rFonts w:ascii="Arial" w:hAnsi="Arial" w:cs="Arial"/>
        </w:rPr>
        <w:t>organisation</w:t>
      </w:r>
      <w:r w:rsidRPr="005428DD">
        <w:rPr>
          <w:rFonts w:ascii="Arial" w:hAnsi="Arial" w:cs="Arial"/>
        </w:rPr>
        <w:t xml:space="preserve"> (</w:t>
      </w:r>
      <w:proofErr w:type="spellStart"/>
      <w:r w:rsidRPr="005428DD">
        <w:rPr>
          <w:rFonts w:ascii="Arial" w:hAnsi="Arial" w:cs="Arial"/>
        </w:rPr>
        <w:t>Hasidi</w:t>
      </w:r>
      <w:proofErr w:type="spellEnd"/>
      <w:r w:rsidRPr="005428DD">
        <w:rPr>
          <w:rFonts w:ascii="Arial" w:hAnsi="Arial" w:cs="Arial"/>
        </w:rPr>
        <w:t xml:space="preserve"> et al., 2024; Rashid, 2021).</w:t>
      </w:r>
    </w:p>
    <w:p w14:paraId="5C2D9025" w14:textId="2D622011" w:rsidR="005428DD" w:rsidRPr="005428DD" w:rsidRDefault="005428DD" w:rsidP="005428DD">
      <w:pPr>
        <w:spacing w:line="480" w:lineRule="auto"/>
        <w:rPr>
          <w:rFonts w:ascii="Arial" w:hAnsi="Arial" w:cs="Arial"/>
        </w:rPr>
      </w:pPr>
      <w:r w:rsidRPr="005428DD">
        <w:rPr>
          <w:rFonts w:ascii="Arial" w:hAnsi="Arial" w:cs="Arial"/>
        </w:rPr>
        <w:t xml:space="preserve">The current ratio improved slightly from 1.16 to 1.19 during the period ending December 31, 2024, indicating </w:t>
      </w:r>
      <w:r w:rsidR="003D2854">
        <w:rPr>
          <w:rFonts w:ascii="Arial" w:hAnsi="Arial" w:cs="Arial"/>
        </w:rPr>
        <w:t>that in</w:t>
      </w:r>
      <w:r w:rsidRPr="005428DD">
        <w:rPr>
          <w:rFonts w:ascii="Arial" w:hAnsi="Arial" w:cs="Arial"/>
        </w:rPr>
        <w:t xml:space="preserve"> the </w:t>
      </w:r>
      <w:r w:rsidR="003D2854">
        <w:rPr>
          <w:rFonts w:ascii="Arial" w:hAnsi="Arial" w:cs="Arial"/>
        </w:rPr>
        <w:t>s</w:t>
      </w:r>
      <w:r w:rsidRPr="005428DD">
        <w:rPr>
          <w:rFonts w:ascii="Arial" w:hAnsi="Arial" w:cs="Arial"/>
        </w:rPr>
        <w:t xml:space="preserve">hort term, McDonald's has matched up to </w:t>
      </w:r>
      <w:r w:rsidR="003D2854">
        <w:rPr>
          <w:rFonts w:ascii="Arial" w:hAnsi="Arial" w:cs="Arial"/>
        </w:rPr>
        <w:t>its short-term</w:t>
      </w:r>
      <w:r w:rsidRPr="005428DD">
        <w:rPr>
          <w:rFonts w:ascii="Arial" w:hAnsi="Arial" w:cs="Arial"/>
        </w:rPr>
        <w:t xml:space="preserve"> liabilities with </w:t>
      </w:r>
      <w:r w:rsidR="003D2854">
        <w:rPr>
          <w:rFonts w:ascii="Arial" w:hAnsi="Arial" w:cs="Arial"/>
        </w:rPr>
        <w:t>short-term</w:t>
      </w:r>
      <w:r w:rsidRPr="005428DD">
        <w:rPr>
          <w:rFonts w:ascii="Arial" w:hAnsi="Arial" w:cs="Arial"/>
        </w:rPr>
        <w:t xml:space="preserve"> assets</w:t>
      </w:r>
      <w:r w:rsidR="003D2854">
        <w:rPr>
          <w:rFonts w:ascii="Arial" w:hAnsi="Arial" w:cs="Arial"/>
        </w:rPr>
        <w:t>,</w:t>
      </w:r>
      <w:r w:rsidRPr="005428DD">
        <w:rPr>
          <w:rFonts w:ascii="Arial" w:hAnsi="Arial" w:cs="Arial"/>
        </w:rPr>
        <w:t xml:space="preserve"> but compared to less levered companies</w:t>
      </w:r>
      <w:r w:rsidR="003D2854">
        <w:rPr>
          <w:rFonts w:ascii="Arial" w:hAnsi="Arial" w:cs="Arial"/>
        </w:rPr>
        <w:t>,</w:t>
      </w:r>
      <w:r w:rsidRPr="005428DD">
        <w:rPr>
          <w:rFonts w:ascii="Arial" w:hAnsi="Arial" w:cs="Arial"/>
        </w:rPr>
        <w:t xml:space="preserve"> they still </w:t>
      </w:r>
      <w:r w:rsidR="003D2854">
        <w:rPr>
          <w:rFonts w:ascii="Arial" w:hAnsi="Arial" w:cs="Arial"/>
        </w:rPr>
        <w:t>have</w:t>
      </w:r>
      <w:r w:rsidRPr="005428DD">
        <w:rPr>
          <w:rFonts w:ascii="Arial" w:hAnsi="Arial" w:cs="Arial"/>
        </w:rPr>
        <w:t xml:space="preserve"> a relatively low amount of liquidity. This, however, is not attributed to an increase in Cash and Equivalents. Cash and Equivalents dropped dramatically (down from $4.6 in 2023 to $1.1 in 2024)</w:t>
      </w:r>
      <w:r w:rsidR="003D2854">
        <w:rPr>
          <w:rFonts w:ascii="Arial" w:hAnsi="Arial" w:cs="Arial"/>
        </w:rPr>
        <w:t>,</w:t>
      </w:r>
      <w:r w:rsidRPr="005428DD">
        <w:rPr>
          <w:rFonts w:ascii="Arial" w:hAnsi="Arial" w:cs="Arial"/>
        </w:rPr>
        <w:t xml:space="preserve"> but a decrease in Current Liabilities was much greater and occurred due to large reductions in </w:t>
      </w:r>
      <w:r w:rsidR="003D2854">
        <w:rPr>
          <w:rFonts w:ascii="Arial" w:hAnsi="Arial" w:cs="Arial"/>
        </w:rPr>
        <w:t>short-term</w:t>
      </w:r>
      <w:r w:rsidRPr="005428DD">
        <w:rPr>
          <w:rFonts w:ascii="Arial" w:hAnsi="Arial" w:cs="Arial"/>
        </w:rPr>
        <w:t xml:space="preserve"> borrowings and Current Maturity on LTC reduced from $2.2B to 0 at December 2024 using the balance sheet format.</w:t>
      </w:r>
    </w:p>
    <w:p w14:paraId="21D6FA6E" w14:textId="67ED8AF9" w:rsidR="005428DD" w:rsidRPr="005428DD" w:rsidRDefault="005428DD" w:rsidP="005428DD">
      <w:pPr>
        <w:spacing w:line="480" w:lineRule="auto"/>
        <w:rPr>
          <w:rFonts w:ascii="Arial" w:hAnsi="Arial" w:cs="Arial"/>
        </w:rPr>
      </w:pPr>
      <w:r w:rsidRPr="005428DD">
        <w:rPr>
          <w:rFonts w:ascii="Arial" w:hAnsi="Arial" w:cs="Arial"/>
        </w:rPr>
        <w:t>Efficiency was more mixed. The Asset Turnover increased slightly from 0.45 to 0.47 for McDonald’s in 2024</w:t>
      </w:r>
      <w:r w:rsidR="003D2854">
        <w:rPr>
          <w:rFonts w:ascii="Arial" w:hAnsi="Arial" w:cs="Arial"/>
        </w:rPr>
        <w:t>,</w:t>
      </w:r>
      <w:r w:rsidRPr="005428DD">
        <w:rPr>
          <w:rFonts w:ascii="Arial" w:hAnsi="Arial" w:cs="Arial"/>
        </w:rPr>
        <w:t xml:space="preserve"> suggesting that the company used its assets somewhat more efficiently to create revenue in 2024. This could be a by-product of the continued expansion of the company's </w:t>
      </w:r>
      <w:r w:rsidR="003D2854" w:rsidRPr="005428DD">
        <w:rPr>
          <w:rFonts w:ascii="Arial" w:hAnsi="Arial" w:cs="Arial"/>
        </w:rPr>
        <w:t>restaurants</w:t>
      </w:r>
      <w:r w:rsidRPr="005428DD">
        <w:rPr>
          <w:rFonts w:ascii="Arial" w:hAnsi="Arial" w:cs="Arial"/>
        </w:rPr>
        <w:t xml:space="preserve"> and the </w:t>
      </w:r>
      <w:r w:rsidR="003D2854">
        <w:rPr>
          <w:rFonts w:ascii="Arial" w:hAnsi="Arial" w:cs="Arial"/>
        </w:rPr>
        <w:t>franchise-based</w:t>
      </w:r>
      <w:r w:rsidRPr="005428DD">
        <w:rPr>
          <w:rFonts w:ascii="Arial" w:hAnsi="Arial" w:cs="Arial"/>
        </w:rPr>
        <w:t xml:space="preserve"> business model</w:t>
      </w:r>
      <w:r w:rsidR="003D2854">
        <w:rPr>
          <w:rFonts w:ascii="Arial" w:hAnsi="Arial" w:cs="Arial"/>
        </w:rPr>
        <w:t>,</w:t>
      </w:r>
      <w:r w:rsidRPr="005428DD">
        <w:rPr>
          <w:rFonts w:ascii="Arial" w:hAnsi="Arial" w:cs="Arial"/>
        </w:rPr>
        <w:t xml:space="preserve"> which results in generating strong revenue as a percentage of owned operating assets (Zhang, Jiang, and Zhao, 2022; Shahid et al., 2014). Additionally, despite the increased cash flows from operations, the Company experienced a weakening in interest coverage from 8.56 to 7.78, reflecting increased cost of financing</w:t>
      </w:r>
      <w:r w:rsidR="003D2854">
        <w:rPr>
          <w:rFonts w:ascii="Arial" w:hAnsi="Arial" w:cs="Arial"/>
        </w:rPr>
        <w:t>,</w:t>
      </w:r>
      <w:r w:rsidRPr="005428DD">
        <w:rPr>
          <w:rFonts w:ascii="Arial" w:hAnsi="Arial" w:cs="Arial"/>
        </w:rPr>
        <w:t xml:space="preserve"> which would have reduced the company’s ability to cover interest payments. The implications of increasing debt costs can have an impact on continued future profitability and overall resiliency of the Company (Tang et al., 2020).</w:t>
      </w:r>
    </w:p>
    <w:p w14:paraId="4F521152" w14:textId="77777777" w:rsidR="005428DD" w:rsidRPr="005428DD" w:rsidRDefault="005428DD" w:rsidP="005428DD">
      <w:pPr>
        <w:spacing w:line="480" w:lineRule="auto"/>
        <w:rPr>
          <w:rFonts w:ascii="Arial" w:hAnsi="Arial" w:cs="Arial"/>
        </w:rPr>
      </w:pPr>
    </w:p>
    <w:p w14:paraId="1A6F5BF2" w14:textId="77777777" w:rsidR="005428DD" w:rsidRPr="003D2854" w:rsidRDefault="005428DD" w:rsidP="005428DD">
      <w:pPr>
        <w:spacing w:line="480" w:lineRule="auto"/>
        <w:rPr>
          <w:rFonts w:ascii="Arial" w:hAnsi="Arial" w:cs="Arial"/>
          <w:b/>
          <w:bCs/>
        </w:rPr>
      </w:pPr>
      <w:r w:rsidRPr="003D2854">
        <w:rPr>
          <w:rFonts w:ascii="Arial" w:hAnsi="Arial" w:cs="Arial"/>
          <w:b/>
          <w:bCs/>
        </w:rPr>
        <w:lastRenderedPageBreak/>
        <w:t>Factors affecting McDonald's performance</w:t>
      </w:r>
    </w:p>
    <w:p w14:paraId="1E692DC7" w14:textId="54A8A179" w:rsidR="005428DD" w:rsidRPr="005428DD" w:rsidRDefault="005428DD" w:rsidP="005428DD">
      <w:pPr>
        <w:spacing w:line="480" w:lineRule="auto"/>
        <w:rPr>
          <w:rFonts w:ascii="Arial" w:hAnsi="Arial" w:cs="Arial"/>
        </w:rPr>
      </w:pPr>
      <w:r w:rsidRPr="005428DD">
        <w:rPr>
          <w:rFonts w:ascii="Arial" w:hAnsi="Arial" w:cs="Arial"/>
        </w:rPr>
        <w:t>Comparatively, McDonald's performed worse in 2024 based on margin compression due to relatively low sales growth and pressure on their profitability and working capital. The Company announced that Global Comps declined by 0.1% in 2024 after strong sales momentum was established in 2023.</w:t>
      </w:r>
      <w:r w:rsidR="003D2854">
        <w:rPr>
          <w:rFonts w:ascii="Arial" w:hAnsi="Arial" w:cs="Arial"/>
        </w:rPr>
        <w:t xml:space="preserve"> </w:t>
      </w:r>
      <w:r w:rsidRPr="005428DD">
        <w:rPr>
          <w:rFonts w:ascii="Arial" w:hAnsi="Arial" w:cs="Arial"/>
        </w:rPr>
        <w:t>The annual report for 2025 describes how the Company's 2024 performance was impacted by poor product sales in portions of the International Development Licensed Markets segment, mainly out of France</w:t>
      </w:r>
      <w:r w:rsidR="003D2854">
        <w:rPr>
          <w:rFonts w:ascii="Arial" w:hAnsi="Arial" w:cs="Arial"/>
        </w:rPr>
        <w:t>,</w:t>
      </w:r>
      <w:r w:rsidRPr="005428DD">
        <w:rPr>
          <w:rFonts w:ascii="Arial" w:hAnsi="Arial" w:cs="Arial"/>
        </w:rPr>
        <w:t xml:space="preserve"> where similar results can be seen, but also by negative comparable sales from China as well! Furthermore, the impacts of the ongoing War in the Middle </w:t>
      </w:r>
      <w:r w:rsidR="003D2854">
        <w:rPr>
          <w:rFonts w:ascii="Arial" w:hAnsi="Arial" w:cs="Arial"/>
        </w:rPr>
        <w:t>Eastern</w:t>
      </w:r>
      <w:r w:rsidRPr="005428DD">
        <w:rPr>
          <w:rFonts w:ascii="Arial" w:hAnsi="Arial" w:cs="Arial"/>
        </w:rPr>
        <w:t xml:space="preserve"> region have continued to affect the company's financial results in International Development licensed markets. It was also reported that the company had incurred restructuring charges and losses related to the sale of its South Korean business and the acquisition of the </w:t>
      </w:r>
      <w:r w:rsidR="003D2854">
        <w:rPr>
          <w:rFonts w:ascii="Arial" w:hAnsi="Arial" w:cs="Arial"/>
        </w:rPr>
        <w:t>Israeli</w:t>
      </w:r>
      <w:r w:rsidRPr="005428DD">
        <w:rPr>
          <w:rFonts w:ascii="Arial" w:hAnsi="Arial" w:cs="Arial"/>
        </w:rPr>
        <w:t xml:space="preserve"> operation.</w:t>
      </w:r>
    </w:p>
    <w:p w14:paraId="6424F1DB" w14:textId="72B7E682" w:rsidR="005428DD" w:rsidRPr="005428DD" w:rsidRDefault="005428DD" w:rsidP="005428DD">
      <w:pPr>
        <w:spacing w:line="480" w:lineRule="auto"/>
        <w:rPr>
          <w:rFonts w:ascii="Arial" w:hAnsi="Arial" w:cs="Arial"/>
        </w:rPr>
      </w:pPr>
      <w:r w:rsidRPr="005428DD">
        <w:rPr>
          <w:rFonts w:ascii="Arial" w:hAnsi="Arial" w:cs="Arial"/>
        </w:rPr>
        <w:t xml:space="preserve">In contrast, the company had a very solid recovery year in 2023 with an increase in operating income of 24% from the prior year, an increase in net income of 37% from the prior year, and an increase in cash provided by operations of 30%. This overall improvement in 2023 can be directly attributed to improvements in </w:t>
      </w:r>
      <w:r w:rsidR="003D2854">
        <w:rPr>
          <w:rFonts w:ascii="Arial" w:hAnsi="Arial" w:cs="Arial"/>
        </w:rPr>
        <w:t>sales-driven</w:t>
      </w:r>
      <w:r w:rsidRPr="005428DD">
        <w:rPr>
          <w:rFonts w:ascii="Arial" w:hAnsi="Arial" w:cs="Arial"/>
        </w:rPr>
        <w:t xml:space="preserve"> franchise margin and operating performance</w:t>
      </w:r>
      <w:r w:rsidR="003D2854">
        <w:rPr>
          <w:rFonts w:ascii="Arial" w:hAnsi="Arial" w:cs="Arial"/>
        </w:rPr>
        <w:t>,</w:t>
      </w:r>
      <w:r w:rsidRPr="005428DD">
        <w:rPr>
          <w:rFonts w:ascii="Arial" w:hAnsi="Arial" w:cs="Arial"/>
        </w:rPr>
        <w:t xml:space="preserve"> with the help of an even higher level of positive comps generated in 2023</w:t>
      </w:r>
      <w:r w:rsidR="003D2854">
        <w:rPr>
          <w:rFonts w:ascii="Arial" w:hAnsi="Arial" w:cs="Arial"/>
        </w:rPr>
        <w:t>,</w:t>
      </w:r>
      <w:r w:rsidRPr="005428DD">
        <w:rPr>
          <w:rFonts w:ascii="Arial" w:hAnsi="Arial" w:cs="Arial"/>
        </w:rPr>
        <w:t xml:space="preserve"> in addition to increased free cash flow.</w:t>
      </w:r>
    </w:p>
    <w:p w14:paraId="7B170F4A" w14:textId="453A974E" w:rsidR="005428DD" w:rsidRPr="005428DD" w:rsidRDefault="005428DD" w:rsidP="005428DD">
      <w:pPr>
        <w:spacing w:line="480" w:lineRule="auto"/>
        <w:rPr>
          <w:rFonts w:ascii="Arial" w:hAnsi="Arial" w:cs="Arial"/>
        </w:rPr>
      </w:pPr>
      <w:r w:rsidRPr="005428DD">
        <w:rPr>
          <w:rFonts w:ascii="Arial" w:hAnsi="Arial" w:cs="Arial"/>
        </w:rPr>
        <w:t xml:space="preserve">Research has helped to understand why shifts in </w:t>
      </w:r>
      <w:r w:rsidR="003D2854">
        <w:rPr>
          <w:rFonts w:ascii="Arial" w:hAnsi="Arial" w:cs="Arial"/>
        </w:rPr>
        <w:t xml:space="preserve">a </w:t>
      </w:r>
      <w:r w:rsidRPr="005428DD">
        <w:rPr>
          <w:rFonts w:ascii="Arial" w:hAnsi="Arial" w:cs="Arial"/>
        </w:rPr>
        <w:t xml:space="preserve">company's operational results </w:t>
      </w:r>
      <w:r w:rsidR="003D2854">
        <w:rPr>
          <w:rFonts w:ascii="Arial" w:hAnsi="Arial" w:cs="Arial"/>
        </w:rPr>
        <w:t>a good indicator of a company’s future operating performance.</w:t>
      </w:r>
      <w:r w:rsidRPr="005428DD">
        <w:rPr>
          <w:rFonts w:ascii="Arial" w:hAnsi="Arial" w:cs="Arial"/>
        </w:rPr>
        <w:t xml:space="preserve"> Strong cash generation produces strong operating performance, as cash generated from operations can be used in a company's reinvestment strategy, used to pay debt service and for providing returns to owners of stock (Laghari, Ahmed &amp; López García, 2023)Free </w:t>
      </w:r>
      <w:r w:rsidRPr="005428DD">
        <w:rPr>
          <w:rFonts w:ascii="Arial" w:hAnsi="Arial" w:cs="Arial"/>
        </w:rPr>
        <w:lastRenderedPageBreak/>
        <w:t>cash flow for McDonald’s from 2023 to 2024 declined from $7.3 billion to $6.7 billion, respectively, and the free cash flow conversion declined from 86% to 81% for the same time period; hence the belief that a weaker cash conversion contributed to the relatively softer financial results. In addition, marketing, customer satisfaction, and business model strength comprise the core factors for McDonald’s success. Therefore, slower guest counts and softer consumer demand can all lead to quick downward pressure on margins and earnings (</w:t>
      </w:r>
      <w:proofErr w:type="spellStart"/>
      <w:r w:rsidRPr="005428DD">
        <w:rPr>
          <w:rFonts w:ascii="Arial" w:hAnsi="Arial" w:cs="Arial"/>
        </w:rPr>
        <w:t>Rumagit</w:t>
      </w:r>
      <w:proofErr w:type="spellEnd"/>
      <w:r w:rsidRPr="005428DD">
        <w:rPr>
          <w:rFonts w:ascii="Arial" w:hAnsi="Arial" w:cs="Arial"/>
        </w:rPr>
        <w:t xml:space="preserve"> et al., 2022; Qiu, 2022; An, 2024).</w:t>
      </w:r>
    </w:p>
    <w:p w14:paraId="5FD8DD39" w14:textId="77777777" w:rsidR="005428DD" w:rsidRPr="003D2854" w:rsidRDefault="005428DD" w:rsidP="005428DD">
      <w:pPr>
        <w:spacing w:line="480" w:lineRule="auto"/>
        <w:rPr>
          <w:rFonts w:ascii="Arial" w:hAnsi="Arial" w:cs="Arial"/>
          <w:b/>
          <w:bCs/>
        </w:rPr>
      </w:pPr>
      <w:r w:rsidRPr="003D2854">
        <w:rPr>
          <w:rFonts w:ascii="Arial" w:hAnsi="Arial" w:cs="Arial"/>
          <w:b/>
          <w:bCs/>
        </w:rPr>
        <w:t>Financial Improvement and Sustainability Recommendations</w:t>
      </w:r>
    </w:p>
    <w:p w14:paraId="61FC19B0" w14:textId="5AFEACA2" w:rsidR="005428DD" w:rsidRPr="005428DD" w:rsidRDefault="005428DD" w:rsidP="005428DD">
      <w:pPr>
        <w:spacing w:line="480" w:lineRule="auto"/>
        <w:rPr>
          <w:rFonts w:ascii="Arial" w:hAnsi="Arial" w:cs="Arial"/>
        </w:rPr>
      </w:pPr>
      <w:r w:rsidRPr="005428DD">
        <w:rPr>
          <w:rFonts w:ascii="Arial" w:hAnsi="Arial" w:cs="Arial"/>
        </w:rPr>
        <w:t xml:space="preserve">To restore comparable sales growth levels, a focus on developing </w:t>
      </w:r>
      <w:r w:rsidR="003D2854">
        <w:rPr>
          <w:rFonts w:ascii="Arial" w:hAnsi="Arial" w:cs="Arial"/>
        </w:rPr>
        <w:t>value-led</w:t>
      </w:r>
      <w:r w:rsidRPr="005428DD">
        <w:rPr>
          <w:rFonts w:ascii="Arial" w:hAnsi="Arial" w:cs="Arial"/>
        </w:rPr>
        <w:t xml:space="preserve"> marketing initiatives, innovating products on the menu, and creating a more </w:t>
      </w:r>
      <w:r w:rsidR="003D2854">
        <w:rPr>
          <w:rFonts w:ascii="Arial" w:hAnsi="Arial" w:cs="Arial"/>
        </w:rPr>
        <w:t>personalised</w:t>
      </w:r>
      <w:r w:rsidRPr="005428DD">
        <w:rPr>
          <w:rFonts w:ascii="Arial" w:hAnsi="Arial" w:cs="Arial"/>
        </w:rPr>
        <w:t xml:space="preserve"> digital commerce environment should be the priorities for McDonald’s. </w:t>
      </w:r>
      <w:r w:rsidR="003D2854">
        <w:rPr>
          <w:rFonts w:ascii="Arial" w:hAnsi="Arial" w:cs="Arial"/>
        </w:rPr>
        <w:t>Some research supports</w:t>
      </w:r>
      <w:r w:rsidRPr="005428DD">
        <w:rPr>
          <w:rFonts w:ascii="Arial" w:hAnsi="Arial" w:cs="Arial"/>
        </w:rPr>
        <w:t xml:space="preserve"> the continued belief that the strength of the McDonald’s brand, customer satisfaction with the service levels, and the company’s ability to deliver high-quality marketing capabilities are key contributors to their ability to achieve long-term competitive success (Chea, 2023; </w:t>
      </w:r>
      <w:proofErr w:type="spellStart"/>
      <w:r w:rsidRPr="005428DD">
        <w:rPr>
          <w:rFonts w:ascii="Arial" w:hAnsi="Arial" w:cs="Arial"/>
        </w:rPr>
        <w:t>Rumagit</w:t>
      </w:r>
      <w:proofErr w:type="spellEnd"/>
      <w:r w:rsidRPr="005428DD">
        <w:rPr>
          <w:rFonts w:ascii="Arial" w:hAnsi="Arial" w:cs="Arial"/>
        </w:rPr>
        <w:t xml:space="preserve"> et al., 2022; An, 2024).</w:t>
      </w:r>
    </w:p>
    <w:p w14:paraId="028F3414" w14:textId="5C711DB0" w:rsidR="005428DD" w:rsidRPr="005428DD" w:rsidRDefault="005428DD" w:rsidP="005428DD">
      <w:pPr>
        <w:spacing w:line="480" w:lineRule="auto"/>
        <w:rPr>
          <w:rFonts w:ascii="Arial" w:hAnsi="Arial" w:cs="Arial"/>
        </w:rPr>
      </w:pPr>
      <w:r w:rsidRPr="005428DD">
        <w:rPr>
          <w:rFonts w:ascii="Arial" w:hAnsi="Arial" w:cs="Arial"/>
        </w:rPr>
        <w:t>To improve cash conversion efficiencies, McDonald’s should focus on controlling capital expenditures and closely monitoring working capital growth. The increase in capital expenditures from $2.4 billion in 2023 to $2.8 billion in 2024 resulted in an overall decrease in the free cash flow for 2024. Therefore, companies that have adopted improved cash flow management practices often report stronger performance and resilience in their overall business activities (Laghari et al., 2023).</w:t>
      </w:r>
    </w:p>
    <w:p w14:paraId="495108E6" w14:textId="51B0865F" w:rsidR="005428DD" w:rsidRPr="005428DD" w:rsidRDefault="005428DD" w:rsidP="005428DD">
      <w:pPr>
        <w:spacing w:line="480" w:lineRule="auto"/>
        <w:rPr>
          <w:rFonts w:ascii="Arial" w:hAnsi="Arial" w:cs="Arial"/>
        </w:rPr>
      </w:pPr>
      <w:r w:rsidRPr="005428DD">
        <w:rPr>
          <w:rFonts w:ascii="Arial" w:hAnsi="Arial" w:cs="Arial"/>
        </w:rPr>
        <w:t xml:space="preserve">Along with their focus on operating efficiencies and improved cash conversion processes, McDonald’s should invest in improving their ability to monitor their overall </w:t>
      </w:r>
      <w:r w:rsidRPr="005428DD">
        <w:rPr>
          <w:rFonts w:ascii="Arial" w:hAnsi="Arial" w:cs="Arial"/>
        </w:rPr>
        <w:lastRenderedPageBreak/>
        <w:t xml:space="preserve">borrowing costs and debt exposures. There was a significant increase in the interest cost from $1,361 million in 2023 to $1,506 million in 2024, and the company’s interest coverage ratio demonstrates a weakening position. By ensuring that refinancing risk is </w:t>
      </w:r>
      <w:r w:rsidR="003D2854">
        <w:rPr>
          <w:rFonts w:ascii="Arial" w:hAnsi="Arial" w:cs="Arial"/>
        </w:rPr>
        <w:t>minimised</w:t>
      </w:r>
      <w:r w:rsidRPr="005428DD">
        <w:rPr>
          <w:rFonts w:ascii="Arial" w:hAnsi="Arial" w:cs="Arial"/>
        </w:rPr>
        <w:t xml:space="preserve"> and </w:t>
      </w:r>
      <w:r w:rsidR="003D2854">
        <w:rPr>
          <w:rFonts w:ascii="Arial" w:hAnsi="Arial" w:cs="Arial"/>
        </w:rPr>
        <w:t>prioritising</w:t>
      </w:r>
      <w:r w:rsidRPr="005428DD">
        <w:rPr>
          <w:rFonts w:ascii="Arial" w:hAnsi="Arial" w:cs="Arial"/>
        </w:rPr>
        <w:t xml:space="preserve"> the efficient allocation of capital, McDonald’s will be better equipped to achieve profit improvements in the future (Loughran, 2026).</w:t>
      </w:r>
    </w:p>
    <w:p w14:paraId="5EC8131E" w14:textId="74AF020C" w:rsidR="005428DD" w:rsidRPr="005428DD" w:rsidRDefault="005428DD" w:rsidP="005428DD">
      <w:pPr>
        <w:spacing w:line="480" w:lineRule="auto"/>
        <w:rPr>
          <w:rFonts w:ascii="Arial" w:hAnsi="Arial" w:cs="Arial"/>
        </w:rPr>
      </w:pPr>
      <w:r w:rsidRPr="005428DD">
        <w:rPr>
          <w:rFonts w:ascii="Arial" w:hAnsi="Arial" w:cs="Arial"/>
        </w:rPr>
        <w:t>As part of their overall sustainability strategy, McDonald’s should continue to invest in areas such as carbon accounting, energy saving initiatives, packaging reduction initiatives, and sustainable sourcing initiatives. Trends in sustainability reporting and carbon accountability are increasingly tied to long-term value creation and risk mitigation (Onat et al., 2025). McDonald’s has established framing environmental sustainability efforts as a long-term value creation driver in its annual reporting</w:t>
      </w:r>
      <w:r w:rsidR="003D2854">
        <w:rPr>
          <w:rFonts w:ascii="Arial" w:hAnsi="Arial" w:cs="Arial"/>
        </w:rPr>
        <w:t>,</w:t>
      </w:r>
      <w:r w:rsidRPr="005428DD">
        <w:rPr>
          <w:rFonts w:ascii="Arial" w:hAnsi="Arial" w:cs="Arial"/>
        </w:rPr>
        <w:t xml:space="preserve"> thus enhancing their brand and business efficiency through stronger execution</w:t>
      </w:r>
      <w:r w:rsidR="003D2854">
        <w:rPr>
          <w:rFonts w:ascii="Arial" w:hAnsi="Arial" w:cs="Arial"/>
        </w:rPr>
        <w:t>, which</w:t>
      </w:r>
      <w:r w:rsidRPr="005428DD">
        <w:rPr>
          <w:rFonts w:ascii="Arial" w:hAnsi="Arial" w:cs="Arial"/>
        </w:rPr>
        <w:t xml:space="preserve"> will continue to enhance these advantages and provide further investment return on capital.</w:t>
      </w:r>
    </w:p>
    <w:p w14:paraId="54952573" w14:textId="77777777" w:rsidR="005428DD" w:rsidRPr="005E117F" w:rsidRDefault="005428DD" w:rsidP="005428DD">
      <w:pPr>
        <w:spacing w:line="480" w:lineRule="auto"/>
        <w:rPr>
          <w:rFonts w:ascii="Arial" w:hAnsi="Arial" w:cs="Arial"/>
          <w:b/>
          <w:bCs/>
        </w:rPr>
      </w:pPr>
      <w:r w:rsidRPr="005E117F">
        <w:rPr>
          <w:rFonts w:ascii="Arial" w:hAnsi="Arial" w:cs="Arial"/>
          <w:b/>
          <w:bCs/>
        </w:rPr>
        <w:t>Conclusion</w:t>
      </w:r>
    </w:p>
    <w:p w14:paraId="6523D3DC" w14:textId="0BB5376B" w:rsidR="005428DD" w:rsidRDefault="005428DD" w:rsidP="005428DD">
      <w:pPr>
        <w:spacing w:line="480" w:lineRule="auto"/>
        <w:rPr>
          <w:rFonts w:ascii="Arial" w:hAnsi="Arial" w:cs="Arial"/>
        </w:rPr>
      </w:pPr>
      <w:r w:rsidRPr="005428DD">
        <w:rPr>
          <w:rFonts w:ascii="Arial" w:hAnsi="Arial" w:cs="Arial"/>
        </w:rPr>
        <w:t xml:space="preserve">The overall financial ratios demonstrate that McDonald’s retained their </w:t>
      </w:r>
      <w:proofErr w:type="gramStart"/>
      <w:r w:rsidRPr="005428DD">
        <w:rPr>
          <w:rFonts w:ascii="Arial" w:hAnsi="Arial" w:cs="Arial"/>
        </w:rPr>
        <w:t>financial</w:t>
      </w:r>
      <w:proofErr w:type="gramEnd"/>
      <w:r w:rsidRPr="005428DD">
        <w:rPr>
          <w:rFonts w:ascii="Arial" w:hAnsi="Arial" w:cs="Arial"/>
        </w:rPr>
        <w:t xml:space="preserve"> strong position during 2024; however, their overall performance in 2024 slightly decreased from 2023. McDonald’s profitability ratios ran comparatively lower, the company’s interest coverage ratio weakened, and the company’s free cash flow conversion decreased; liquidity and asset efficiency slightly improved. The primary takeaway of the ratio analysis of McDonald’s financial statements demonstrates that McDonald’s has sustained itself and has not seen an overall decline; the company continues to have the opportunity to turn from a relatively strong company during </w:t>
      </w:r>
      <w:r w:rsidRPr="005428DD">
        <w:rPr>
          <w:rFonts w:ascii="Arial" w:hAnsi="Arial" w:cs="Arial"/>
        </w:rPr>
        <w:lastRenderedPageBreak/>
        <w:t xml:space="preserve">2023 to a managing for cash flow driven company during 2024 as a result of slower comparable sales, weaker international market conditions, costs associated with their restructuring, and increased capital investments. Overall, ratio analysis converts financial statements into specific, quantifiable criteria regarding profitability, liquidity, efficiency, and risk and demonstrates that the ratio analysis process continues to be a useful analytical approach to assessing business performance and aiding financial decision making (Rashid, 2021; Olayinka, 2022; </w:t>
      </w:r>
      <w:proofErr w:type="spellStart"/>
      <w:r w:rsidRPr="005428DD">
        <w:rPr>
          <w:rFonts w:ascii="Arial" w:hAnsi="Arial" w:cs="Arial"/>
        </w:rPr>
        <w:t>Abdusalomova</w:t>
      </w:r>
      <w:proofErr w:type="spellEnd"/>
      <w:r w:rsidRPr="005428DD">
        <w:rPr>
          <w:rFonts w:ascii="Arial" w:hAnsi="Arial" w:cs="Arial"/>
        </w:rPr>
        <w:t>, 2026).</w:t>
      </w:r>
    </w:p>
    <w:p w14:paraId="65A6138D" w14:textId="77777777" w:rsidR="005E117F" w:rsidRDefault="005E117F" w:rsidP="005428DD">
      <w:pPr>
        <w:spacing w:line="480" w:lineRule="auto"/>
        <w:rPr>
          <w:rFonts w:ascii="Arial" w:hAnsi="Arial" w:cs="Arial"/>
        </w:rPr>
      </w:pPr>
    </w:p>
    <w:p w14:paraId="1E0923F7" w14:textId="77777777" w:rsidR="005E117F" w:rsidRDefault="005E117F" w:rsidP="005428DD">
      <w:pPr>
        <w:spacing w:line="480" w:lineRule="auto"/>
        <w:rPr>
          <w:rFonts w:ascii="Arial" w:hAnsi="Arial" w:cs="Arial"/>
        </w:rPr>
      </w:pPr>
    </w:p>
    <w:p w14:paraId="4F546D49" w14:textId="77777777" w:rsidR="005E117F" w:rsidRDefault="005E117F" w:rsidP="005428DD">
      <w:pPr>
        <w:spacing w:line="480" w:lineRule="auto"/>
        <w:rPr>
          <w:rFonts w:ascii="Arial" w:hAnsi="Arial" w:cs="Arial"/>
        </w:rPr>
      </w:pPr>
    </w:p>
    <w:p w14:paraId="6D54FCE2" w14:textId="77777777" w:rsidR="005E117F" w:rsidRDefault="005E117F" w:rsidP="005428DD">
      <w:pPr>
        <w:spacing w:line="480" w:lineRule="auto"/>
        <w:rPr>
          <w:rFonts w:ascii="Arial" w:hAnsi="Arial" w:cs="Arial"/>
        </w:rPr>
      </w:pPr>
    </w:p>
    <w:p w14:paraId="06412D79" w14:textId="77777777" w:rsidR="005E117F" w:rsidRDefault="005E117F" w:rsidP="005428DD">
      <w:pPr>
        <w:spacing w:line="480" w:lineRule="auto"/>
        <w:rPr>
          <w:rFonts w:ascii="Arial" w:hAnsi="Arial" w:cs="Arial"/>
        </w:rPr>
      </w:pPr>
    </w:p>
    <w:p w14:paraId="20B94800" w14:textId="77777777" w:rsidR="005E117F" w:rsidRDefault="005E117F" w:rsidP="005428DD">
      <w:pPr>
        <w:spacing w:line="480" w:lineRule="auto"/>
        <w:rPr>
          <w:rFonts w:ascii="Arial" w:hAnsi="Arial" w:cs="Arial"/>
        </w:rPr>
      </w:pPr>
    </w:p>
    <w:p w14:paraId="0A2B2CBB" w14:textId="77777777" w:rsidR="005E117F" w:rsidRDefault="005E117F" w:rsidP="005428DD">
      <w:pPr>
        <w:spacing w:line="480" w:lineRule="auto"/>
        <w:rPr>
          <w:rFonts w:ascii="Arial" w:hAnsi="Arial" w:cs="Arial"/>
        </w:rPr>
      </w:pPr>
    </w:p>
    <w:p w14:paraId="3357D379" w14:textId="77777777" w:rsidR="005E117F" w:rsidRDefault="005E117F" w:rsidP="005428DD">
      <w:pPr>
        <w:spacing w:line="480" w:lineRule="auto"/>
        <w:rPr>
          <w:rFonts w:ascii="Arial" w:hAnsi="Arial" w:cs="Arial"/>
        </w:rPr>
      </w:pPr>
    </w:p>
    <w:p w14:paraId="2195875A" w14:textId="77777777" w:rsidR="005E117F" w:rsidRDefault="005E117F" w:rsidP="005428DD">
      <w:pPr>
        <w:spacing w:line="480" w:lineRule="auto"/>
        <w:rPr>
          <w:rFonts w:ascii="Arial" w:hAnsi="Arial" w:cs="Arial"/>
        </w:rPr>
      </w:pPr>
    </w:p>
    <w:p w14:paraId="582C9A94" w14:textId="77777777" w:rsidR="005E117F" w:rsidRDefault="005E117F" w:rsidP="005428DD">
      <w:pPr>
        <w:spacing w:line="480" w:lineRule="auto"/>
        <w:rPr>
          <w:rFonts w:ascii="Arial" w:hAnsi="Arial" w:cs="Arial"/>
        </w:rPr>
      </w:pPr>
    </w:p>
    <w:p w14:paraId="3B113041" w14:textId="77777777" w:rsidR="005E117F" w:rsidRDefault="005E117F" w:rsidP="005428DD">
      <w:pPr>
        <w:spacing w:line="480" w:lineRule="auto"/>
        <w:rPr>
          <w:rFonts w:ascii="Arial" w:hAnsi="Arial" w:cs="Arial"/>
        </w:rPr>
      </w:pPr>
    </w:p>
    <w:p w14:paraId="29FFC91B" w14:textId="77777777" w:rsidR="005E117F" w:rsidRDefault="005E117F" w:rsidP="005428DD">
      <w:pPr>
        <w:spacing w:line="480" w:lineRule="auto"/>
        <w:rPr>
          <w:rFonts w:ascii="Arial" w:hAnsi="Arial" w:cs="Arial"/>
        </w:rPr>
      </w:pPr>
    </w:p>
    <w:p w14:paraId="356A8E90" w14:textId="77777777" w:rsidR="005E117F" w:rsidRDefault="005E117F" w:rsidP="005428DD">
      <w:pPr>
        <w:spacing w:line="480" w:lineRule="auto"/>
        <w:rPr>
          <w:rFonts w:ascii="Arial" w:hAnsi="Arial" w:cs="Arial"/>
        </w:rPr>
      </w:pPr>
    </w:p>
    <w:p w14:paraId="1E6594FE" w14:textId="77777777" w:rsidR="005E117F" w:rsidRDefault="005E117F" w:rsidP="005428DD">
      <w:pPr>
        <w:spacing w:line="480" w:lineRule="auto"/>
        <w:rPr>
          <w:rFonts w:ascii="Arial" w:hAnsi="Arial" w:cs="Arial"/>
        </w:rPr>
      </w:pPr>
    </w:p>
    <w:p w14:paraId="4ED0B411" w14:textId="2AD17CC4" w:rsidR="005E117F" w:rsidRPr="005E117F" w:rsidRDefault="005E117F" w:rsidP="005428DD">
      <w:pPr>
        <w:spacing w:line="480" w:lineRule="auto"/>
        <w:rPr>
          <w:rFonts w:ascii="Arial" w:hAnsi="Arial" w:cs="Arial"/>
          <w:b/>
          <w:bCs/>
        </w:rPr>
      </w:pPr>
      <w:r w:rsidRPr="005E117F">
        <w:rPr>
          <w:rFonts w:ascii="Arial" w:hAnsi="Arial" w:cs="Arial"/>
          <w:b/>
          <w:bCs/>
        </w:rPr>
        <w:lastRenderedPageBreak/>
        <w:t xml:space="preserve">References </w:t>
      </w:r>
    </w:p>
    <w:p w14:paraId="5AB28B4F" w14:textId="77777777" w:rsidR="005E117F" w:rsidRPr="005E117F" w:rsidRDefault="005E117F" w:rsidP="005E117F">
      <w:pPr>
        <w:spacing w:line="480" w:lineRule="auto"/>
        <w:rPr>
          <w:rFonts w:ascii="Arial" w:hAnsi="Arial" w:cs="Arial"/>
        </w:rPr>
      </w:pPr>
      <w:r w:rsidRPr="005E117F">
        <w:rPr>
          <w:rFonts w:ascii="Arial" w:hAnsi="Arial" w:cs="Arial"/>
        </w:rPr>
        <w:t xml:space="preserve">Abdusalomova, N. B. (2026). Management accounting: The technique of indicators for evaluating the business process efficiency. In </w:t>
      </w:r>
      <w:r w:rsidRPr="005E117F">
        <w:rPr>
          <w:rFonts w:ascii="Arial" w:hAnsi="Arial" w:cs="Arial"/>
          <w:i/>
          <w:iCs/>
        </w:rPr>
        <w:t>The sustainable development of the entrepreneurial economy in the fifth industrial revolution (pp. 563–573).</w:t>
      </w:r>
    </w:p>
    <w:p w14:paraId="5AF03CD1" w14:textId="77777777" w:rsidR="005E117F" w:rsidRPr="005E117F" w:rsidRDefault="005E117F" w:rsidP="005E117F">
      <w:pPr>
        <w:spacing w:line="480" w:lineRule="auto"/>
        <w:rPr>
          <w:rFonts w:ascii="Arial" w:hAnsi="Arial" w:cs="Arial"/>
        </w:rPr>
      </w:pPr>
      <w:r w:rsidRPr="005E117F">
        <w:rPr>
          <w:rFonts w:ascii="Arial" w:hAnsi="Arial" w:cs="Arial"/>
        </w:rPr>
        <w:t xml:space="preserve">An, K. (2024). From business model and marketing: Analyse the success and future development of McDonald’s. </w:t>
      </w:r>
      <w:r w:rsidRPr="005E117F">
        <w:rPr>
          <w:rFonts w:ascii="Arial" w:hAnsi="Arial" w:cs="Arial"/>
          <w:i/>
          <w:iCs/>
        </w:rPr>
        <w:t>Highlights in Business Economics and Management, 37</w:t>
      </w:r>
      <w:r w:rsidRPr="005E117F">
        <w:rPr>
          <w:rFonts w:ascii="Arial" w:hAnsi="Arial" w:cs="Arial"/>
        </w:rPr>
        <w:t>, 88–95.</w:t>
      </w:r>
    </w:p>
    <w:p w14:paraId="13B03BC5" w14:textId="77777777" w:rsidR="005E117F" w:rsidRPr="005E117F" w:rsidRDefault="005E117F" w:rsidP="005E117F">
      <w:pPr>
        <w:spacing w:line="480" w:lineRule="auto"/>
        <w:rPr>
          <w:rFonts w:ascii="Arial" w:hAnsi="Arial" w:cs="Arial"/>
        </w:rPr>
      </w:pPr>
      <w:r w:rsidRPr="005E117F">
        <w:rPr>
          <w:rFonts w:ascii="Arial" w:hAnsi="Arial" w:cs="Arial"/>
        </w:rPr>
        <w:t xml:space="preserve">Ao, S. I., Hurwitz, M., &amp; Palade, V. (2025). Cognitive computing and business intelligence applications in accounting, finance and management. </w:t>
      </w:r>
      <w:r w:rsidRPr="005E117F">
        <w:rPr>
          <w:rFonts w:ascii="Arial" w:hAnsi="Arial" w:cs="Arial"/>
          <w:i/>
          <w:iCs/>
        </w:rPr>
        <w:t>Big Data and Cognitive Computing, 9</w:t>
      </w:r>
      <w:r w:rsidRPr="005E117F">
        <w:rPr>
          <w:rFonts w:ascii="Arial" w:hAnsi="Arial" w:cs="Arial"/>
        </w:rPr>
        <w:t>(3), 54.</w:t>
      </w:r>
    </w:p>
    <w:p w14:paraId="53F0BDDB" w14:textId="77777777" w:rsidR="005E117F" w:rsidRPr="005E117F" w:rsidRDefault="005E117F" w:rsidP="005E117F">
      <w:pPr>
        <w:spacing w:line="480" w:lineRule="auto"/>
        <w:rPr>
          <w:rFonts w:ascii="Arial" w:hAnsi="Arial" w:cs="Arial"/>
        </w:rPr>
      </w:pPr>
      <w:r w:rsidRPr="005E117F">
        <w:rPr>
          <w:rFonts w:ascii="Arial" w:hAnsi="Arial" w:cs="Arial"/>
        </w:rPr>
        <w:t xml:space="preserve">Astrina, A., Latif, A., &amp; Malik, T. (2024). The influence of the effectiveness ratio on the financial performance through the growth ratio and regional financial ratio at the regional financial and asset management agency (BPKAD), </w:t>
      </w:r>
      <w:proofErr w:type="spellStart"/>
      <w:r w:rsidRPr="005E117F">
        <w:rPr>
          <w:rFonts w:ascii="Arial" w:hAnsi="Arial" w:cs="Arial"/>
          <w:i/>
          <w:iCs/>
        </w:rPr>
        <w:t>Mamuju</w:t>
      </w:r>
      <w:proofErr w:type="spellEnd"/>
      <w:r w:rsidRPr="005E117F">
        <w:rPr>
          <w:rFonts w:ascii="Arial" w:hAnsi="Arial" w:cs="Arial"/>
          <w:i/>
          <w:iCs/>
        </w:rPr>
        <w:t xml:space="preserve"> Regency. Point of View Research Economic Development, 5</w:t>
      </w:r>
      <w:r w:rsidRPr="005E117F">
        <w:rPr>
          <w:rFonts w:ascii="Arial" w:hAnsi="Arial" w:cs="Arial"/>
        </w:rPr>
        <w:t>(1).</w:t>
      </w:r>
    </w:p>
    <w:p w14:paraId="6B6B7EA7" w14:textId="77777777" w:rsidR="005E117F" w:rsidRPr="005E117F" w:rsidRDefault="005E117F" w:rsidP="005E117F">
      <w:pPr>
        <w:spacing w:line="480" w:lineRule="auto"/>
        <w:rPr>
          <w:rFonts w:ascii="Arial" w:hAnsi="Arial" w:cs="Arial"/>
        </w:rPr>
      </w:pPr>
      <w:r w:rsidRPr="005E117F">
        <w:rPr>
          <w:rFonts w:ascii="Arial" w:hAnsi="Arial" w:cs="Arial"/>
        </w:rPr>
        <w:t xml:space="preserve">Chea, A. C. (2023). Global marketing: Emerging market economies' challenges, opportunities and effective marketing strategy for success. </w:t>
      </w:r>
      <w:r w:rsidRPr="005E117F">
        <w:rPr>
          <w:rFonts w:ascii="Arial" w:hAnsi="Arial" w:cs="Arial"/>
          <w:i/>
          <w:iCs/>
        </w:rPr>
        <w:t>Business and Economic Research, 13</w:t>
      </w:r>
      <w:r w:rsidRPr="005E117F">
        <w:rPr>
          <w:rFonts w:ascii="Arial" w:hAnsi="Arial" w:cs="Arial"/>
        </w:rPr>
        <w:t>(4), 103.</w:t>
      </w:r>
    </w:p>
    <w:p w14:paraId="4E8E43F4" w14:textId="77777777" w:rsidR="005E117F" w:rsidRPr="005E117F" w:rsidRDefault="005E117F" w:rsidP="005E117F">
      <w:pPr>
        <w:spacing w:line="480" w:lineRule="auto"/>
        <w:rPr>
          <w:rFonts w:ascii="Arial" w:hAnsi="Arial" w:cs="Arial"/>
        </w:rPr>
      </w:pPr>
      <w:proofErr w:type="spellStart"/>
      <w:r w:rsidRPr="005E117F">
        <w:rPr>
          <w:rFonts w:ascii="Arial" w:hAnsi="Arial" w:cs="Arial"/>
        </w:rPr>
        <w:t>Hasidi</w:t>
      </w:r>
      <w:proofErr w:type="spellEnd"/>
      <w:r w:rsidRPr="005E117F">
        <w:rPr>
          <w:rFonts w:ascii="Arial" w:hAnsi="Arial" w:cs="Arial"/>
        </w:rPr>
        <w:t xml:space="preserve">, M. H., </w:t>
      </w:r>
      <w:proofErr w:type="spellStart"/>
      <w:r w:rsidRPr="005E117F">
        <w:rPr>
          <w:rFonts w:ascii="Arial" w:hAnsi="Arial" w:cs="Arial"/>
        </w:rPr>
        <w:t>Baheri</w:t>
      </w:r>
      <w:proofErr w:type="spellEnd"/>
      <w:r w:rsidRPr="005E117F">
        <w:rPr>
          <w:rFonts w:ascii="Arial" w:hAnsi="Arial" w:cs="Arial"/>
        </w:rPr>
        <w:t xml:space="preserve">, J., &amp; Hajar, K. I. (2024). Financial performance evaluation using profitability and liquidity ratio analysis. </w:t>
      </w:r>
      <w:proofErr w:type="spellStart"/>
      <w:r w:rsidRPr="005E117F">
        <w:rPr>
          <w:rFonts w:ascii="Arial" w:hAnsi="Arial" w:cs="Arial"/>
          <w:i/>
          <w:iCs/>
        </w:rPr>
        <w:t>Jurnal</w:t>
      </w:r>
      <w:proofErr w:type="spellEnd"/>
      <w:r w:rsidRPr="005E117F">
        <w:rPr>
          <w:rFonts w:ascii="Arial" w:hAnsi="Arial" w:cs="Arial"/>
          <w:i/>
          <w:iCs/>
        </w:rPr>
        <w:t xml:space="preserve"> </w:t>
      </w:r>
      <w:proofErr w:type="spellStart"/>
      <w:r w:rsidRPr="005E117F">
        <w:rPr>
          <w:rFonts w:ascii="Arial" w:hAnsi="Arial" w:cs="Arial"/>
          <w:i/>
          <w:iCs/>
        </w:rPr>
        <w:t>Ilmiah</w:t>
      </w:r>
      <w:proofErr w:type="spellEnd"/>
      <w:r w:rsidRPr="005E117F">
        <w:rPr>
          <w:rFonts w:ascii="Arial" w:hAnsi="Arial" w:cs="Arial"/>
          <w:i/>
          <w:iCs/>
        </w:rPr>
        <w:t xml:space="preserve"> </w:t>
      </w:r>
      <w:proofErr w:type="spellStart"/>
      <w:r w:rsidRPr="005E117F">
        <w:rPr>
          <w:rFonts w:ascii="Arial" w:hAnsi="Arial" w:cs="Arial"/>
          <w:i/>
          <w:iCs/>
        </w:rPr>
        <w:t>Manajemen</w:t>
      </w:r>
      <w:proofErr w:type="spellEnd"/>
      <w:r w:rsidRPr="005E117F">
        <w:rPr>
          <w:rFonts w:ascii="Arial" w:hAnsi="Arial" w:cs="Arial"/>
          <w:i/>
          <w:iCs/>
        </w:rPr>
        <w:t xml:space="preserve"> Kesatuan, 12</w:t>
      </w:r>
      <w:r w:rsidRPr="005E117F">
        <w:rPr>
          <w:rFonts w:ascii="Arial" w:hAnsi="Arial" w:cs="Arial"/>
        </w:rPr>
        <w:t>(4), 1347–1358.</w:t>
      </w:r>
    </w:p>
    <w:p w14:paraId="04403A20" w14:textId="77777777" w:rsidR="005E117F" w:rsidRPr="005E117F" w:rsidRDefault="005E117F" w:rsidP="005E117F">
      <w:pPr>
        <w:spacing w:line="480" w:lineRule="auto"/>
        <w:rPr>
          <w:rFonts w:ascii="Arial" w:hAnsi="Arial" w:cs="Arial"/>
          <w:i/>
          <w:iCs/>
        </w:rPr>
      </w:pPr>
      <w:r w:rsidRPr="005E117F">
        <w:rPr>
          <w:rFonts w:ascii="Arial" w:hAnsi="Arial" w:cs="Arial"/>
        </w:rPr>
        <w:t xml:space="preserve">Hassan, M. (2018). </w:t>
      </w:r>
      <w:r w:rsidRPr="005E117F">
        <w:rPr>
          <w:rFonts w:ascii="Arial" w:hAnsi="Arial" w:cs="Arial"/>
          <w:i/>
          <w:iCs/>
        </w:rPr>
        <w:t>Financial ratio analysis is an important tool for evaluating the performance of a business organisation.</w:t>
      </w:r>
    </w:p>
    <w:p w14:paraId="2F029CB7" w14:textId="77777777" w:rsidR="005E117F" w:rsidRPr="005E117F" w:rsidRDefault="005E117F" w:rsidP="005E117F">
      <w:pPr>
        <w:spacing w:line="480" w:lineRule="auto"/>
        <w:rPr>
          <w:rFonts w:ascii="Arial" w:hAnsi="Arial" w:cs="Arial"/>
        </w:rPr>
      </w:pPr>
    </w:p>
    <w:p w14:paraId="1242F013" w14:textId="77777777" w:rsidR="005E117F" w:rsidRPr="005E117F" w:rsidRDefault="005E117F" w:rsidP="005E117F">
      <w:pPr>
        <w:spacing w:line="480" w:lineRule="auto"/>
        <w:rPr>
          <w:rFonts w:ascii="Arial" w:hAnsi="Arial" w:cs="Arial"/>
        </w:rPr>
      </w:pPr>
      <w:r w:rsidRPr="005E117F">
        <w:rPr>
          <w:rFonts w:ascii="Arial" w:hAnsi="Arial" w:cs="Arial"/>
        </w:rPr>
        <w:lastRenderedPageBreak/>
        <w:t xml:space="preserve">Laghari, F., Ahmed, F., &amp; López García, M. D. L. N. (2023). Cash flow management and its effect on firm performance: Empirical evidence on non-financial firms of China. </w:t>
      </w:r>
      <w:r w:rsidRPr="00D94B08">
        <w:rPr>
          <w:rFonts w:ascii="Arial" w:hAnsi="Arial" w:cs="Arial"/>
          <w:i/>
          <w:iCs/>
        </w:rPr>
        <w:t>PLOS ONE, 18</w:t>
      </w:r>
      <w:r w:rsidRPr="005E117F">
        <w:rPr>
          <w:rFonts w:ascii="Arial" w:hAnsi="Arial" w:cs="Arial"/>
        </w:rPr>
        <w:t>(6), e0287135.</w:t>
      </w:r>
    </w:p>
    <w:p w14:paraId="1238F08A" w14:textId="77777777" w:rsidR="005E117F" w:rsidRPr="005E117F" w:rsidRDefault="005E117F" w:rsidP="005E117F">
      <w:pPr>
        <w:spacing w:line="480" w:lineRule="auto"/>
        <w:rPr>
          <w:rFonts w:ascii="Arial" w:hAnsi="Arial" w:cs="Arial"/>
        </w:rPr>
      </w:pPr>
      <w:r w:rsidRPr="005E117F">
        <w:rPr>
          <w:rFonts w:ascii="Arial" w:hAnsi="Arial" w:cs="Arial"/>
        </w:rPr>
        <w:t xml:space="preserve">Loughran, M. (2026). </w:t>
      </w:r>
      <w:r w:rsidRPr="00D94B08">
        <w:rPr>
          <w:rFonts w:ascii="Arial" w:hAnsi="Arial" w:cs="Arial"/>
          <w:i/>
          <w:iCs/>
        </w:rPr>
        <w:t>Financial accounting for dummies</w:t>
      </w:r>
      <w:r w:rsidRPr="005E117F">
        <w:rPr>
          <w:rFonts w:ascii="Arial" w:hAnsi="Arial" w:cs="Arial"/>
        </w:rPr>
        <w:t>. John Wiley &amp; Sons.</w:t>
      </w:r>
    </w:p>
    <w:p w14:paraId="54E1E493" w14:textId="77777777" w:rsidR="005E117F" w:rsidRPr="005E117F" w:rsidRDefault="005E117F" w:rsidP="005E117F">
      <w:pPr>
        <w:spacing w:line="480" w:lineRule="auto"/>
        <w:rPr>
          <w:rFonts w:ascii="Arial" w:hAnsi="Arial" w:cs="Arial"/>
        </w:rPr>
      </w:pPr>
      <w:r w:rsidRPr="005E117F">
        <w:rPr>
          <w:rFonts w:ascii="Arial" w:hAnsi="Arial" w:cs="Arial"/>
        </w:rPr>
        <w:t>Olayinka, A. A. (2022). Financial statement analysis as a tool for investment decisions and assessment of companies’ performance</w:t>
      </w:r>
      <w:r w:rsidRPr="00D94B08">
        <w:rPr>
          <w:rFonts w:ascii="Arial" w:hAnsi="Arial" w:cs="Arial"/>
          <w:i/>
          <w:iCs/>
        </w:rPr>
        <w:t>. International Journal of Financial, Accounting, and Management, 4</w:t>
      </w:r>
      <w:r w:rsidRPr="005E117F">
        <w:rPr>
          <w:rFonts w:ascii="Arial" w:hAnsi="Arial" w:cs="Arial"/>
        </w:rPr>
        <w:t>(1), 49–66.</w:t>
      </w:r>
    </w:p>
    <w:p w14:paraId="296ACD9F" w14:textId="77777777" w:rsidR="005E117F" w:rsidRPr="005E117F" w:rsidRDefault="005E117F" w:rsidP="005E117F">
      <w:pPr>
        <w:spacing w:line="480" w:lineRule="auto"/>
        <w:rPr>
          <w:rFonts w:ascii="Arial" w:hAnsi="Arial" w:cs="Arial"/>
        </w:rPr>
      </w:pPr>
      <w:r w:rsidRPr="005E117F">
        <w:rPr>
          <w:rFonts w:ascii="Arial" w:hAnsi="Arial" w:cs="Arial"/>
        </w:rPr>
        <w:t xml:space="preserve">Onat, N. C., </w:t>
      </w:r>
      <w:proofErr w:type="spellStart"/>
      <w:r w:rsidRPr="005E117F">
        <w:rPr>
          <w:rFonts w:ascii="Arial" w:hAnsi="Arial" w:cs="Arial"/>
        </w:rPr>
        <w:t>Mandouri</w:t>
      </w:r>
      <w:proofErr w:type="spellEnd"/>
      <w:r w:rsidRPr="005E117F">
        <w:rPr>
          <w:rFonts w:ascii="Arial" w:hAnsi="Arial" w:cs="Arial"/>
        </w:rPr>
        <w:t xml:space="preserve">, J., </w:t>
      </w:r>
      <w:proofErr w:type="spellStart"/>
      <w:r w:rsidRPr="005E117F">
        <w:rPr>
          <w:rFonts w:ascii="Arial" w:hAnsi="Arial" w:cs="Arial"/>
        </w:rPr>
        <w:t>Kucukvar</w:t>
      </w:r>
      <w:proofErr w:type="spellEnd"/>
      <w:r w:rsidRPr="005E117F">
        <w:rPr>
          <w:rFonts w:ascii="Arial" w:hAnsi="Arial" w:cs="Arial"/>
        </w:rPr>
        <w:t>, M., Kutty, A. A., &amp; Al</w:t>
      </w:r>
      <w:r w:rsidRPr="005E117F">
        <w:rPr>
          <w:rFonts w:ascii="Cambria Math" w:hAnsi="Cambria Math" w:cs="Cambria Math"/>
        </w:rPr>
        <w:t>‐</w:t>
      </w:r>
      <w:r w:rsidRPr="005E117F">
        <w:rPr>
          <w:rFonts w:ascii="Arial" w:hAnsi="Arial" w:cs="Arial"/>
        </w:rPr>
        <w:t xml:space="preserve">Muftah, A. A. (2025). Driving sustainable business practices with carbon accounting and reporting: A holistic framework and empirical analysis. </w:t>
      </w:r>
      <w:r w:rsidRPr="00D94B08">
        <w:rPr>
          <w:rFonts w:ascii="Arial" w:hAnsi="Arial" w:cs="Arial"/>
          <w:i/>
          <w:iCs/>
        </w:rPr>
        <w:t>Corporate Social Responsibility and Environmental Management, 32</w:t>
      </w:r>
      <w:r w:rsidRPr="005E117F">
        <w:rPr>
          <w:rFonts w:ascii="Arial" w:hAnsi="Arial" w:cs="Arial"/>
        </w:rPr>
        <w:t>(2), 2795–2814.</w:t>
      </w:r>
    </w:p>
    <w:p w14:paraId="383C4BEE" w14:textId="77777777" w:rsidR="005E117F" w:rsidRPr="005E117F" w:rsidRDefault="005E117F" w:rsidP="005E117F">
      <w:pPr>
        <w:spacing w:line="480" w:lineRule="auto"/>
        <w:rPr>
          <w:rFonts w:ascii="Arial" w:hAnsi="Arial" w:cs="Arial"/>
        </w:rPr>
      </w:pPr>
      <w:r w:rsidRPr="005E117F">
        <w:rPr>
          <w:rFonts w:ascii="Arial" w:hAnsi="Arial" w:cs="Arial"/>
        </w:rPr>
        <w:t xml:space="preserve">Qiu, C. (2022). Research on the business model &amp; advertisement of McDonald’s. In </w:t>
      </w:r>
      <w:r w:rsidRPr="00D94B08">
        <w:rPr>
          <w:rFonts w:ascii="Arial" w:hAnsi="Arial" w:cs="Arial"/>
          <w:i/>
          <w:iCs/>
        </w:rPr>
        <w:t>Proceedings of the 2nd International Conference on Economic Development and Business Culture (ICEDBC 2022) (pp. 417–421).</w:t>
      </w:r>
      <w:r w:rsidRPr="005E117F">
        <w:rPr>
          <w:rFonts w:ascii="Arial" w:hAnsi="Arial" w:cs="Arial"/>
        </w:rPr>
        <w:t xml:space="preserve"> Atlantis Press.</w:t>
      </w:r>
    </w:p>
    <w:p w14:paraId="501471F4" w14:textId="57708302" w:rsidR="005E117F" w:rsidRPr="005E117F" w:rsidRDefault="005E117F" w:rsidP="005E117F">
      <w:pPr>
        <w:spacing w:line="480" w:lineRule="auto"/>
        <w:rPr>
          <w:rFonts w:ascii="Arial" w:hAnsi="Arial" w:cs="Arial"/>
        </w:rPr>
      </w:pPr>
      <w:r w:rsidRPr="005E117F">
        <w:rPr>
          <w:rFonts w:ascii="Arial" w:hAnsi="Arial" w:cs="Arial"/>
        </w:rPr>
        <w:t xml:space="preserve">Rashid, C. A. (2021). The efficiency of financial ratios analysis </w:t>
      </w:r>
      <w:r w:rsidR="00D94B08">
        <w:rPr>
          <w:rFonts w:ascii="Arial" w:hAnsi="Arial" w:cs="Arial"/>
        </w:rPr>
        <w:t>in evaluating</w:t>
      </w:r>
      <w:r w:rsidRPr="005E117F">
        <w:rPr>
          <w:rFonts w:ascii="Arial" w:hAnsi="Arial" w:cs="Arial"/>
        </w:rPr>
        <w:t xml:space="preserve"> </w:t>
      </w:r>
      <w:r w:rsidR="00D94B08">
        <w:rPr>
          <w:rFonts w:ascii="Arial" w:hAnsi="Arial" w:cs="Arial"/>
        </w:rPr>
        <w:t xml:space="preserve">a </w:t>
      </w:r>
      <w:r w:rsidRPr="005E117F">
        <w:rPr>
          <w:rFonts w:ascii="Arial" w:hAnsi="Arial" w:cs="Arial"/>
        </w:rPr>
        <w:t xml:space="preserve">company’s profitability. </w:t>
      </w:r>
      <w:r w:rsidRPr="00D94B08">
        <w:rPr>
          <w:rFonts w:ascii="Arial" w:hAnsi="Arial" w:cs="Arial"/>
          <w:i/>
          <w:iCs/>
        </w:rPr>
        <w:t>Journal of Global Economics and Business, 2</w:t>
      </w:r>
      <w:r w:rsidRPr="005E117F">
        <w:rPr>
          <w:rFonts w:ascii="Arial" w:hAnsi="Arial" w:cs="Arial"/>
        </w:rPr>
        <w:t>(4), 119–132.</w:t>
      </w:r>
    </w:p>
    <w:p w14:paraId="1676D04F" w14:textId="77777777" w:rsidR="005E117F" w:rsidRPr="005E117F" w:rsidRDefault="005E117F" w:rsidP="005E117F">
      <w:pPr>
        <w:spacing w:line="480" w:lineRule="auto"/>
        <w:rPr>
          <w:rFonts w:ascii="Arial" w:hAnsi="Arial" w:cs="Arial"/>
        </w:rPr>
      </w:pPr>
      <w:proofErr w:type="spellStart"/>
      <w:r w:rsidRPr="005E117F">
        <w:rPr>
          <w:rFonts w:ascii="Arial" w:hAnsi="Arial" w:cs="Arial"/>
        </w:rPr>
        <w:t>Rumagit</w:t>
      </w:r>
      <w:proofErr w:type="spellEnd"/>
      <w:r w:rsidRPr="005E117F">
        <w:rPr>
          <w:rFonts w:ascii="Arial" w:hAnsi="Arial" w:cs="Arial"/>
        </w:rPr>
        <w:t xml:space="preserve">, M. C., Song, N. H., Farzana, A., Kee, D. M. H., </w:t>
      </w:r>
      <w:proofErr w:type="spellStart"/>
      <w:r w:rsidRPr="005E117F">
        <w:rPr>
          <w:rFonts w:ascii="Arial" w:hAnsi="Arial" w:cs="Arial"/>
        </w:rPr>
        <w:t>Annaletchumi</w:t>
      </w:r>
      <w:proofErr w:type="spellEnd"/>
      <w:r w:rsidRPr="005E117F">
        <w:rPr>
          <w:rFonts w:ascii="Arial" w:hAnsi="Arial" w:cs="Arial"/>
        </w:rPr>
        <w:t xml:space="preserve">, A., </w:t>
      </w:r>
      <w:proofErr w:type="spellStart"/>
      <w:r w:rsidRPr="005E117F">
        <w:rPr>
          <w:rFonts w:ascii="Arial" w:hAnsi="Arial" w:cs="Arial"/>
        </w:rPr>
        <w:t>Zuraya</w:t>
      </w:r>
      <w:proofErr w:type="spellEnd"/>
      <w:r w:rsidRPr="005E117F">
        <w:rPr>
          <w:rFonts w:ascii="Arial" w:hAnsi="Arial" w:cs="Arial"/>
        </w:rPr>
        <w:t xml:space="preserve">, A., &amp; Nathania, N. (2022). A study on factors affecting customer satisfaction at McDonald’s restaurants. </w:t>
      </w:r>
      <w:r w:rsidRPr="00D94B08">
        <w:rPr>
          <w:rFonts w:ascii="Arial" w:hAnsi="Arial" w:cs="Arial"/>
          <w:i/>
          <w:iCs/>
        </w:rPr>
        <w:t>International Journal of Tourism and Hospitality in Asia Pacific, 5</w:t>
      </w:r>
      <w:r w:rsidRPr="005E117F">
        <w:rPr>
          <w:rFonts w:ascii="Arial" w:hAnsi="Arial" w:cs="Arial"/>
        </w:rPr>
        <w:t>(1), 22–28.</w:t>
      </w:r>
    </w:p>
    <w:p w14:paraId="47697A06" w14:textId="77777777" w:rsidR="00D94B08" w:rsidRDefault="005E117F" w:rsidP="005E117F">
      <w:pPr>
        <w:spacing w:line="480" w:lineRule="auto"/>
        <w:rPr>
          <w:rFonts w:ascii="Arial" w:hAnsi="Arial" w:cs="Arial"/>
        </w:rPr>
      </w:pPr>
      <w:r w:rsidRPr="005E117F">
        <w:rPr>
          <w:rFonts w:ascii="Arial" w:hAnsi="Arial" w:cs="Arial"/>
        </w:rPr>
        <w:t xml:space="preserve">Shahid, M., Shafiq, H., Khan, A., Bari, R., Shahzad, N., Ch, I. S., &amp; Parveen, S. (2014). Financial exposure of McDonald's </w:t>
      </w:r>
      <w:r w:rsidR="00D94B08">
        <w:rPr>
          <w:rFonts w:ascii="Arial" w:hAnsi="Arial" w:cs="Arial"/>
        </w:rPr>
        <w:t>Corp</w:t>
      </w:r>
      <w:r w:rsidRPr="005E117F">
        <w:rPr>
          <w:rFonts w:ascii="Arial" w:hAnsi="Arial" w:cs="Arial"/>
        </w:rPr>
        <w:t xml:space="preserve">. success as a market leader. </w:t>
      </w:r>
      <w:r w:rsidRPr="00D94B08">
        <w:rPr>
          <w:rFonts w:ascii="Arial" w:hAnsi="Arial" w:cs="Arial"/>
          <w:i/>
          <w:iCs/>
        </w:rPr>
        <w:t>International Journal of Accounting and Financial Reporting, 4</w:t>
      </w:r>
      <w:r w:rsidRPr="005E117F">
        <w:rPr>
          <w:rFonts w:ascii="Arial" w:hAnsi="Arial" w:cs="Arial"/>
        </w:rPr>
        <w:t>(1), 338–356.</w:t>
      </w:r>
    </w:p>
    <w:p w14:paraId="41008F08" w14:textId="34C36794" w:rsidR="005E117F" w:rsidRPr="005E117F" w:rsidRDefault="005E117F" w:rsidP="005E117F">
      <w:pPr>
        <w:spacing w:line="480" w:lineRule="auto"/>
        <w:rPr>
          <w:rFonts w:ascii="Arial" w:hAnsi="Arial" w:cs="Arial"/>
        </w:rPr>
      </w:pPr>
      <w:r w:rsidRPr="005E117F">
        <w:rPr>
          <w:rFonts w:ascii="Arial" w:hAnsi="Arial" w:cs="Arial"/>
        </w:rPr>
        <w:lastRenderedPageBreak/>
        <w:t xml:space="preserve">Tang, X., Li, S., Tan, M., &amp; Shi, W. (2020). Incorporating textual and management factors into financial distress prediction: A comparative study of machine learning methods. </w:t>
      </w:r>
      <w:r w:rsidRPr="00D94B08">
        <w:rPr>
          <w:rFonts w:ascii="Arial" w:hAnsi="Arial" w:cs="Arial"/>
          <w:i/>
          <w:iCs/>
        </w:rPr>
        <w:t>Journal of Forecasting, 39</w:t>
      </w:r>
      <w:r w:rsidRPr="005E117F">
        <w:rPr>
          <w:rFonts w:ascii="Arial" w:hAnsi="Arial" w:cs="Arial"/>
        </w:rPr>
        <w:t>(5), 769–787.</w:t>
      </w:r>
    </w:p>
    <w:p w14:paraId="2AA181F4" w14:textId="22DB7DFA" w:rsidR="005E117F" w:rsidRPr="005E117F" w:rsidRDefault="005E117F" w:rsidP="005E117F">
      <w:pPr>
        <w:spacing w:line="480" w:lineRule="auto"/>
        <w:rPr>
          <w:rFonts w:ascii="Arial" w:hAnsi="Arial" w:cs="Arial"/>
        </w:rPr>
      </w:pPr>
      <w:r w:rsidRPr="005E117F">
        <w:rPr>
          <w:rFonts w:ascii="Arial" w:hAnsi="Arial" w:cs="Arial"/>
        </w:rPr>
        <w:t xml:space="preserve">U.S. Securities and Exchange Commission. (2024). McDonald’s Corporation – SEC Form 8-K. </w:t>
      </w:r>
      <w:hyperlink r:id="rId6" w:history="1">
        <w:r w:rsidR="00D94B08" w:rsidRPr="00080DA4">
          <w:rPr>
            <w:rStyle w:val="Hyperlink"/>
            <w:rFonts w:ascii="Arial" w:hAnsi="Arial" w:cs="Arial"/>
          </w:rPr>
          <w:t>https://d18rn0p25nwr6d.cloudfront.net/CIK-0000063908/03b5a1a9-6f94-4ff0-a23a-1b0f98ff47fb.pdf</w:t>
        </w:r>
      </w:hyperlink>
      <w:r w:rsidR="00D94B08">
        <w:rPr>
          <w:rFonts w:ascii="Arial" w:hAnsi="Arial" w:cs="Arial"/>
        </w:rPr>
        <w:t xml:space="preserve"> </w:t>
      </w:r>
    </w:p>
    <w:p w14:paraId="458F4EB8" w14:textId="5077A285" w:rsidR="005E117F" w:rsidRPr="005E117F" w:rsidRDefault="005E117F" w:rsidP="005E117F">
      <w:pPr>
        <w:spacing w:line="480" w:lineRule="auto"/>
        <w:rPr>
          <w:rFonts w:ascii="Arial" w:hAnsi="Arial" w:cs="Arial"/>
        </w:rPr>
      </w:pPr>
      <w:r w:rsidRPr="005E117F">
        <w:rPr>
          <w:rFonts w:ascii="Arial" w:hAnsi="Arial" w:cs="Arial"/>
        </w:rPr>
        <w:t xml:space="preserve">Zhang, X., Jiang, D., &amp; Zhao, Z. (2022). Forecasting McDonald’s </w:t>
      </w:r>
      <w:r w:rsidR="00D94B08">
        <w:rPr>
          <w:rFonts w:ascii="Arial" w:hAnsi="Arial" w:cs="Arial"/>
        </w:rPr>
        <w:t>corporation's</w:t>
      </w:r>
      <w:r w:rsidRPr="005E117F">
        <w:rPr>
          <w:rFonts w:ascii="Arial" w:hAnsi="Arial" w:cs="Arial"/>
        </w:rPr>
        <w:t xml:space="preserve"> performance </w:t>
      </w:r>
      <w:r w:rsidR="00D94B08">
        <w:rPr>
          <w:rFonts w:ascii="Arial" w:hAnsi="Arial" w:cs="Arial"/>
        </w:rPr>
        <w:t>from</w:t>
      </w:r>
      <w:r w:rsidRPr="005E117F">
        <w:rPr>
          <w:rFonts w:ascii="Arial" w:hAnsi="Arial" w:cs="Arial"/>
        </w:rPr>
        <w:t xml:space="preserve"> 2022</w:t>
      </w:r>
      <w:r w:rsidR="00D94B08">
        <w:rPr>
          <w:rFonts w:ascii="Arial" w:hAnsi="Arial" w:cs="Arial"/>
        </w:rPr>
        <w:t xml:space="preserve"> to </w:t>
      </w:r>
      <w:r w:rsidRPr="005E117F">
        <w:rPr>
          <w:rFonts w:ascii="Arial" w:hAnsi="Arial" w:cs="Arial"/>
        </w:rPr>
        <w:t xml:space="preserve">2031 based on forecasting financial statements and valuation models. In </w:t>
      </w:r>
      <w:r w:rsidRPr="00D94B08">
        <w:rPr>
          <w:rFonts w:ascii="Arial" w:hAnsi="Arial" w:cs="Arial"/>
          <w:i/>
          <w:iCs/>
        </w:rPr>
        <w:t xml:space="preserve">International </w:t>
      </w:r>
      <w:r w:rsidR="00D94B08" w:rsidRPr="00D94B08">
        <w:rPr>
          <w:rFonts w:ascii="Arial" w:hAnsi="Arial" w:cs="Arial"/>
          <w:i/>
          <w:iCs/>
        </w:rPr>
        <w:t>Conference</w:t>
      </w:r>
      <w:r w:rsidRPr="00D94B08">
        <w:rPr>
          <w:rFonts w:ascii="Arial" w:hAnsi="Arial" w:cs="Arial"/>
          <w:i/>
          <w:iCs/>
        </w:rPr>
        <w:t xml:space="preserve"> on </w:t>
      </w:r>
      <w:r w:rsidR="00D94B08" w:rsidRPr="00D94B08">
        <w:rPr>
          <w:rFonts w:ascii="Arial" w:hAnsi="Arial" w:cs="Arial"/>
          <w:i/>
          <w:iCs/>
        </w:rPr>
        <w:t>Business</w:t>
      </w:r>
      <w:r w:rsidRPr="00D94B08">
        <w:rPr>
          <w:rFonts w:ascii="Arial" w:hAnsi="Arial" w:cs="Arial"/>
          <w:i/>
          <w:iCs/>
        </w:rPr>
        <w:t xml:space="preserve"> and </w:t>
      </w:r>
      <w:r w:rsidR="00D94B08" w:rsidRPr="00D94B08">
        <w:rPr>
          <w:rFonts w:ascii="Arial" w:hAnsi="Arial" w:cs="Arial"/>
          <w:i/>
          <w:iCs/>
        </w:rPr>
        <w:t>Policy Studies</w:t>
      </w:r>
      <w:r w:rsidRPr="00D94B08">
        <w:rPr>
          <w:rFonts w:ascii="Arial" w:hAnsi="Arial" w:cs="Arial"/>
          <w:i/>
          <w:iCs/>
        </w:rPr>
        <w:t xml:space="preserve"> (pp. 809–820).</w:t>
      </w:r>
      <w:r w:rsidRPr="005E117F">
        <w:rPr>
          <w:rFonts w:ascii="Arial" w:hAnsi="Arial" w:cs="Arial"/>
        </w:rPr>
        <w:t xml:space="preserve"> Springer Nature Singapore.</w:t>
      </w:r>
    </w:p>
    <w:p w14:paraId="13B693BC" w14:textId="77777777" w:rsidR="005E117F" w:rsidRPr="005E117F" w:rsidRDefault="005E117F" w:rsidP="005E117F">
      <w:pPr>
        <w:spacing w:line="480" w:lineRule="auto"/>
        <w:rPr>
          <w:rFonts w:ascii="Arial" w:hAnsi="Arial" w:cs="Arial"/>
        </w:rPr>
      </w:pPr>
      <w:proofErr w:type="spellStart"/>
      <w:r w:rsidRPr="005E117F">
        <w:rPr>
          <w:rFonts w:ascii="Arial" w:hAnsi="Arial" w:cs="Arial"/>
        </w:rPr>
        <w:t>Zotorvie</w:t>
      </w:r>
      <w:proofErr w:type="spellEnd"/>
      <w:r w:rsidRPr="005E117F">
        <w:rPr>
          <w:rFonts w:ascii="Arial" w:hAnsi="Arial" w:cs="Arial"/>
        </w:rPr>
        <w:t xml:space="preserve">, J. S. T., </w:t>
      </w:r>
      <w:proofErr w:type="spellStart"/>
      <w:r w:rsidRPr="005E117F">
        <w:rPr>
          <w:rFonts w:ascii="Arial" w:hAnsi="Arial" w:cs="Arial"/>
        </w:rPr>
        <w:t>Fiagborlo</w:t>
      </w:r>
      <w:proofErr w:type="spellEnd"/>
      <w:r w:rsidRPr="005E117F">
        <w:rPr>
          <w:rFonts w:ascii="Arial" w:hAnsi="Arial" w:cs="Arial"/>
        </w:rPr>
        <w:t xml:space="preserve">, J. D., &amp; Kudo, M. B. (2025). Transforming accounting practices in small and medium-scale enterprises (SMEs): The roles and challenges of information and communication technology. </w:t>
      </w:r>
      <w:r w:rsidRPr="00D94B08">
        <w:rPr>
          <w:rFonts w:ascii="Arial" w:hAnsi="Arial" w:cs="Arial"/>
          <w:i/>
          <w:iCs/>
        </w:rPr>
        <w:t>Journal of Money and Business, 5</w:t>
      </w:r>
      <w:r w:rsidRPr="005E117F">
        <w:rPr>
          <w:rFonts w:ascii="Arial" w:hAnsi="Arial" w:cs="Arial"/>
        </w:rPr>
        <w:t>(1), 75–93.</w:t>
      </w:r>
    </w:p>
    <w:p w14:paraId="08FE4761" w14:textId="06E74D7B" w:rsidR="005E117F" w:rsidRPr="005428DD" w:rsidRDefault="005E117F" w:rsidP="005E117F">
      <w:pPr>
        <w:spacing w:line="480" w:lineRule="auto"/>
        <w:rPr>
          <w:rFonts w:ascii="Arial" w:hAnsi="Arial" w:cs="Arial"/>
        </w:rPr>
      </w:pPr>
      <w:r w:rsidRPr="005E117F">
        <w:rPr>
          <w:rFonts w:ascii="Arial" w:hAnsi="Arial" w:cs="Arial"/>
        </w:rPr>
        <w:t>Zhou, K. (2025, February). A valuation study of McDonald’s</w:t>
      </w:r>
      <w:r w:rsidR="00D94B08">
        <w:rPr>
          <w:rFonts w:ascii="Arial" w:hAnsi="Arial" w:cs="Arial"/>
        </w:rPr>
        <w:t xml:space="preserve"> based</w:t>
      </w:r>
      <w:r w:rsidRPr="005E117F">
        <w:rPr>
          <w:rFonts w:ascii="Arial" w:hAnsi="Arial" w:cs="Arial"/>
        </w:rPr>
        <w:t xml:space="preserve"> on </w:t>
      </w:r>
      <w:r w:rsidR="00D94B08">
        <w:rPr>
          <w:rFonts w:ascii="Arial" w:hAnsi="Arial" w:cs="Arial"/>
        </w:rPr>
        <w:t xml:space="preserve">the </w:t>
      </w:r>
      <w:r w:rsidRPr="005E117F">
        <w:rPr>
          <w:rFonts w:ascii="Arial" w:hAnsi="Arial" w:cs="Arial"/>
        </w:rPr>
        <w:t xml:space="preserve">price-earnings ratio and price-sales ratio. In International Workshop on Navigating the </w:t>
      </w:r>
      <w:r w:rsidRPr="00D94B08">
        <w:rPr>
          <w:rFonts w:ascii="Arial" w:hAnsi="Arial" w:cs="Arial"/>
          <w:i/>
          <w:iCs/>
        </w:rPr>
        <w:t>Digital Business Frontier for Sustainable Financial Innovation (ICDEBA 2024) (pp. 471–481).</w:t>
      </w:r>
      <w:r w:rsidRPr="005E117F">
        <w:rPr>
          <w:rFonts w:ascii="Arial" w:hAnsi="Arial" w:cs="Arial"/>
        </w:rPr>
        <w:t xml:space="preserve"> Atlantis Press.</w:t>
      </w:r>
    </w:p>
    <w:sectPr w:rsidR="005E117F" w:rsidRPr="005428DD" w:rsidSect="00D94B08">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E227A4" w14:textId="77777777" w:rsidR="003D1920" w:rsidRDefault="003D1920" w:rsidP="00D94B08">
      <w:pPr>
        <w:spacing w:after="0" w:line="240" w:lineRule="auto"/>
      </w:pPr>
      <w:r>
        <w:separator/>
      </w:r>
    </w:p>
  </w:endnote>
  <w:endnote w:type="continuationSeparator" w:id="0">
    <w:p w14:paraId="2B14F98B" w14:textId="77777777" w:rsidR="003D1920" w:rsidRDefault="003D1920" w:rsidP="00D94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0929A4" w14:textId="77777777" w:rsidR="003D1920" w:rsidRDefault="003D1920" w:rsidP="00D94B08">
      <w:pPr>
        <w:spacing w:after="0" w:line="240" w:lineRule="auto"/>
      </w:pPr>
      <w:r>
        <w:separator/>
      </w:r>
    </w:p>
  </w:footnote>
  <w:footnote w:type="continuationSeparator" w:id="0">
    <w:p w14:paraId="72773CCC" w14:textId="77777777" w:rsidR="003D1920" w:rsidRDefault="003D1920" w:rsidP="00D94B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618947945"/>
      <w:docPartObj>
        <w:docPartGallery w:val="Page Numbers (Top of Page)"/>
        <w:docPartUnique/>
      </w:docPartObj>
    </w:sdtPr>
    <w:sdtEndPr>
      <w:rPr>
        <w:b/>
        <w:bCs/>
        <w:noProof/>
        <w:color w:val="auto"/>
        <w:spacing w:val="0"/>
      </w:rPr>
    </w:sdtEndPr>
    <w:sdtContent>
      <w:p w14:paraId="42BC2F65" w14:textId="7FA67767" w:rsidR="00D94B08" w:rsidRDefault="00D94B0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C15E05F" w14:textId="77777777" w:rsidR="00D94B08" w:rsidRDefault="00D94B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8DD"/>
    <w:rsid w:val="000D0547"/>
    <w:rsid w:val="003D1920"/>
    <w:rsid w:val="003D2854"/>
    <w:rsid w:val="005428DD"/>
    <w:rsid w:val="005E117F"/>
    <w:rsid w:val="00972E8F"/>
    <w:rsid w:val="00D94B08"/>
    <w:rsid w:val="00E15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90E45"/>
  <w15:chartTrackingRefBased/>
  <w15:docId w15:val="{2B39F5EA-2528-4D68-9B0A-FE61BF52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28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28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28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28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28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28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28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28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28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8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28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28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28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28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28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28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28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28DD"/>
    <w:rPr>
      <w:rFonts w:eastAsiaTheme="majorEastAsia" w:cstheme="majorBidi"/>
      <w:color w:val="272727" w:themeColor="text1" w:themeTint="D8"/>
    </w:rPr>
  </w:style>
  <w:style w:type="paragraph" w:styleId="Title">
    <w:name w:val="Title"/>
    <w:basedOn w:val="Normal"/>
    <w:next w:val="Normal"/>
    <w:link w:val="TitleChar"/>
    <w:uiPriority w:val="10"/>
    <w:qFormat/>
    <w:rsid w:val="005428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28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28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28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28DD"/>
    <w:pPr>
      <w:spacing w:before="160"/>
      <w:jc w:val="center"/>
    </w:pPr>
    <w:rPr>
      <w:i/>
      <w:iCs/>
      <w:color w:val="404040" w:themeColor="text1" w:themeTint="BF"/>
    </w:rPr>
  </w:style>
  <w:style w:type="character" w:customStyle="1" w:styleId="QuoteChar">
    <w:name w:val="Quote Char"/>
    <w:basedOn w:val="DefaultParagraphFont"/>
    <w:link w:val="Quote"/>
    <w:uiPriority w:val="29"/>
    <w:rsid w:val="005428DD"/>
    <w:rPr>
      <w:i/>
      <w:iCs/>
      <w:color w:val="404040" w:themeColor="text1" w:themeTint="BF"/>
    </w:rPr>
  </w:style>
  <w:style w:type="paragraph" w:styleId="ListParagraph">
    <w:name w:val="List Paragraph"/>
    <w:basedOn w:val="Normal"/>
    <w:uiPriority w:val="34"/>
    <w:qFormat/>
    <w:rsid w:val="005428DD"/>
    <w:pPr>
      <w:ind w:left="720"/>
      <w:contextualSpacing/>
    </w:pPr>
  </w:style>
  <w:style w:type="character" w:styleId="IntenseEmphasis">
    <w:name w:val="Intense Emphasis"/>
    <w:basedOn w:val="DefaultParagraphFont"/>
    <w:uiPriority w:val="21"/>
    <w:qFormat/>
    <w:rsid w:val="005428DD"/>
    <w:rPr>
      <w:i/>
      <w:iCs/>
      <w:color w:val="0F4761" w:themeColor="accent1" w:themeShade="BF"/>
    </w:rPr>
  </w:style>
  <w:style w:type="paragraph" w:styleId="IntenseQuote">
    <w:name w:val="Intense Quote"/>
    <w:basedOn w:val="Normal"/>
    <w:next w:val="Normal"/>
    <w:link w:val="IntenseQuoteChar"/>
    <w:uiPriority w:val="30"/>
    <w:qFormat/>
    <w:rsid w:val="005428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28DD"/>
    <w:rPr>
      <w:i/>
      <w:iCs/>
      <w:color w:val="0F4761" w:themeColor="accent1" w:themeShade="BF"/>
    </w:rPr>
  </w:style>
  <w:style w:type="character" w:styleId="IntenseReference">
    <w:name w:val="Intense Reference"/>
    <w:basedOn w:val="DefaultParagraphFont"/>
    <w:uiPriority w:val="32"/>
    <w:qFormat/>
    <w:rsid w:val="005428DD"/>
    <w:rPr>
      <w:b/>
      <w:bCs/>
      <w:smallCaps/>
      <w:color w:val="0F4761" w:themeColor="accent1" w:themeShade="BF"/>
      <w:spacing w:val="5"/>
    </w:rPr>
  </w:style>
  <w:style w:type="character" w:styleId="Hyperlink">
    <w:name w:val="Hyperlink"/>
    <w:basedOn w:val="DefaultParagraphFont"/>
    <w:uiPriority w:val="99"/>
    <w:unhideWhenUsed/>
    <w:rsid w:val="00D94B08"/>
    <w:rPr>
      <w:color w:val="467886" w:themeColor="hyperlink"/>
      <w:u w:val="single"/>
    </w:rPr>
  </w:style>
  <w:style w:type="character" w:styleId="UnresolvedMention">
    <w:name w:val="Unresolved Mention"/>
    <w:basedOn w:val="DefaultParagraphFont"/>
    <w:uiPriority w:val="99"/>
    <w:semiHidden/>
    <w:unhideWhenUsed/>
    <w:rsid w:val="00D94B08"/>
    <w:rPr>
      <w:color w:val="605E5C"/>
      <w:shd w:val="clear" w:color="auto" w:fill="E1DFDD"/>
    </w:rPr>
  </w:style>
  <w:style w:type="paragraph" w:styleId="Header">
    <w:name w:val="header"/>
    <w:basedOn w:val="Normal"/>
    <w:link w:val="HeaderChar"/>
    <w:uiPriority w:val="99"/>
    <w:unhideWhenUsed/>
    <w:rsid w:val="00D94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B08"/>
  </w:style>
  <w:style w:type="paragraph" w:styleId="Footer">
    <w:name w:val="footer"/>
    <w:basedOn w:val="Normal"/>
    <w:link w:val="FooterChar"/>
    <w:uiPriority w:val="99"/>
    <w:unhideWhenUsed/>
    <w:rsid w:val="00D94B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B08"/>
  </w:style>
  <w:style w:type="paragraph" w:styleId="NoSpacing">
    <w:name w:val="No Spacing"/>
    <w:link w:val="NoSpacingChar"/>
    <w:uiPriority w:val="1"/>
    <w:qFormat/>
    <w:rsid w:val="00D94B0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94B0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18rn0p25nwr6d.cloudfront.net/CIK-0000063908/03b5a1a9-6f94-4ff0-a23a-1b0f98ff47fb.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TotalTime>
  <Pages>12</Pages>
  <Words>2315</Words>
  <Characters>13198</Characters>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2026-04-23T13:40:00Z</dcterms:created>
  <dcterms:modified xsi:type="dcterms:W3CDTF">2026-04-23T14:32:00Z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6dbd192f-fe69-42cb-8fd2-e178d967a872</vt:lpwstr>
  </property>
</Properties>
</file>