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B6964D" w14:textId="77777777" w:rsidR="00466B66" w:rsidRPr="00570082" w:rsidRDefault="00466B66" w:rsidP="00466B66">
      <w:pPr>
        <w:spacing w:before="240"/>
        <w:ind w:left="1080"/>
        <w:rPr>
          <w:rFonts w:ascii="Georgia" w:hAnsi="Georgia"/>
          <w:b/>
          <w:szCs w:val="24"/>
        </w:rPr>
      </w:pPr>
      <w:r>
        <w:rPr>
          <w:rFonts w:ascii="Georgia" w:hAnsi="Georgia"/>
          <w:b/>
          <w:szCs w:val="24"/>
        </w:rPr>
        <w:t>10</w:t>
      </w:r>
      <w:r w:rsidRPr="00570082">
        <w:rPr>
          <w:rFonts w:ascii="Georgia" w:hAnsi="Georgia"/>
          <w:b/>
          <w:szCs w:val="24"/>
        </w:rPr>
        <w:tab/>
        <w:t>Iran</w:t>
      </w:r>
    </w:p>
    <w:p w14:paraId="3DB0F332" w14:textId="77777777" w:rsidR="00466B66" w:rsidRPr="00570082" w:rsidRDefault="00466B66" w:rsidP="00466B66">
      <w:pPr>
        <w:ind w:left="1080"/>
        <w:rPr>
          <w:rFonts w:ascii="Georgia" w:hAnsi="Georgia"/>
          <w:szCs w:val="24"/>
        </w:rPr>
      </w:pPr>
    </w:p>
    <w:p w14:paraId="486E9C4E"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is important that you undertake some background reading on Shi'ism prior to undertaking this section of the module. Students who have taken </w:t>
      </w:r>
      <w:r w:rsidRPr="00570082">
        <w:rPr>
          <w:rFonts w:ascii="Georgia" w:hAnsi="Georgia"/>
          <w:i/>
          <w:szCs w:val="24"/>
        </w:rPr>
        <w:t xml:space="preserve">Muslim Networks </w:t>
      </w:r>
      <w:r w:rsidRPr="00570082">
        <w:rPr>
          <w:rFonts w:ascii="Georgia" w:hAnsi="Georgia"/>
          <w:szCs w:val="24"/>
        </w:rPr>
        <w:t>will have already completed an initial overview of the historical roots of Shi'ism.</w:t>
      </w:r>
    </w:p>
    <w:p w14:paraId="566F3FB1" w14:textId="77777777" w:rsidR="00466B66" w:rsidRPr="00570082" w:rsidRDefault="00466B66" w:rsidP="00466B66">
      <w:pPr>
        <w:ind w:left="1080"/>
        <w:rPr>
          <w:rFonts w:ascii="Georgia" w:hAnsi="Georgia"/>
          <w:szCs w:val="24"/>
        </w:rPr>
      </w:pPr>
    </w:p>
    <w:p w14:paraId="04EB3D99" w14:textId="77777777" w:rsidR="00466B66" w:rsidRPr="00570082" w:rsidRDefault="00466B66" w:rsidP="00466B66">
      <w:pPr>
        <w:pStyle w:val="Heading1"/>
        <w:ind w:left="1080"/>
        <w:jc w:val="left"/>
        <w:rPr>
          <w:rFonts w:ascii="Georgia" w:hAnsi="Georgia"/>
          <w:i w:val="0"/>
          <w:szCs w:val="24"/>
        </w:rPr>
      </w:pPr>
      <w:r w:rsidRPr="00570082">
        <w:rPr>
          <w:rFonts w:ascii="Georgia" w:hAnsi="Georgia"/>
          <w:i w:val="0"/>
          <w:szCs w:val="24"/>
        </w:rPr>
        <w:t>Introductory Discussion</w:t>
      </w:r>
    </w:p>
    <w:p w14:paraId="4FA6D752" w14:textId="77777777" w:rsidR="00466B66" w:rsidRPr="00570082" w:rsidRDefault="00466B66" w:rsidP="00466B66">
      <w:pPr>
        <w:ind w:left="1080"/>
        <w:rPr>
          <w:rFonts w:ascii="Georgia" w:hAnsi="Georgia"/>
          <w:szCs w:val="24"/>
        </w:rPr>
      </w:pPr>
    </w:p>
    <w:p w14:paraId="4E9F3C3B" w14:textId="77777777" w:rsidR="00466B66" w:rsidRPr="00570082" w:rsidRDefault="00466B66" w:rsidP="00466B66">
      <w:pPr>
        <w:ind w:left="1080" w:firstLine="360"/>
        <w:rPr>
          <w:rFonts w:ascii="Georgia" w:hAnsi="Georgia"/>
          <w:szCs w:val="24"/>
        </w:rPr>
      </w:pPr>
      <w:r w:rsidRPr="00570082">
        <w:rPr>
          <w:rFonts w:ascii="Georgia" w:hAnsi="Georgia"/>
          <w:szCs w:val="24"/>
        </w:rPr>
        <w:t>Shi'i theocracy played an increasingly influential political role, against 'imperial' interests in the twentieth century.  This became a specific feature of Shi'i theocracy in Persia/Iran, which had its own political-cultural-linguistic-religious framework. Particularly relevant was the anti</w:t>
      </w:r>
      <w:r w:rsidRPr="00570082">
        <w:rPr>
          <w:rFonts w:ascii="Georgia" w:hAnsi="Georgia"/>
          <w:szCs w:val="24"/>
        </w:rPr>
        <w:softHyphen/>
        <w:t xml:space="preserve"> constitutionalist stance, suggesting that a written constitution would be usurping God and the Twelfth Imam, and oppressing the people.  The problem was, without a constitution, the Shah had a freer reign towards 'un-Islamic' and/or 'oppressive' policies.  This was countered by the argument that a constitution only usurps the Imam, if based specifically on the Shari'ah Law.</w:t>
      </w:r>
      <w:r w:rsidRPr="00570082">
        <w:rPr>
          <w:rStyle w:val="EndnoteReference"/>
          <w:rFonts w:ascii="Georgia" w:hAnsi="Georgia"/>
          <w:szCs w:val="24"/>
        </w:rPr>
        <w:endnoteReference w:id="1"/>
      </w:r>
      <w:r w:rsidRPr="00570082">
        <w:rPr>
          <w:rFonts w:ascii="Georgia" w:hAnsi="Georgia"/>
          <w:szCs w:val="24"/>
        </w:rPr>
        <w:t xml:space="preserve">  </w:t>
      </w:r>
    </w:p>
    <w:p w14:paraId="4DD67C4C" w14:textId="77777777" w:rsidR="00466B66" w:rsidRPr="00570082" w:rsidRDefault="00466B66" w:rsidP="00466B66">
      <w:pPr>
        <w:ind w:left="1080"/>
        <w:rPr>
          <w:rFonts w:ascii="Georgia" w:hAnsi="Georgia"/>
          <w:szCs w:val="24"/>
        </w:rPr>
      </w:pPr>
    </w:p>
    <w:p w14:paraId="386B59C9"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The ideals of Shi'i theocracy were interpreted by Ruhollah Khomeini in 1944, in </w:t>
      </w:r>
      <w:r w:rsidRPr="00570082">
        <w:rPr>
          <w:rFonts w:ascii="Georgia" w:hAnsi="Georgia"/>
          <w:i/>
          <w:szCs w:val="24"/>
        </w:rPr>
        <w:t>Kashf al-Asrar</w:t>
      </w:r>
      <w:r w:rsidRPr="00570082">
        <w:rPr>
          <w:rFonts w:ascii="Georgia" w:hAnsi="Georgia"/>
          <w:szCs w:val="24"/>
        </w:rPr>
        <w:t xml:space="preserve"> or "Discovery of Secrets This was one reaction to a secularising process, and the </w:t>
      </w:r>
      <w:r w:rsidRPr="00570082">
        <w:rPr>
          <w:rFonts w:ascii="Georgia" w:hAnsi="Georgia"/>
          <w:i/>
          <w:szCs w:val="24"/>
        </w:rPr>
        <w:t>usuli</w:t>
      </w:r>
      <w:r w:rsidRPr="00570082">
        <w:rPr>
          <w:rFonts w:ascii="Georgia" w:hAnsi="Georgia"/>
          <w:szCs w:val="24"/>
        </w:rPr>
        <w:t xml:space="preserve">s desire for a return to (their interpretation of) traditional values of Islam.  Amongst Khomeini's demands were: anti-moral corruption and 'cultural decadence'; implementation of a religious taxation system; and restoration of properly qualified and just </w:t>
      </w:r>
      <w:r w:rsidRPr="00570082">
        <w:rPr>
          <w:rFonts w:ascii="Georgia" w:hAnsi="Georgia"/>
          <w:i/>
          <w:szCs w:val="24"/>
        </w:rPr>
        <w:t>mujtahid</w:t>
      </w:r>
      <w:r w:rsidRPr="00570082">
        <w:rPr>
          <w:rFonts w:ascii="Georgia" w:hAnsi="Georgia"/>
          <w:szCs w:val="24"/>
        </w:rPr>
        <w:t xml:space="preserve"> and shari'ah.  These specific features were interpreted through a specific cultural and political matrix, often as reactions to 'outside' factors including the influence of the United States in Persia.</w:t>
      </w:r>
    </w:p>
    <w:p w14:paraId="09603643" w14:textId="77777777" w:rsidR="00466B66" w:rsidRPr="00570082" w:rsidRDefault="00466B66" w:rsidP="00466B66">
      <w:pPr>
        <w:ind w:left="1080"/>
        <w:rPr>
          <w:rFonts w:ascii="Georgia" w:hAnsi="Georgia"/>
          <w:szCs w:val="24"/>
        </w:rPr>
      </w:pPr>
    </w:p>
    <w:p w14:paraId="4B0E4B55"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was by no means a 'lone campaign' to obtain/change the Persian hierarchy by Khomeini: Ayatollah Shariatmadari, Mahmud Taleqani, Ayatollah Sayyid Muhammad Husayn Burujirdi, and Ali Shariati are examples of individuals who made significant theological and ideological contributions.  Shariati, who was not a member of </w:t>
      </w:r>
      <w:r w:rsidRPr="00570082">
        <w:rPr>
          <w:rFonts w:ascii="Georgia" w:hAnsi="Georgia"/>
          <w:i/>
          <w:szCs w:val="24"/>
        </w:rPr>
        <w:t>ulama</w:t>
      </w:r>
      <w:r w:rsidRPr="00570082">
        <w:rPr>
          <w:rFonts w:ascii="Georgia" w:hAnsi="Georgia"/>
          <w:szCs w:val="24"/>
        </w:rPr>
        <w:t xml:space="preserve">, made an important differentiation between the paradigms of </w:t>
      </w:r>
      <w:r w:rsidRPr="00570082">
        <w:rPr>
          <w:rFonts w:ascii="Georgia" w:hAnsi="Georgia"/>
          <w:szCs w:val="24"/>
          <w:u w:val="single"/>
        </w:rPr>
        <w:t>Saffavid</w:t>
      </w:r>
      <w:r w:rsidRPr="00570082">
        <w:rPr>
          <w:rFonts w:ascii="Georgia" w:hAnsi="Georgia"/>
          <w:szCs w:val="24"/>
        </w:rPr>
        <w:t xml:space="preserve"> Shi'ism [as a state religion, which had degraded into an ethnocentric institution] and </w:t>
      </w:r>
      <w:r w:rsidRPr="00570082">
        <w:rPr>
          <w:rFonts w:ascii="Georgia" w:hAnsi="Georgia"/>
          <w:szCs w:val="24"/>
          <w:u w:val="single"/>
        </w:rPr>
        <w:t>alid</w:t>
      </w:r>
      <w:r w:rsidRPr="00570082">
        <w:rPr>
          <w:rFonts w:ascii="Georgia" w:hAnsi="Georgia"/>
          <w:szCs w:val="24"/>
        </w:rPr>
        <w:t xml:space="preserve"> [i.e. Ali-centred] Shi'ism as the original, Islamic (Shi'i) ideal.</w:t>
      </w:r>
      <w:r w:rsidRPr="00570082">
        <w:rPr>
          <w:rStyle w:val="EndnoteReference"/>
          <w:rFonts w:ascii="Georgia" w:hAnsi="Georgia"/>
          <w:szCs w:val="24"/>
        </w:rPr>
        <w:endnoteReference w:id="2"/>
      </w:r>
      <w:r w:rsidRPr="00570082">
        <w:rPr>
          <w:rFonts w:ascii="Georgia" w:hAnsi="Georgia"/>
          <w:szCs w:val="24"/>
        </w:rPr>
        <w:t xml:space="preserve"> This raised some interesting problems, when considering that </w:t>
      </w:r>
      <w:r w:rsidRPr="00570082">
        <w:rPr>
          <w:rFonts w:ascii="Georgia" w:hAnsi="Georgia"/>
          <w:szCs w:val="24"/>
          <w:u w:val="single"/>
        </w:rPr>
        <w:t>Saffavid</w:t>
      </w:r>
      <w:r w:rsidRPr="00570082">
        <w:rPr>
          <w:rFonts w:ascii="Georgia" w:hAnsi="Georgia"/>
          <w:szCs w:val="24"/>
        </w:rPr>
        <w:t xml:space="preserve"> Shi'ism was the principal </w:t>
      </w:r>
      <w:r w:rsidRPr="00570082">
        <w:rPr>
          <w:rFonts w:ascii="Georgia" w:hAnsi="Georgia"/>
          <w:i/>
          <w:szCs w:val="24"/>
        </w:rPr>
        <w:t>raison d'etre</w:t>
      </w:r>
      <w:r w:rsidRPr="00570082">
        <w:rPr>
          <w:rFonts w:ascii="Georgia" w:hAnsi="Georgia"/>
          <w:szCs w:val="24"/>
        </w:rPr>
        <w:t xml:space="preserve"> of twentieth century Iranian Shi'ism: the desire for 'pure roots' supersedes the formative factors in establishing Shi'ism in Persia.</w:t>
      </w:r>
    </w:p>
    <w:p w14:paraId="7E6CCF0C" w14:textId="77777777" w:rsidR="00466B66" w:rsidRPr="00570082" w:rsidRDefault="00466B66" w:rsidP="00466B66">
      <w:pPr>
        <w:ind w:left="1080"/>
        <w:rPr>
          <w:rFonts w:ascii="Georgia" w:hAnsi="Georgia"/>
          <w:szCs w:val="24"/>
        </w:rPr>
      </w:pPr>
    </w:p>
    <w:p w14:paraId="2F4FF107"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is difficult to determine whether the 'ideals' of the Shi'i theocratic system matched up with the 'reality' of contemporary Iran.  For example, the view of participants in the 1979 Revolution regarding how 'Islamic' the process of change was may vary between </w:t>
      </w:r>
      <w:r w:rsidRPr="00570082">
        <w:rPr>
          <w:rFonts w:ascii="Georgia" w:hAnsi="Georgia"/>
          <w:szCs w:val="24"/>
        </w:rPr>
        <w:lastRenderedPageBreak/>
        <w:t xml:space="preserve">different groups of Muslims.  Participants would consider the Revolution 'Islamic', and possibly an example of Shi'i politics in action.  Indeed, Khomeini was given a 'Mahdi' status by many Iranians, although other Shi'i may not agree with it.  The 'purification' of Islam by </w:t>
      </w:r>
      <w:r w:rsidRPr="00570082">
        <w:rPr>
          <w:rFonts w:ascii="Georgia" w:hAnsi="Georgia"/>
          <w:i/>
          <w:szCs w:val="24"/>
        </w:rPr>
        <w:t>ulama</w:t>
      </w:r>
      <w:r w:rsidRPr="00570082">
        <w:rPr>
          <w:rFonts w:ascii="Georgia" w:hAnsi="Georgia"/>
          <w:szCs w:val="24"/>
        </w:rPr>
        <w:t xml:space="preserve">, application of shari'ah and sunna, and elimination of monarchy has links with the idealised qualities of Ali  and Hosayn.  These processes also contained elements of vendetta, propaganda, and political ideology which could were difficult to link to the 'ideals'.  Events subsequent to 1979, including: the U.S. Embassy siege, the Iran-Iraq "jihad", and persecution of religious minorities in Iran could be contended as contrary to </w:t>
      </w:r>
      <w:r w:rsidRPr="00570082">
        <w:rPr>
          <w:rFonts w:ascii="Georgia" w:hAnsi="Georgia"/>
          <w:i/>
          <w:szCs w:val="24"/>
        </w:rPr>
        <w:t>shari'ah</w:t>
      </w:r>
      <w:r w:rsidRPr="00570082">
        <w:rPr>
          <w:rFonts w:ascii="Georgia" w:hAnsi="Georgia"/>
          <w:szCs w:val="24"/>
        </w:rPr>
        <w:t xml:space="preserve"> [i.e. just treatment of enemies; 'Muslim should not fight Muslim'; </w:t>
      </w:r>
      <w:r w:rsidRPr="00570082">
        <w:rPr>
          <w:rFonts w:ascii="Georgia" w:hAnsi="Georgia"/>
          <w:i/>
          <w:szCs w:val="24"/>
        </w:rPr>
        <w:t>dhimi</w:t>
      </w:r>
      <w:r w:rsidRPr="00570082">
        <w:rPr>
          <w:rFonts w:ascii="Georgia" w:hAnsi="Georgia"/>
          <w:szCs w:val="24"/>
        </w:rPr>
        <w:t xml:space="preserve"> status].</w:t>
      </w:r>
    </w:p>
    <w:p w14:paraId="28DE6226" w14:textId="77777777" w:rsidR="00466B66" w:rsidRPr="00570082" w:rsidRDefault="00466B66" w:rsidP="00466B66">
      <w:pPr>
        <w:ind w:left="1080"/>
        <w:rPr>
          <w:rFonts w:ascii="Georgia" w:hAnsi="Georgia"/>
          <w:szCs w:val="24"/>
        </w:rPr>
      </w:pPr>
    </w:p>
    <w:p w14:paraId="76682604" w14:textId="77777777" w:rsidR="00466B66" w:rsidRPr="00570082" w:rsidRDefault="00466B66" w:rsidP="00466B66">
      <w:pPr>
        <w:ind w:left="1080" w:firstLine="360"/>
        <w:rPr>
          <w:rFonts w:ascii="Georgia" w:hAnsi="Georgia"/>
          <w:szCs w:val="24"/>
        </w:rPr>
      </w:pPr>
      <w:r w:rsidRPr="00570082">
        <w:rPr>
          <w:rFonts w:ascii="Georgia" w:hAnsi="Georgia"/>
          <w:szCs w:val="24"/>
        </w:rPr>
        <w:t>A more detailed exploration of the specific features of Shi'i politics might compare them with other systems within dar al-</w:t>
      </w:r>
      <w:r w:rsidRPr="00570082">
        <w:rPr>
          <w:rFonts w:ascii="Georgia" w:hAnsi="Georgia"/>
          <w:szCs w:val="24"/>
        </w:rPr>
        <w:softHyphen/>
        <w:t>Islam, past and present: those with Sunni religious leadership (orthodox and 'dissenter), for example Morocco and Oman; those where a prominent religious leader supports a 'secular' leadership, for example Saudi Arabia; a completely 'secular' system, notably Kuwait and the Lebanon; a "bureaucratic military oligarchy", such as Algeria or Tunisia; and colonial created state systems - including Iraq and Syria.</w:t>
      </w:r>
      <w:r w:rsidRPr="00570082">
        <w:rPr>
          <w:rStyle w:val="EndnoteReference"/>
          <w:rFonts w:ascii="Georgia" w:hAnsi="Georgia"/>
          <w:szCs w:val="24"/>
        </w:rPr>
        <w:endnoteReference w:id="3"/>
      </w:r>
      <w:r w:rsidRPr="00570082">
        <w:rPr>
          <w:rFonts w:ascii="Georgia" w:hAnsi="Georgia"/>
          <w:szCs w:val="24"/>
        </w:rPr>
        <w:t xml:space="preserve"> Conceptual links with 'Sufism' could also be analysed.</w:t>
      </w:r>
    </w:p>
    <w:p w14:paraId="14875BF8" w14:textId="77777777" w:rsidR="00466B66" w:rsidRPr="00570082" w:rsidRDefault="00466B66" w:rsidP="00466B66">
      <w:pPr>
        <w:ind w:left="1080"/>
        <w:rPr>
          <w:rFonts w:ascii="Georgia" w:hAnsi="Georgia"/>
          <w:szCs w:val="24"/>
        </w:rPr>
      </w:pPr>
    </w:p>
    <w:p w14:paraId="27DFFDF4" w14:textId="0EC51EAA" w:rsidR="00466B66" w:rsidRPr="00570082" w:rsidRDefault="00A900F8" w:rsidP="00466B66">
      <w:pPr>
        <w:pStyle w:val="Heading1"/>
        <w:ind w:left="1080"/>
        <w:jc w:val="left"/>
        <w:rPr>
          <w:rFonts w:ascii="Georgia" w:hAnsi="Georgia"/>
          <w:i w:val="0"/>
          <w:szCs w:val="24"/>
        </w:rPr>
      </w:pPr>
      <w:r>
        <w:rPr>
          <w:rFonts w:ascii="Georgia" w:hAnsi="Georgia"/>
          <w:i w:val="0"/>
          <w:szCs w:val="24"/>
        </w:rPr>
        <w:t>Suggested</w:t>
      </w:r>
      <w:r w:rsidR="00466B66" w:rsidRPr="00570082">
        <w:rPr>
          <w:rFonts w:ascii="Georgia" w:hAnsi="Georgia"/>
          <w:i w:val="0"/>
          <w:szCs w:val="24"/>
        </w:rPr>
        <w:t xml:space="preserve"> Reading  </w:t>
      </w:r>
      <w:bookmarkStart w:id="0" w:name="_GoBack"/>
      <w:bookmarkEnd w:id="0"/>
    </w:p>
    <w:p w14:paraId="571E50B5" w14:textId="77777777" w:rsidR="00466B66" w:rsidRPr="00570082" w:rsidRDefault="00466B66" w:rsidP="00466B66">
      <w:pPr>
        <w:ind w:left="1080"/>
        <w:rPr>
          <w:rFonts w:ascii="Georgia" w:hAnsi="Georgia"/>
          <w:szCs w:val="24"/>
        </w:rPr>
      </w:pPr>
    </w:p>
    <w:p w14:paraId="410B0C24" w14:textId="77777777" w:rsidR="00466B66" w:rsidRPr="00570082" w:rsidRDefault="00466B66" w:rsidP="00466B66">
      <w:pPr>
        <w:ind w:left="1080"/>
        <w:rPr>
          <w:rFonts w:ascii="Georgia" w:hAnsi="Georgia"/>
          <w:szCs w:val="24"/>
        </w:rPr>
      </w:pPr>
      <w:r w:rsidRPr="00570082">
        <w:rPr>
          <w:rFonts w:ascii="Georgia" w:hAnsi="Georgia"/>
          <w:szCs w:val="24"/>
        </w:rPr>
        <w:t xml:space="preserve">Nikki Keddie, ‘Modern Iranian Political Thought’, chapter in </w:t>
      </w:r>
      <w:r w:rsidRPr="00570082">
        <w:rPr>
          <w:rFonts w:ascii="Georgia" w:hAnsi="Georgia"/>
          <w:szCs w:val="24"/>
          <w:u w:val="single"/>
        </w:rPr>
        <w:t>Roots of Revolution: An Interpretive History of Modern Iran</w:t>
      </w:r>
      <w:r w:rsidRPr="00570082">
        <w:rPr>
          <w:rFonts w:ascii="Georgia" w:hAnsi="Georgia"/>
          <w:szCs w:val="24"/>
        </w:rPr>
        <w:t>, Yale 1981</w:t>
      </w:r>
    </w:p>
    <w:p w14:paraId="5FDD997E" w14:textId="77777777" w:rsidR="00466B66" w:rsidRPr="00570082" w:rsidRDefault="00466B66" w:rsidP="00466B66">
      <w:pPr>
        <w:ind w:left="1080"/>
        <w:rPr>
          <w:rFonts w:ascii="Georgia" w:hAnsi="Georgia"/>
          <w:szCs w:val="24"/>
        </w:rPr>
      </w:pPr>
    </w:p>
    <w:p w14:paraId="53565D80" w14:textId="77777777" w:rsidR="001F2359" w:rsidRDefault="001F2359" w:rsidP="00466B66"/>
    <w:sectPr w:rsidR="001F2359" w:rsidSect="00012EF9">
      <w:footerReference w:type="even" r:id="rId7"/>
      <w:footerReference w:type="default" r:id="rId8"/>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E2D643" w14:textId="77777777" w:rsidR="00466B66" w:rsidRDefault="00466B66" w:rsidP="00466B66">
      <w:r>
        <w:separator/>
      </w:r>
    </w:p>
  </w:endnote>
  <w:endnote w:type="continuationSeparator" w:id="0">
    <w:p w14:paraId="34F32BCD" w14:textId="77777777" w:rsidR="00466B66" w:rsidRDefault="00466B66" w:rsidP="00466B66">
      <w:r>
        <w:continuationSeparator/>
      </w:r>
    </w:p>
  </w:endnote>
  <w:endnote w:id="1">
    <w:p w14:paraId="788246EB" w14:textId="77777777" w:rsidR="00466B66" w:rsidRPr="00412776" w:rsidRDefault="00466B66" w:rsidP="00466B66">
      <w:pPr>
        <w:pStyle w:val="p30"/>
        <w:tabs>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N Keddie,  chapter in "The Role of the Clergy in Modern Iranian Politics"  in N. Keddie, Editor, </w:t>
      </w:r>
      <w:r w:rsidRPr="006E5102">
        <w:rPr>
          <w:rFonts w:ascii="Georgia" w:hAnsi="Georgia"/>
          <w:i/>
          <w:sz w:val="20"/>
        </w:rPr>
        <w:t>Religion and Politics in Iran</w:t>
      </w:r>
      <w:r w:rsidRPr="00412776">
        <w:rPr>
          <w:rFonts w:ascii="Georgia" w:hAnsi="Georgia"/>
          <w:sz w:val="20"/>
        </w:rPr>
        <w:t>, Yale University Press, 1983 p.58</w:t>
      </w:r>
    </w:p>
    <w:p w14:paraId="38E79CF5" w14:textId="77777777" w:rsidR="00466B66" w:rsidRPr="00412776" w:rsidRDefault="00466B66" w:rsidP="00466B66">
      <w:pPr>
        <w:pStyle w:val="p30"/>
        <w:tabs>
          <w:tab w:val="left" w:pos="180"/>
          <w:tab w:val="left" w:pos="720"/>
          <w:tab w:val="left" w:pos="1080"/>
        </w:tabs>
        <w:spacing w:line="240" w:lineRule="auto"/>
        <w:ind w:left="720" w:firstLine="0"/>
        <w:rPr>
          <w:rFonts w:ascii="Georgia" w:hAnsi="Georgia"/>
          <w:sz w:val="20"/>
        </w:rPr>
      </w:pPr>
    </w:p>
  </w:endnote>
  <w:endnote w:id="2">
    <w:p w14:paraId="287D38F3" w14:textId="77777777" w:rsidR="00466B66" w:rsidRPr="00412776" w:rsidRDefault="00466B66" w:rsidP="00466B66">
      <w:pPr>
        <w:pStyle w:val="p22"/>
        <w:tabs>
          <w:tab w:val="clear" w:pos="860"/>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N Keddie, </w:t>
      </w:r>
      <w:r w:rsidRPr="006E5102">
        <w:rPr>
          <w:rFonts w:ascii="Georgia" w:hAnsi="Georgia"/>
          <w:i/>
          <w:sz w:val="20"/>
        </w:rPr>
        <w:t>Roots of Revolution: An Interpretive History of Modern Iran</w:t>
      </w:r>
      <w:r w:rsidRPr="00412776">
        <w:rPr>
          <w:rFonts w:ascii="Georgia" w:hAnsi="Georgia"/>
          <w:sz w:val="20"/>
        </w:rPr>
        <w:t xml:space="preserve">, </w:t>
      </w:r>
      <w:r>
        <w:rPr>
          <w:rFonts w:ascii="Georgia" w:hAnsi="Georgia"/>
          <w:sz w:val="20"/>
        </w:rPr>
        <w:t xml:space="preserve"> </w:t>
      </w:r>
      <w:r w:rsidRPr="00412776">
        <w:rPr>
          <w:rFonts w:ascii="Georgia" w:hAnsi="Georgia"/>
          <w:sz w:val="20"/>
        </w:rPr>
        <w:t>(Yale University Press, 1981)</w:t>
      </w:r>
    </w:p>
    <w:p w14:paraId="66FE82DD" w14:textId="77777777" w:rsidR="00466B66" w:rsidRPr="00412776" w:rsidRDefault="00466B66" w:rsidP="00466B66">
      <w:pPr>
        <w:pStyle w:val="EndnoteText"/>
        <w:tabs>
          <w:tab w:val="left" w:pos="180"/>
          <w:tab w:val="left" w:pos="720"/>
          <w:tab w:val="left" w:pos="1080"/>
        </w:tabs>
        <w:ind w:left="720"/>
        <w:rPr>
          <w:rFonts w:ascii="Georgia" w:hAnsi="Georgia"/>
        </w:rPr>
      </w:pPr>
    </w:p>
  </w:endnote>
  <w:endnote w:id="3">
    <w:p w14:paraId="4CEF4827" w14:textId="77777777" w:rsidR="00466B66" w:rsidRPr="00412776" w:rsidRDefault="00466B66" w:rsidP="00466B66">
      <w:pPr>
        <w:pStyle w:val="p18"/>
        <w:tabs>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I Hank, "The Origins of the Arab State System", chapter in Giacomo Luciani, Editor: </w:t>
      </w:r>
      <w:r w:rsidRPr="006E5102">
        <w:rPr>
          <w:rFonts w:ascii="Georgia" w:hAnsi="Georgia"/>
          <w:i/>
          <w:sz w:val="20"/>
        </w:rPr>
        <w:t>The Arab State</w:t>
      </w:r>
      <w:r w:rsidRPr="00412776">
        <w:rPr>
          <w:rFonts w:ascii="Georgia" w:hAnsi="Georgia"/>
          <w:sz w:val="20"/>
        </w:rPr>
        <w:t xml:space="preserve"> (Routledge 1990), p.5</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E5EB84" w14:textId="77777777" w:rsidR="00466B66" w:rsidRDefault="00466B6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88DE06" w14:textId="77777777" w:rsidR="00466B66" w:rsidRDefault="00466B66" w:rsidP="00466B6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D11E24" w14:textId="77777777" w:rsidR="00466B66" w:rsidRDefault="00466B6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900F8">
      <w:rPr>
        <w:rStyle w:val="PageNumber"/>
        <w:noProof/>
      </w:rPr>
      <w:t>1</w:t>
    </w:r>
    <w:r>
      <w:rPr>
        <w:rStyle w:val="PageNumber"/>
      </w:rPr>
      <w:fldChar w:fldCharType="end"/>
    </w:r>
  </w:p>
  <w:p w14:paraId="5B7E3939" w14:textId="77777777" w:rsidR="00466B66" w:rsidRDefault="00466B66" w:rsidP="00466B6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4DD277" w14:textId="77777777" w:rsidR="00466B66" w:rsidRDefault="00466B66" w:rsidP="00466B66">
      <w:r>
        <w:separator/>
      </w:r>
    </w:p>
  </w:footnote>
  <w:footnote w:type="continuationSeparator" w:id="0">
    <w:p w14:paraId="6A84598A" w14:textId="77777777" w:rsidR="00466B66" w:rsidRDefault="00466B66" w:rsidP="00466B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6B66"/>
    <w:rsid w:val="00012EF9"/>
    <w:rsid w:val="001F2359"/>
    <w:rsid w:val="00466B66"/>
    <w:rsid w:val="006843BD"/>
    <w:rsid w:val="00A900F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00651D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B66"/>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466B66"/>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6B66"/>
    <w:rPr>
      <w:rFonts w:ascii="Tahoma" w:eastAsia="Times New Roman" w:hAnsi="Tahoma" w:cs="Times New Roman"/>
      <w:b/>
      <w:i/>
      <w:szCs w:val="20"/>
      <w:lang w:eastAsia="en-GB"/>
    </w:rPr>
  </w:style>
  <w:style w:type="character" w:styleId="EndnoteReference">
    <w:name w:val="endnote reference"/>
    <w:basedOn w:val="DefaultParagraphFont"/>
    <w:semiHidden/>
    <w:rsid w:val="00466B66"/>
    <w:rPr>
      <w:vertAlign w:val="superscript"/>
    </w:rPr>
  </w:style>
  <w:style w:type="paragraph" w:styleId="EndnoteText">
    <w:name w:val="endnote text"/>
    <w:basedOn w:val="Normal"/>
    <w:link w:val="EndnoteTextChar"/>
    <w:semiHidden/>
    <w:rsid w:val="00466B66"/>
    <w:pPr>
      <w:widowControl w:val="0"/>
    </w:pPr>
    <w:rPr>
      <w:snapToGrid w:val="0"/>
      <w:sz w:val="20"/>
      <w:lang w:val="en-US" w:eastAsia="en-US"/>
    </w:rPr>
  </w:style>
  <w:style w:type="character" w:customStyle="1" w:styleId="EndnoteTextChar">
    <w:name w:val="Endnote Text Char"/>
    <w:basedOn w:val="DefaultParagraphFont"/>
    <w:link w:val="EndnoteText"/>
    <w:semiHidden/>
    <w:rsid w:val="00466B66"/>
    <w:rPr>
      <w:rFonts w:ascii="Times New Roman" w:eastAsia="Times New Roman" w:hAnsi="Times New Roman" w:cs="Times New Roman"/>
      <w:snapToGrid w:val="0"/>
      <w:sz w:val="20"/>
      <w:szCs w:val="20"/>
      <w:lang w:val="en-US"/>
    </w:rPr>
  </w:style>
  <w:style w:type="paragraph" w:customStyle="1" w:styleId="p18">
    <w:name w:val="p18"/>
    <w:basedOn w:val="Normal"/>
    <w:rsid w:val="00466B66"/>
    <w:pPr>
      <w:widowControl w:val="0"/>
      <w:tabs>
        <w:tab w:val="left" w:pos="820"/>
      </w:tabs>
      <w:spacing w:line="240" w:lineRule="atLeast"/>
      <w:ind w:left="576" w:hanging="864"/>
      <w:jc w:val="both"/>
    </w:pPr>
    <w:rPr>
      <w:snapToGrid w:val="0"/>
      <w:lang w:eastAsia="en-US"/>
    </w:rPr>
  </w:style>
  <w:style w:type="paragraph" w:customStyle="1" w:styleId="p22">
    <w:name w:val="p22"/>
    <w:basedOn w:val="Normal"/>
    <w:rsid w:val="00466B66"/>
    <w:pPr>
      <w:widowControl w:val="0"/>
      <w:tabs>
        <w:tab w:val="left" w:pos="860"/>
      </w:tabs>
      <w:spacing w:line="240" w:lineRule="atLeast"/>
      <w:ind w:left="576" w:hanging="864"/>
      <w:jc w:val="both"/>
    </w:pPr>
    <w:rPr>
      <w:snapToGrid w:val="0"/>
      <w:lang w:eastAsia="en-US"/>
    </w:rPr>
  </w:style>
  <w:style w:type="paragraph" w:customStyle="1" w:styleId="p30">
    <w:name w:val="p30"/>
    <w:basedOn w:val="Normal"/>
    <w:rsid w:val="00466B66"/>
    <w:pPr>
      <w:widowControl w:val="0"/>
      <w:tabs>
        <w:tab w:val="left" w:pos="860"/>
      </w:tabs>
      <w:spacing w:line="240" w:lineRule="atLeast"/>
      <w:ind w:left="576" w:hanging="864"/>
      <w:jc w:val="both"/>
    </w:pPr>
    <w:rPr>
      <w:snapToGrid w:val="0"/>
      <w:lang w:eastAsia="en-US"/>
    </w:rPr>
  </w:style>
  <w:style w:type="paragraph" w:styleId="Footer">
    <w:name w:val="footer"/>
    <w:basedOn w:val="Normal"/>
    <w:link w:val="FooterChar"/>
    <w:uiPriority w:val="99"/>
    <w:unhideWhenUsed/>
    <w:rsid w:val="00466B66"/>
    <w:pPr>
      <w:tabs>
        <w:tab w:val="center" w:pos="4320"/>
        <w:tab w:val="right" w:pos="8640"/>
      </w:tabs>
    </w:pPr>
  </w:style>
  <w:style w:type="character" w:customStyle="1" w:styleId="FooterChar">
    <w:name w:val="Footer Char"/>
    <w:basedOn w:val="DefaultParagraphFont"/>
    <w:link w:val="Footer"/>
    <w:uiPriority w:val="99"/>
    <w:rsid w:val="00466B6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466B6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B66"/>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466B66"/>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6B66"/>
    <w:rPr>
      <w:rFonts w:ascii="Tahoma" w:eastAsia="Times New Roman" w:hAnsi="Tahoma" w:cs="Times New Roman"/>
      <w:b/>
      <w:i/>
      <w:szCs w:val="20"/>
      <w:lang w:eastAsia="en-GB"/>
    </w:rPr>
  </w:style>
  <w:style w:type="character" w:styleId="EndnoteReference">
    <w:name w:val="endnote reference"/>
    <w:basedOn w:val="DefaultParagraphFont"/>
    <w:semiHidden/>
    <w:rsid w:val="00466B66"/>
    <w:rPr>
      <w:vertAlign w:val="superscript"/>
    </w:rPr>
  </w:style>
  <w:style w:type="paragraph" w:styleId="EndnoteText">
    <w:name w:val="endnote text"/>
    <w:basedOn w:val="Normal"/>
    <w:link w:val="EndnoteTextChar"/>
    <w:semiHidden/>
    <w:rsid w:val="00466B66"/>
    <w:pPr>
      <w:widowControl w:val="0"/>
    </w:pPr>
    <w:rPr>
      <w:snapToGrid w:val="0"/>
      <w:sz w:val="20"/>
      <w:lang w:val="en-US" w:eastAsia="en-US"/>
    </w:rPr>
  </w:style>
  <w:style w:type="character" w:customStyle="1" w:styleId="EndnoteTextChar">
    <w:name w:val="Endnote Text Char"/>
    <w:basedOn w:val="DefaultParagraphFont"/>
    <w:link w:val="EndnoteText"/>
    <w:semiHidden/>
    <w:rsid w:val="00466B66"/>
    <w:rPr>
      <w:rFonts w:ascii="Times New Roman" w:eastAsia="Times New Roman" w:hAnsi="Times New Roman" w:cs="Times New Roman"/>
      <w:snapToGrid w:val="0"/>
      <w:sz w:val="20"/>
      <w:szCs w:val="20"/>
      <w:lang w:val="en-US"/>
    </w:rPr>
  </w:style>
  <w:style w:type="paragraph" w:customStyle="1" w:styleId="p18">
    <w:name w:val="p18"/>
    <w:basedOn w:val="Normal"/>
    <w:rsid w:val="00466B66"/>
    <w:pPr>
      <w:widowControl w:val="0"/>
      <w:tabs>
        <w:tab w:val="left" w:pos="820"/>
      </w:tabs>
      <w:spacing w:line="240" w:lineRule="atLeast"/>
      <w:ind w:left="576" w:hanging="864"/>
      <w:jc w:val="both"/>
    </w:pPr>
    <w:rPr>
      <w:snapToGrid w:val="0"/>
      <w:lang w:eastAsia="en-US"/>
    </w:rPr>
  </w:style>
  <w:style w:type="paragraph" w:customStyle="1" w:styleId="p22">
    <w:name w:val="p22"/>
    <w:basedOn w:val="Normal"/>
    <w:rsid w:val="00466B66"/>
    <w:pPr>
      <w:widowControl w:val="0"/>
      <w:tabs>
        <w:tab w:val="left" w:pos="860"/>
      </w:tabs>
      <w:spacing w:line="240" w:lineRule="atLeast"/>
      <w:ind w:left="576" w:hanging="864"/>
      <w:jc w:val="both"/>
    </w:pPr>
    <w:rPr>
      <w:snapToGrid w:val="0"/>
      <w:lang w:eastAsia="en-US"/>
    </w:rPr>
  </w:style>
  <w:style w:type="paragraph" w:customStyle="1" w:styleId="p30">
    <w:name w:val="p30"/>
    <w:basedOn w:val="Normal"/>
    <w:rsid w:val="00466B66"/>
    <w:pPr>
      <w:widowControl w:val="0"/>
      <w:tabs>
        <w:tab w:val="left" w:pos="860"/>
      </w:tabs>
      <w:spacing w:line="240" w:lineRule="atLeast"/>
      <w:ind w:left="576" w:hanging="864"/>
      <w:jc w:val="both"/>
    </w:pPr>
    <w:rPr>
      <w:snapToGrid w:val="0"/>
      <w:lang w:eastAsia="en-US"/>
    </w:rPr>
  </w:style>
  <w:style w:type="paragraph" w:styleId="Footer">
    <w:name w:val="footer"/>
    <w:basedOn w:val="Normal"/>
    <w:link w:val="FooterChar"/>
    <w:uiPriority w:val="99"/>
    <w:unhideWhenUsed/>
    <w:rsid w:val="00466B66"/>
    <w:pPr>
      <w:tabs>
        <w:tab w:val="center" w:pos="4320"/>
        <w:tab w:val="right" w:pos="8640"/>
      </w:tabs>
    </w:pPr>
  </w:style>
  <w:style w:type="character" w:customStyle="1" w:styleId="FooterChar">
    <w:name w:val="Footer Char"/>
    <w:basedOn w:val="DefaultParagraphFont"/>
    <w:link w:val="Footer"/>
    <w:uiPriority w:val="99"/>
    <w:rsid w:val="00466B6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466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629</Words>
  <Characters>3588</Characters>
  <Application>Microsoft Macintosh Word</Application>
  <DocSecurity>0</DocSecurity>
  <Lines>29</Lines>
  <Paragraphs>8</Paragraphs>
  <ScaleCrop>false</ScaleCrop>
  <Company>Dept. of Theology, Religious Studies &amp; Islamic Stud</Company>
  <LinksUpToDate>false</LinksUpToDate>
  <CharactersWithSpaces>4209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2012-05-30T12:01:00Z</dcterms:created>
  <dcterms:modified xsi:type="dcterms:W3CDTF">2012-11-30T19:41:00Z</dcterms:modified>
</cp:coreProperties>
</file>