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E4E67" w:rsidRDefault="008E4E67">
      <w:pPr>
        <w:rPr>
          <w:sz w:val="32"/>
          <w:szCs w:val="32"/>
        </w:rPr>
      </w:pPr>
    </w:p>
    <w:p w:rsidR="008E2250" w:rsidRDefault="008E2250">
      <w:pPr>
        <w:rPr>
          <w:sz w:val="32"/>
          <w:szCs w:val="32"/>
        </w:rPr>
      </w:pPr>
      <w:r w:rsidRPr="008E2250">
        <w:rPr>
          <w:noProof/>
          <w:sz w:val="32"/>
          <w:szCs w:val="32"/>
          <w:lang w:eastAsia="en-GB"/>
        </w:rPr>
        <w:drawing>
          <wp:inline distT="0" distB="0" distL="0" distR="0">
            <wp:extent cx="6174705" cy="2053087"/>
            <wp:effectExtent l="19050" t="0" r="0" b="0"/>
            <wp:docPr id="9" name="Picture 2" descr="C:\Users\HASSAN\Desktop\My Files\My Assignments\uw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ASSAN\Desktop\My Files\My Assignments\uwtsd.png"/>
                    <pic:cNvPicPr>
                      <a:picLocks noChangeAspect="1" noChangeArrowheads="1"/>
                    </pic:cNvPicPr>
                  </pic:nvPicPr>
                  <pic:blipFill>
                    <a:blip r:embed="rId6" cstate="print"/>
                    <a:srcRect/>
                    <a:stretch>
                      <a:fillRect/>
                    </a:stretch>
                  </pic:blipFill>
                  <pic:spPr bwMode="auto">
                    <a:xfrm>
                      <a:off x="0" y="0"/>
                      <a:ext cx="6177204" cy="2053918"/>
                    </a:xfrm>
                    <a:prstGeom prst="rect">
                      <a:avLst/>
                    </a:prstGeom>
                    <a:noFill/>
                    <a:ln w="9525">
                      <a:noFill/>
                      <a:miter lim="800000"/>
                      <a:headEnd/>
                      <a:tailEnd/>
                    </a:ln>
                  </pic:spPr>
                </pic:pic>
              </a:graphicData>
            </a:graphic>
          </wp:inline>
        </w:drawing>
      </w:r>
    </w:p>
    <w:p w:rsidR="008E2250" w:rsidRPr="008E2250" w:rsidRDefault="008E2250" w:rsidP="008E2250">
      <w:pPr>
        <w:rPr>
          <w:sz w:val="32"/>
          <w:szCs w:val="32"/>
        </w:rPr>
      </w:pPr>
    </w:p>
    <w:p w:rsidR="008E2250" w:rsidRPr="008E2250" w:rsidRDefault="008E2250" w:rsidP="008E2250">
      <w:pPr>
        <w:rPr>
          <w:sz w:val="32"/>
          <w:szCs w:val="32"/>
        </w:rPr>
      </w:pPr>
    </w:p>
    <w:p w:rsidR="008E2250" w:rsidRDefault="008E2250">
      <w:pPr>
        <w:rPr>
          <w:sz w:val="32"/>
          <w:szCs w:val="32"/>
        </w:rPr>
      </w:pPr>
    </w:p>
    <w:p w:rsidR="008E2250" w:rsidRPr="000A1BC9" w:rsidRDefault="008E2250" w:rsidP="008E2250">
      <w:pPr>
        <w:rPr>
          <w:sz w:val="32"/>
          <w:szCs w:val="32"/>
        </w:rPr>
      </w:pPr>
      <w:r w:rsidRPr="000A1BC9">
        <w:rPr>
          <w:sz w:val="32"/>
          <w:szCs w:val="32"/>
        </w:rPr>
        <w:t>NAME: NEELAM LIAQUAT</w:t>
      </w:r>
    </w:p>
    <w:p w:rsidR="008E2250" w:rsidRPr="000A1BC9" w:rsidRDefault="008E2250" w:rsidP="008E2250">
      <w:pPr>
        <w:rPr>
          <w:sz w:val="32"/>
          <w:szCs w:val="32"/>
        </w:rPr>
      </w:pPr>
      <w:r w:rsidRPr="000A1BC9">
        <w:rPr>
          <w:sz w:val="32"/>
          <w:szCs w:val="32"/>
        </w:rPr>
        <w:t>STUDENT NO: 1605018</w:t>
      </w:r>
    </w:p>
    <w:p w:rsidR="008E2250" w:rsidRPr="000A1BC9" w:rsidRDefault="008E2250" w:rsidP="008E2250">
      <w:pPr>
        <w:rPr>
          <w:sz w:val="32"/>
          <w:szCs w:val="32"/>
        </w:rPr>
      </w:pPr>
      <w:r w:rsidRPr="000A1BC9">
        <w:rPr>
          <w:sz w:val="32"/>
          <w:szCs w:val="32"/>
        </w:rPr>
        <w:t xml:space="preserve">ASSIGNMENT TITLE: COMMUNITY </w:t>
      </w:r>
      <w:r w:rsidR="000A1BC9" w:rsidRPr="000A1BC9">
        <w:rPr>
          <w:sz w:val="32"/>
          <w:szCs w:val="32"/>
        </w:rPr>
        <w:t>ENGAGEMENT (Assignment 2)</w:t>
      </w:r>
    </w:p>
    <w:p w:rsidR="008E2250" w:rsidRPr="000A1BC9" w:rsidRDefault="008E2250" w:rsidP="008E2250">
      <w:pPr>
        <w:rPr>
          <w:sz w:val="32"/>
          <w:szCs w:val="32"/>
        </w:rPr>
      </w:pPr>
      <w:r w:rsidRPr="000A1BC9">
        <w:rPr>
          <w:sz w:val="32"/>
          <w:szCs w:val="32"/>
        </w:rPr>
        <w:t>MODULE LECTURER: MUSHFIQUR RAHMAN</w:t>
      </w:r>
    </w:p>
    <w:p w:rsidR="008E2250" w:rsidRPr="000A1BC9" w:rsidRDefault="008E2250" w:rsidP="008E2250">
      <w:pPr>
        <w:rPr>
          <w:sz w:val="32"/>
          <w:szCs w:val="32"/>
        </w:rPr>
      </w:pPr>
    </w:p>
    <w:p w:rsidR="008E2250" w:rsidRDefault="008E2250">
      <w:pPr>
        <w:rPr>
          <w:sz w:val="32"/>
          <w:szCs w:val="32"/>
        </w:rPr>
      </w:pPr>
    </w:p>
    <w:p w:rsidR="008E4E67" w:rsidRDefault="008E4E67">
      <w:pPr>
        <w:rPr>
          <w:sz w:val="32"/>
          <w:szCs w:val="32"/>
        </w:rPr>
      </w:pPr>
      <w:r w:rsidRPr="008E2250">
        <w:rPr>
          <w:sz w:val="32"/>
          <w:szCs w:val="32"/>
        </w:rPr>
        <w:br w:type="page"/>
      </w:r>
    </w:p>
    <w:p w:rsidR="008E4E67" w:rsidRDefault="008E4E67">
      <w:pPr>
        <w:rPr>
          <w:sz w:val="32"/>
          <w:szCs w:val="32"/>
        </w:rPr>
      </w:pPr>
    </w:p>
    <w:p w:rsidR="001A0E33" w:rsidRDefault="001A0E33">
      <w:pPr>
        <w:rPr>
          <w:sz w:val="32"/>
          <w:szCs w:val="32"/>
        </w:rPr>
      </w:pPr>
      <w:r>
        <w:rPr>
          <w:sz w:val="32"/>
          <w:szCs w:val="32"/>
        </w:rPr>
        <w:t>Table of contents:</w:t>
      </w:r>
    </w:p>
    <w:p w:rsidR="00C87152" w:rsidRDefault="00C87152">
      <w:pPr>
        <w:rPr>
          <w:sz w:val="24"/>
          <w:szCs w:val="24"/>
        </w:rPr>
      </w:pPr>
      <w:r>
        <w:rPr>
          <w:sz w:val="24"/>
          <w:szCs w:val="24"/>
        </w:rPr>
        <w:t>Reflective Practice……………………………………………………….3</w:t>
      </w:r>
    </w:p>
    <w:p w:rsidR="00C87152" w:rsidRDefault="00C87152">
      <w:pPr>
        <w:rPr>
          <w:sz w:val="24"/>
          <w:szCs w:val="24"/>
        </w:rPr>
      </w:pPr>
      <w:r>
        <w:rPr>
          <w:sz w:val="24"/>
          <w:szCs w:val="24"/>
        </w:rPr>
        <w:t>How I feel about reflection…………………………………………..3</w:t>
      </w:r>
    </w:p>
    <w:p w:rsidR="00C87152" w:rsidRDefault="00C87152">
      <w:pPr>
        <w:rPr>
          <w:sz w:val="24"/>
          <w:szCs w:val="24"/>
        </w:rPr>
      </w:pPr>
      <w:r>
        <w:rPr>
          <w:sz w:val="24"/>
          <w:szCs w:val="24"/>
        </w:rPr>
        <w:t>Models………………………………………………………………………….3</w:t>
      </w:r>
    </w:p>
    <w:p w:rsidR="00C87152" w:rsidRDefault="00C87152">
      <w:pPr>
        <w:rPr>
          <w:sz w:val="24"/>
          <w:szCs w:val="24"/>
        </w:rPr>
      </w:pPr>
      <w:r>
        <w:rPr>
          <w:sz w:val="24"/>
          <w:szCs w:val="24"/>
        </w:rPr>
        <w:t>Enquiry based learning’s…..............................................5</w:t>
      </w:r>
    </w:p>
    <w:p w:rsidR="00C87152" w:rsidRDefault="00C87152">
      <w:pPr>
        <w:rPr>
          <w:sz w:val="24"/>
          <w:szCs w:val="24"/>
        </w:rPr>
      </w:pPr>
      <w:r>
        <w:rPr>
          <w:sz w:val="24"/>
          <w:szCs w:val="24"/>
        </w:rPr>
        <w:t>How I can utilize this in work environment…………………..5</w:t>
      </w:r>
    </w:p>
    <w:p w:rsidR="00C87152" w:rsidRDefault="00C87152">
      <w:pPr>
        <w:rPr>
          <w:sz w:val="24"/>
          <w:szCs w:val="24"/>
        </w:rPr>
      </w:pPr>
      <w:r>
        <w:rPr>
          <w:sz w:val="24"/>
          <w:szCs w:val="24"/>
        </w:rPr>
        <w:t>The mourning aspect…………………………………………………….6</w:t>
      </w:r>
    </w:p>
    <w:p w:rsidR="00C87152" w:rsidRDefault="00C87152">
      <w:pPr>
        <w:rPr>
          <w:sz w:val="24"/>
          <w:szCs w:val="24"/>
        </w:rPr>
      </w:pPr>
      <w:r>
        <w:rPr>
          <w:sz w:val="24"/>
          <w:szCs w:val="24"/>
        </w:rPr>
        <w:t>The issues………………………………………………………………………6</w:t>
      </w:r>
    </w:p>
    <w:p w:rsidR="00C87152" w:rsidRDefault="00C87152">
      <w:pPr>
        <w:rPr>
          <w:sz w:val="24"/>
          <w:szCs w:val="24"/>
        </w:rPr>
      </w:pPr>
      <w:r>
        <w:rPr>
          <w:sz w:val="24"/>
          <w:szCs w:val="24"/>
        </w:rPr>
        <w:t>Learning outcomes……</w:t>
      </w:r>
      <w:r w:rsidR="00D27516">
        <w:rPr>
          <w:sz w:val="24"/>
          <w:szCs w:val="24"/>
        </w:rPr>
        <w:t>………………………………………………….7</w:t>
      </w:r>
    </w:p>
    <w:p w:rsidR="00C87152" w:rsidRDefault="00C87152">
      <w:pPr>
        <w:rPr>
          <w:sz w:val="24"/>
          <w:szCs w:val="24"/>
        </w:rPr>
      </w:pPr>
      <w:r>
        <w:rPr>
          <w:sz w:val="24"/>
          <w:szCs w:val="24"/>
        </w:rPr>
        <w:t>References…………………………………………………………………….7</w:t>
      </w:r>
    </w:p>
    <w:p w:rsidR="00D27516" w:rsidRDefault="00D27516">
      <w:pPr>
        <w:rPr>
          <w:sz w:val="24"/>
          <w:szCs w:val="24"/>
        </w:rPr>
      </w:pPr>
      <w:r>
        <w:rPr>
          <w:sz w:val="24"/>
          <w:szCs w:val="24"/>
        </w:rPr>
        <w:t>Appendix……………………………………………………………………….</w:t>
      </w:r>
      <w:r w:rsidR="001C4992">
        <w:rPr>
          <w:sz w:val="24"/>
          <w:szCs w:val="24"/>
        </w:rPr>
        <w:t>9</w:t>
      </w:r>
    </w:p>
    <w:p w:rsidR="008E4E67" w:rsidRDefault="008E4E67">
      <w:pPr>
        <w:rPr>
          <w:sz w:val="32"/>
          <w:szCs w:val="32"/>
        </w:rPr>
      </w:pPr>
      <w:r>
        <w:rPr>
          <w:sz w:val="32"/>
          <w:szCs w:val="32"/>
        </w:rPr>
        <w:br w:type="page"/>
      </w:r>
    </w:p>
    <w:p w:rsidR="00F106EA" w:rsidRPr="00BB0D69" w:rsidRDefault="00AB72C4">
      <w:pPr>
        <w:rPr>
          <w:sz w:val="32"/>
          <w:szCs w:val="32"/>
        </w:rPr>
      </w:pPr>
      <w:r>
        <w:rPr>
          <w:sz w:val="32"/>
          <w:szCs w:val="32"/>
        </w:rPr>
        <w:lastRenderedPageBreak/>
        <w:t>Reflective practice:</w:t>
      </w:r>
    </w:p>
    <w:p w:rsidR="00BB0D69" w:rsidRDefault="00BB0D69">
      <w:r>
        <w:t>Individual consider things consistently, it’s a noteworthy mostly we learn. In any case we simply don’t understand that we are doing it. For instance when we are late for work or late for an address you would contemplate internally that you should leave prior toward the beginning of the day to prevent this from happening again late on. This is thinking about reflection.</w:t>
      </w:r>
    </w:p>
    <w:p w:rsidR="00BB0D69" w:rsidRDefault="00BB0D69">
      <w:r>
        <w:t xml:space="preserve">Reflecting is giving your musings and emotions about a specific occasion that happened and on the off chance that it has exacerbated you can rest easy or about yourself and what would you do later on. It gives you the chance to think back on what you have found and how you feel about it.  Reflection </w:t>
      </w:r>
      <w:r w:rsidR="007906AE">
        <w:t>can be hard, as it challenges you attitude and influences you to see circumstances recently.</w:t>
      </w:r>
    </w:p>
    <w:p w:rsidR="007906AE" w:rsidRDefault="007906AE">
      <w:pPr>
        <w:rPr>
          <w:sz w:val="32"/>
          <w:szCs w:val="32"/>
        </w:rPr>
      </w:pPr>
      <w:r w:rsidRPr="007906AE">
        <w:rPr>
          <w:sz w:val="32"/>
          <w:szCs w:val="32"/>
        </w:rPr>
        <w:t>How I feel about Reflection:</w:t>
      </w:r>
    </w:p>
    <w:p w:rsidR="007906AE" w:rsidRDefault="007906AE">
      <w:r w:rsidRPr="007906AE">
        <w:t xml:space="preserve">I feel that reflection is a decent </w:t>
      </w:r>
      <w:r>
        <w:t xml:space="preserve">apparatus to use to think back on various occasions and contemplate what gave an enduring impact on you and how this will influence you later on. It can be extremely helpful on the off chance that you utilize appearance in the correct setting, as there are numerous things you can gain from it. In the event that you were in a circumstance that you did not discover wonderful then you can think about this and let your emotions out. </w:t>
      </w:r>
      <w:r w:rsidR="00CD5053">
        <w:t>It can influence you to consider what you would do any other way in a circumstance, for example, to make an enhanced result of whatever it might be.</w:t>
      </w:r>
    </w:p>
    <w:p w:rsidR="00CD5053" w:rsidRDefault="00CD5053">
      <w:r>
        <w:t>I trust appearance in a business setting can be extremely helpful, as though you had finished an undertaking at work then you would be capable think back on what happened and every one of its parts and perhaps utilize the procedures again on the off chance that they worked, or utilize diverse techniques if the result was not as great.</w:t>
      </w:r>
    </w:p>
    <w:p w:rsidR="00CD5053" w:rsidRDefault="00CD5053">
      <w:pPr>
        <w:rPr>
          <w:sz w:val="32"/>
          <w:szCs w:val="32"/>
        </w:rPr>
      </w:pPr>
      <w:r w:rsidRPr="00CD5053">
        <w:rPr>
          <w:sz w:val="32"/>
          <w:szCs w:val="32"/>
        </w:rPr>
        <w:t>Model</w:t>
      </w:r>
      <w:r w:rsidR="00D77234">
        <w:rPr>
          <w:sz w:val="32"/>
          <w:szCs w:val="32"/>
        </w:rPr>
        <w:t>s</w:t>
      </w:r>
      <w:r w:rsidRPr="00CD5053">
        <w:rPr>
          <w:sz w:val="32"/>
          <w:szCs w:val="32"/>
        </w:rPr>
        <w:t>:</w:t>
      </w:r>
    </w:p>
    <w:p w:rsidR="00CD5053" w:rsidRDefault="00CD5053">
      <w:r>
        <w:t>John Dewey is a scholar and trusted reflection is a particular type of reasoning. He stated, “We do not learn from our experience…we learn from reflecting on experience</w:t>
      </w:r>
      <w:r w:rsidR="00F45A40">
        <w:t>,” which is a substantial point, as by thinking back on our encounters we more often than not consider what happened and from that it is the thing that we recall.</w:t>
      </w:r>
    </w:p>
    <w:p w:rsidR="00EC7108" w:rsidRDefault="00EC7108" w:rsidP="00EC7108">
      <w:pPr>
        <w:jc w:val="both"/>
      </w:pPr>
      <w:r>
        <w:rPr>
          <w:noProof/>
          <w:lang w:eastAsia="en-GB"/>
        </w:rPr>
        <w:drawing>
          <wp:inline distT="0" distB="0" distL="0" distR="0">
            <wp:extent cx="5132717" cy="2165135"/>
            <wp:effectExtent l="19050" t="0" r="0" b="0"/>
            <wp:docPr id="7" name="Picture 1" descr="Image result for 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gibbs reflective cycle"/>
                    <pic:cNvPicPr>
                      <a:picLocks noChangeAspect="1" noChangeArrowheads="1"/>
                    </pic:cNvPicPr>
                  </pic:nvPicPr>
                  <pic:blipFill>
                    <a:blip r:embed="rId7" cstate="print"/>
                    <a:srcRect/>
                    <a:stretch>
                      <a:fillRect/>
                    </a:stretch>
                  </pic:blipFill>
                  <pic:spPr bwMode="auto">
                    <a:xfrm>
                      <a:off x="0" y="0"/>
                      <a:ext cx="5142652" cy="2169326"/>
                    </a:xfrm>
                    <a:prstGeom prst="rect">
                      <a:avLst/>
                    </a:prstGeom>
                    <a:noFill/>
                    <a:ln w="9525">
                      <a:noFill/>
                      <a:miter lim="800000"/>
                      <a:headEnd/>
                      <a:tailEnd/>
                    </a:ln>
                  </pic:spPr>
                </pic:pic>
              </a:graphicData>
            </a:graphic>
          </wp:inline>
        </w:drawing>
      </w:r>
      <w:r>
        <w:t xml:space="preserve"> </w:t>
      </w:r>
    </w:p>
    <w:p w:rsidR="00F45A40" w:rsidRDefault="00F45A40" w:rsidP="00EC7108">
      <w:pPr>
        <w:jc w:val="both"/>
      </w:pPr>
      <w:r>
        <w:lastRenderedPageBreak/>
        <w:t xml:space="preserve">Gibbs is another scholar and builds up his model in 1988. It covers 6 phases, which are easy to take after. It encourages you consider what happened and how it affected you. You at that point choose on the off chance that it was a decent or awful experience and the motivation behind the occasion. It at that point goes ahead to influence </w:t>
      </w:r>
      <w:r w:rsidR="00D77234">
        <w:t>you to think what else you could have done and whether you would do the same again or in an unexpected way. (Circulated Exploration, 2012)</w:t>
      </w:r>
    </w:p>
    <w:p w:rsidR="00D77234" w:rsidRDefault="00D77234">
      <w:r>
        <w:t>Another scholar, Kline, trusts that in a business setting workers need to relearn how to think for themselves in a domain which truly tunes in and gives individuals time to state what they think (Mullins 2007). Kolb’s learning cycle can be connected to the reflection procedure. Kolb has four components to the Learning Cycle:</w:t>
      </w:r>
      <w:r w:rsidR="0019520E">
        <w:t xml:space="preserve"> you begin with an ‘Experience’, which is an activity, problem or subject. You at that point go ahead to the ‘observation and reflections’ the place you reflect, review and discuss the experience. The following stage is ‘Development of ideas’ which is the place you from the experience. lastly the’ Testing ideas in practice’ which is the place you put practice to what you have learnt.</w:t>
      </w:r>
      <w:r w:rsidR="00A1667D">
        <w:t xml:space="preserve"> (Learning and Educating, 2012)</w:t>
      </w:r>
      <w:r w:rsidR="00327D93" w:rsidRPr="00327D93">
        <w:rPr>
          <w:noProof/>
          <w:lang w:eastAsia="en-GB"/>
        </w:rPr>
        <w:t xml:space="preserve"> </w:t>
      </w:r>
      <w:r w:rsidR="00327D93">
        <w:rPr>
          <w:noProof/>
          <w:lang w:eastAsia="en-GB"/>
        </w:rPr>
        <w:drawing>
          <wp:inline distT="0" distB="0" distL="0" distR="0">
            <wp:extent cx="84467" cy="94891"/>
            <wp:effectExtent l="19050" t="0" r="10783" b="359"/>
            <wp:docPr id="4"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rsidR="0087473D" w:rsidRPr="0087473D" w:rsidRDefault="0087473D" w:rsidP="0087473D">
      <w:pPr>
        <w:tabs>
          <w:tab w:val="left" w:pos="1915"/>
        </w:tabs>
        <w:rPr>
          <w:sz w:val="32"/>
          <w:szCs w:val="32"/>
        </w:rPr>
      </w:pPr>
      <w:r>
        <w:tab/>
        <w:t xml:space="preserve">            </w:t>
      </w:r>
      <w:r w:rsidRPr="0087473D">
        <w:rPr>
          <w:sz w:val="32"/>
          <w:szCs w:val="32"/>
        </w:rPr>
        <w:t>Kolb’s learning cycle</w:t>
      </w:r>
    </w:p>
    <w:p w:rsidR="0087473D" w:rsidRDefault="001444E2">
      <w:r>
        <w:rPr>
          <w:noProof/>
          <w:lang w:eastAsia="en-GB"/>
        </w:rPr>
        <w:drawing>
          <wp:inline distT="0" distB="0" distL="0" distR="0">
            <wp:extent cx="6193766" cy="4164126"/>
            <wp:effectExtent l="0" t="57150" r="0" b="84455"/>
            <wp:docPr id="3"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rsidR="0087473D" w:rsidRDefault="0087473D"/>
    <w:p w:rsidR="0087473D" w:rsidRDefault="0087473D"/>
    <w:p w:rsidR="0087473D" w:rsidRDefault="0087473D"/>
    <w:p w:rsidR="00A1667D" w:rsidRDefault="00A1667D">
      <w:r>
        <w:lastRenderedPageBreak/>
        <w:t xml:space="preserve">Schon proposes there are two types of reflection, On activity and </w:t>
      </w:r>
      <w:proofErr w:type="gramStart"/>
      <w:r>
        <w:t>In</w:t>
      </w:r>
      <w:proofErr w:type="gramEnd"/>
      <w:r>
        <w:t xml:space="preserve"> real life. On activity is the survey that happens straight after an occasion and in real life is the preparing of a successful master that is in the occasion. Jenny Moon a notable scholar on reflection trusted that there are numerous results from the reflection procedure </w:t>
      </w:r>
      <w:proofErr w:type="gramStart"/>
      <w:r>
        <w:t>The</w:t>
      </w:r>
      <w:proofErr w:type="gramEnd"/>
      <w:r>
        <w:t xml:space="preserve"> outline (right) delineates her perspectives from the reflection procedure. (Jenny Moon, 2001)</w:t>
      </w:r>
    </w:p>
    <w:p w:rsidR="00A1667D" w:rsidRPr="00B94C08" w:rsidRDefault="00B94C08">
      <w:pPr>
        <w:rPr>
          <w:sz w:val="32"/>
          <w:szCs w:val="32"/>
        </w:rPr>
      </w:pPr>
      <w:r w:rsidRPr="00B94C08">
        <w:rPr>
          <w:sz w:val="32"/>
          <w:szCs w:val="32"/>
        </w:rPr>
        <w:t>Enquiry based learning:</w:t>
      </w:r>
    </w:p>
    <w:p w:rsidR="00383F28" w:rsidRDefault="00B94C08">
      <w:r w:rsidRPr="00383F28">
        <w:t xml:space="preserve">Enquiry </w:t>
      </w:r>
      <w:r w:rsidR="00E91929" w:rsidRPr="00383F28">
        <w:t xml:space="preserve">based learning </w:t>
      </w:r>
      <w:r w:rsidRPr="00383F28">
        <w:t>is a learning strategy which influence students to le</w:t>
      </w:r>
      <w:r w:rsidR="00E91929" w:rsidRPr="00383F28">
        <w:t xml:space="preserve">arn though an organized procedure of enquiry and with the guide providing a strong situation, which is expected to support synergistic and dynamic engagement with issues and issues. It is a coordinated strategy for strong enquiry on learning. </w:t>
      </w:r>
      <w:r w:rsidR="00383F28" w:rsidRPr="00383F28">
        <w:t>It</w:t>
      </w:r>
      <w:r w:rsidR="00E91929" w:rsidRPr="00383F28">
        <w:t xml:space="preserve"> is organized to energize autonomous learning and functions admirably with aggregate engagement, where there </w:t>
      </w:r>
      <w:r w:rsidR="00383F28" w:rsidRPr="00383F28">
        <w:t>are</w:t>
      </w:r>
      <w:r w:rsidR="00E91929" w:rsidRPr="00383F28">
        <w:t xml:space="preserve"> pertinent and expressive issues and issues.</w:t>
      </w:r>
      <w:r w:rsidR="008C0F84" w:rsidRPr="00383F28">
        <w:t xml:space="preserve"> </w:t>
      </w:r>
      <w:r w:rsidR="00383F28" w:rsidRPr="00383F28">
        <w:t>It</w:t>
      </w:r>
      <w:r w:rsidR="00E91929" w:rsidRPr="00383F28">
        <w:t xml:space="preserve"> for our requirements,</w:t>
      </w:r>
      <w:r w:rsidR="008C0F84" w:rsidRPr="00383F28">
        <w:t xml:space="preserve"> it makes you more excited about doing the examination. Working in a gathering and doing the exploration errands can enhance our employability as most occupations consider this to be essential, as they need representatives who function admirably in a group and acc</w:t>
      </w:r>
      <w:r w:rsidR="00383F28" w:rsidRPr="00383F28">
        <w:t xml:space="preserve">omplish targets together.  </w:t>
      </w:r>
    </w:p>
    <w:p w:rsidR="00383F28" w:rsidRDefault="00383F28"/>
    <w:p w:rsidR="00383F28" w:rsidRPr="00383F28" w:rsidRDefault="0087473D" w:rsidP="0087473D">
      <w:pPr>
        <w:tabs>
          <w:tab w:val="left" w:pos="3315"/>
        </w:tabs>
        <w:rPr>
          <w:sz w:val="40"/>
          <w:szCs w:val="40"/>
        </w:rPr>
      </w:pPr>
      <w:r>
        <w:rPr>
          <w:sz w:val="40"/>
          <w:szCs w:val="40"/>
        </w:rPr>
        <w:tab/>
        <w:t xml:space="preserve">        EBL</w:t>
      </w:r>
    </w:p>
    <w:tbl>
      <w:tblPr>
        <w:tblStyle w:val="TableGrid"/>
        <w:tblW w:w="0" w:type="auto"/>
        <w:tblInd w:w="108" w:type="dxa"/>
        <w:tblLook w:val="04A0" w:firstRow="1" w:lastRow="0" w:firstColumn="1" w:lastColumn="0" w:noHBand="0" w:noVBand="1"/>
      </w:tblPr>
      <w:tblGrid>
        <w:gridCol w:w="2972"/>
        <w:gridCol w:w="3081"/>
        <w:gridCol w:w="3081"/>
      </w:tblGrid>
      <w:tr w:rsidR="0087473D" w:rsidTr="0087473D">
        <w:trPr>
          <w:trHeight w:val="606"/>
        </w:trPr>
        <w:tc>
          <w:tcPr>
            <w:tcW w:w="2972" w:type="dxa"/>
          </w:tcPr>
          <w:p w:rsidR="0087473D" w:rsidRDefault="0087473D">
            <w:r>
              <w:t>Problem-based learning</w:t>
            </w:r>
          </w:p>
        </w:tc>
        <w:tc>
          <w:tcPr>
            <w:tcW w:w="3081" w:type="dxa"/>
          </w:tcPr>
          <w:p w:rsidR="0087473D" w:rsidRDefault="0087473D">
            <w:r>
              <w:t>Small scale investigations</w:t>
            </w:r>
          </w:p>
        </w:tc>
        <w:tc>
          <w:tcPr>
            <w:tcW w:w="3081" w:type="dxa"/>
          </w:tcPr>
          <w:p w:rsidR="0087473D" w:rsidRDefault="0087473D">
            <w:r>
              <w:t>Projects and Research</w:t>
            </w:r>
          </w:p>
        </w:tc>
      </w:tr>
      <w:tr w:rsidR="0087473D" w:rsidTr="0087473D">
        <w:trPr>
          <w:trHeight w:val="1461"/>
        </w:trPr>
        <w:tc>
          <w:tcPr>
            <w:tcW w:w="2972" w:type="dxa"/>
          </w:tcPr>
          <w:p w:rsidR="0087473D" w:rsidRDefault="0087473D">
            <w:r>
              <w:t>Exploration of scenario driven learning experience</w:t>
            </w:r>
          </w:p>
        </w:tc>
        <w:tc>
          <w:tcPr>
            <w:tcW w:w="3081" w:type="dxa"/>
          </w:tcPr>
          <w:p w:rsidR="0087473D" w:rsidRDefault="0087473D">
            <w:r>
              <w:t>Field work or case study adapted to disciplinary contexts</w:t>
            </w:r>
          </w:p>
        </w:tc>
        <w:tc>
          <w:tcPr>
            <w:tcW w:w="3081" w:type="dxa"/>
          </w:tcPr>
          <w:p w:rsidR="0087473D" w:rsidRDefault="0087473D">
            <w:r>
              <w:t>Encouragement of research-based approach to projects and processes</w:t>
            </w:r>
          </w:p>
        </w:tc>
      </w:tr>
    </w:tbl>
    <w:p w:rsidR="00383F28" w:rsidRDefault="00383F28"/>
    <w:p w:rsidR="00383F28" w:rsidRDefault="00383F28"/>
    <w:p w:rsidR="008C0F84" w:rsidRPr="00383F28" w:rsidRDefault="008C0F84">
      <w:r w:rsidRPr="008C0F84">
        <w:rPr>
          <w:sz w:val="32"/>
          <w:szCs w:val="32"/>
        </w:rPr>
        <w:t xml:space="preserve">How </w:t>
      </w:r>
      <w:r w:rsidR="00296675">
        <w:rPr>
          <w:sz w:val="32"/>
          <w:szCs w:val="32"/>
        </w:rPr>
        <w:t>I can utilize this in the work environment:</w:t>
      </w:r>
    </w:p>
    <w:p w:rsidR="00296675" w:rsidRDefault="00296675">
      <w:r>
        <w:t>In the work put I may have the capacity to think back on what I have done and divert it in to when I am grinding away. For instance, on the off chance that I am given an assignment at work to inquire about a specific subject then I would recall the discoveries of the workshop and utilize diverse sources to discover what I have to do. I will have the capacity to discover things out freely, as in the work environment I question that you will have the capacity to continually continue getting some information about what you need to do. So this will be exceptionally valuable for when I am in</w:t>
      </w:r>
      <w:r w:rsidR="004E257D">
        <w:t xml:space="preserve"> </w:t>
      </w:r>
      <w:r>
        <w:t xml:space="preserve">an all day work. Additionally, working in a gathering </w:t>
      </w:r>
      <w:r w:rsidR="004E257D">
        <w:t>has given me extraordinary experience and in the working environment it is extremely normal to work in groups. EBL has made me a free student yet additionally influenced me to acknowledge that is so vital to do assemble work and accomplish objectives together and it can be extremely fulfilling when an objective is accomplished.</w:t>
      </w:r>
    </w:p>
    <w:p w:rsidR="00904789" w:rsidRDefault="00904789">
      <w:pPr>
        <w:rPr>
          <w:sz w:val="32"/>
          <w:szCs w:val="32"/>
        </w:rPr>
      </w:pPr>
      <w:r w:rsidRPr="00904789">
        <w:rPr>
          <w:sz w:val="32"/>
          <w:szCs w:val="32"/>
        </w:rPr>
        <w:lastRenderedPageBreak/>
        <w:t>The mourning</w:t>
      </w:r>
      <w:r w:rsidR="00383F28">
        <w:rPr>
          <w:sz w:val="32"/>
          <w:szCs w:val="32"/>
        </w:rPr>
        <w:t xml:space="preserve"> </w:t>
      </w:r>
      <w:r w:rsidRPr="00904789">
        <w:rPr>
          <w:sz w:val="32"/>
          <w:szCs w:val="32"/>
        </w:rPr>
        <w:t>aspect:</w:t>
      </w:r>
    </w:p>
    <w:p w:rsidR="00904789" w:rsidRDefault="00904789">
      <w:r>
        <w:t>After working as a group together for various weeks we become more acquainted with each other extremely well and it felt odd not cooperating on the workshop and not getting together consistently. Notwithstanding, the general population I worked inside the gathering I am presently doing other gathering work with. So the grieving angle has not affected on me significantly, however in the event that I were not doing work with the gathering any longer, at that point it would influence you to have a craving for something’s missing. In spite of the fact that the work we were doing was troublesome and on occasion unpleasant, the way that we were all under a similar weight influenced us to cooperate well and was now again fun a</w:t>
      </w:r>
      <w:r w:rsidR="00FB6D82">
        <w:t xml:space="preserve">nd an extremely pleasant ordeal. </w:t>
      </w:r>
    </w:p>
    <w:p w:rsidR="00FB6D82" w:rsidRDefault="00FB6D82">
      <w:r>
        <w:t>I started my internship as an accountant in PC where I faced many challenges. In start everything was new for me. Gradually I build up my confidence and started knowing my fellow interns. They were all friendly. My first day was with my supervisor who introduce me with other colleagues and gave the introduction of the procedure they fellow. After some days we (interns) were put together in groups and given a task to complete</w:t>
      </w:r>
      <w:r w:rsidR="00F106EA">
        <w:t>. We were given the purchase department to deal with. We decided that which areas of that department each individual will focus on and they meet up on daily basis that we were doing How we are getting on.</w:t>
      </w:r>
    </w:p>
    <w:p w:rsidR="00F106EA" w:rsidRDefault="00F106EA">
      <w:r>
        <w:t>The group coordinator was good at it has helped in decision making and co operated in dealing customers matters. We all did well and complete our internship. In that particular group I learned that how to cope with others and also</w:t>
      </w:r>
      <w:r w:rsidR="00E74E54">
        <w:t xml:space="preserve"> learned on to manage team. I developed the skill of team working where everyone was working as team and more support each individual.</w:t>
      </w:r>
    </w:p>
    <w:p w:rsidR="00271E84" w:rsidRDefault="00271E84">
      <w:pPr>
        <w:rPr>
          <w:sz w:val="32"/>
          <w:szCs w:val="32"/>
        </w:rPr>
      </w:pPr>
    </w:p>
    <w:p w:rsidR="00904789" w:rsidRDefault="00904789">
      <w:pPr>
        <w:rPr>
          <w:sz w:val="32"/>
          <w:szCs w:val="32"/>
        </w:rPr>
      </w:pPr>
      <w:r w:rsidRPr="00904789">
        <w:rPr>
          <w:sz w:val="32"/>
          <w:szCs w:val="32"/>
        </w:rPr>
        <w:t>The issues</w:t>
      </w:r>
      <w:r w:rsidR="00271E84">
        <w:rPr>
          <w:sz w:val="32"/>
          <w:szCs w:val="32"/>
        </w:rPr>
        <w:t>:</w:t>
      </w:r>
    </w:p>
    <w:p w:rsidR="00271E84" w:rsidRDefault="00271E84">
      <w:r>
        <w:t xml:space="preserve">Thinking back on the development and the workshop, there was no fundamental or enormous issue. In any case, there were some little issues that all additional together, which may have affected on our execution. Here and there when we would mastermind to get together, a portion of the individuals from the gathering would be late or not turn up. This squanders significant time and backs off efficiency and could have come about on us not achieving the performing stage in the Tuck man shop prior. Later </w:t>
      </w:r>
      <w:proofErr w:type="gramStart"/>
      <w:r>
        <w:t>on</w:t>
      </w:r>
      <w:proofErr w:type="gramEnd"/>
      <w:r>
        <w:t xml:space="preserve"> I would address whoever was late and clarify how those being late can truly affect in general gathering and that it’s not worthy.</w:t>
      </w:r>
    </w:p>
    <w:p w:rsidR="00271E84" w:rsidRDefault="002A69E2">
      <w:r>
        <w:t xml:space="preserve">As the group meetings were marginally less gainful than they could have been may have brought about us not </w:t>
      </w:r>
      <w:r w:rsidR="00AB72C4">
        <w:t>having sufficient energy to completely get ready for our workshop as I do not trust we went over the full 40 minutes of workshop enough as the planning amid the workshop was somewhat not as much as expected and we could have perhaps fit in other situation on the off chance that we had know the right planning, so if we do again would ensure we go over the assignment no less than 3 or 4 time so we as whole know precisely to what extent they will last and ensure we utilize our chance successfully and effectively.</w:t>
      </w:r>
    </w:p>
    <w:p w:rsidR="00D27516" w:rsidRDefault="00D27516">
      <w:pPr>
        <w:rPr>
          <w:sz w:val="32"/>
          <w:szCs w:val="32"/>
        </w:rPr>
      </w:pPr>
    </w:p>
    <w:p w:rsidR="0010251B" w:rsidRPr="0021334E" w:rsidRDefault="0010251B">
      <w:pPr>
        <w:rPr>
          <w:sz w:val="32"/>
          <w:szCs w:val="32"/>
        </w:rPr>
      </w:pPr>
      <w:r w:rsidRPr="0021334E">
        <w:rPr>
          <w:sz w:val="32"/>
          <w:szCs w:val="32"/>
        </w:rPr>
        <w:lastRenderedPageBreak/>
        <w:t>Learning outcomes:</w:t>
      </w:r>
    </w:p>
    <w:p w:rsidR="00271E84" w:rsidRDefault="0021334E">
      <w:r>
        <w:t>I have considerable measure about reflecting and its immense significance, as it encourages you in such a large number of methods for you learning. Reflecting gives you the chance to think back on an affair, gain from it and act contrastingly later on. Later on I will attempt to discover time to think about various encounters I have in my everyday</w:t>
      </w:r>
      <w:r w:rsidR="00E13600">
        <w:t xml:space="preserve"> life and figure out how</w:t>
      </w:r>
      <w:r>
        <w:t xml:space="preserve"> to enhance myself,</w:t>
      </w:r>
      <w:r w:rsidR="00E13600">
        <w:t xml:space="preserve"> as off now I do not and I trust it is gainful to enable me to learn new things.</w:t>
      </w:r>
    </w:p>
    <w:p w:rsidR="00B63805" w:rsidRDefault="00E13600">
      <w:r>
        <w:t xml:space="preserve">I comprehend that I am a multimodal student and that I am very different. I have learnt about my group and from style, worked out how they learn and </w:t>
      </w:r>
      <w:r w:rsidR="00B63805">
        <w:t>it’s</w:t>
      </w:r>
      <w:r>
        <w:t xml:space="preserve"> exceptionally intriguing how everybody learns in various ways. In the working environment, </w:t>
      </w:r>
      <w:r w:rsidR="00B63805">
        <w:t>I will recollect the learning styles and attempt to suit for various learning styles of the general population I oversee and administer.</w:t>
      </w:r>
    </w:p>
    <w:p w:rsidR="00E13600" w:rsidRDefault="00B63805">
      <w:r>
        <w:t>As a group, presentation skills should be moved forward. Timing was a noteworthy issue. This was most likely as the result of the measure of time spent practicing the introduction. Additional practicing would have implied that we would be more certain about the material that we were exhibiting. We worked viably as a group, however next time I imagine that we would need to have better correspondence. This would profit the group</w:t>
      </w:r>
      <w:r w:rsidR="00383F28">
        <w:t>, as the data displayed would be more compact and exact. The point region that we secured was fascinating, yet I believe that we could have invested more energy inquiring about the subject and utilizing more cases from alternate point of views.</w:t>
      </w:r>
      <w:r w:rsidR="000A1BC9">
        <w:t xml:space="preserve"> </w:t>
      </w:r>
    </w:p>
    <w:p w:rsidR="000A1BC9" w:rsidRDefault="000A1BC9"/>
    <w:p w:rsidR="000A1BC9" w:rsidRDefault="000A1BC9"/>
    <w:p w:rsidR="000A1BC9" w:rsidRDefault="000A1BC9">
      <w:pPr>
        <w:rPr>
          <w:sz w:val="32"/>
          <w:szCs w:val="32"/>
        </w:rPr>
      </w:pPr>
      <w:r w:rsidRPr="000A1BC9">
        <w:rPr>
          <w:sz w:val="32"/>
          <w:szCs w:val="32"/>
        </w:rPr>
        <w:t>References:</w:t>
      </w:r>
    </w:p>
    <w:p w:rsidR="0081738C" w:rsidRDefault="0081738C"/>
    <w:p w:rsidR="001A0E33" w:rsidRPr="001A0E33" w:rsidRDefault="001A0E33" w:rsidP="001A0E33">
      <w:pPr>
        <w:rPr>
          <w:rFonts w:ascii="Arial" w:eastAsia="Times New Roman" w:hAnsi="Arial" w:cs="Arial"/>
          <w:color w:val="000000"/>
          <w:lang w:eastAsia="en-GB"/>
        </w:rPr>
      </w:pPr>
      <w:r w:rsidRPr="001A0E33">
        <w:rPr>
          <w:rFonts w:ascii="Arial" w:hAnsi="Arial" w:cs="Arial"/>
          <w:color w:val="000000"/>
        </w:rPr>
        <w:t xml:space="preserve"> </w:t>
      </w:r>
      <w:r w:rsidRPr="001A0E33">
        <w:rPr>
          <w:rFonts w:ascii="Arial" w:eastAsia="Times New Roman" w:hAnsi="Arial" w:cs="Arial"/>
          <w:color w:val="000000"/>
          <w:lang w:eastAsia="en-GB"/>
        </w:rPr>
        <w:t xml:space="preserve">Aurora, 2012. Belbin for young people[online] [viewed 19th March 2012] </w:t>
      </w:r>
      <w:proofErr w:type="spellStart"/>
      <w:r w:rsidRPr="001A0E33">
        <w:rPr>
          <w:rFonts w:ascii="Arial" w:eastAsia="Times New Roman" w:hAnsi="Arial" w:cs="Arial"/>
          <w:color w:val="000000"/>
          <w:lang w:eastAsia="en-GB"/>
        </w:rPr>
        <w:t>Available:</w:t>
      </w:r>
      <w:hyperlink r:id="rId14" w:tgtFrame="_blank" w:history="1">
        <w:r w:rsidRPr="001A0E33">
          <w:rPr>
            <w:rFonts w:ascii="Arial" w:eastAsia="Times New Roman" w:hAnsi="Arial" w:cs="Arial"/>
            <w:color w:val="0000FF"/>
            <w:u w:val="single"/>
            <w:lang w:eastAsia="en-GB"/>
          </w:rPr>
          <w:t>http</w:t>
        </w:r>
        <w:proofErr w:type="spellEnd"/>
        <w:r w:rsidRPr="001A0E33">
          <w:rPr>
            <w:rFonts w:ascii="Arial" w:eastAsia="Times New Roman" w:hAnsi="Arial" w:cs="Arial"/>
            <w:color w:val="0000FF"/>
            <w:u w:val="single"/>
            <w:lang w:eastAsia="en-GB"/>
          </w:rPr>
          <w:t>://www.aurora-tds.co.uk/belbinforyoungpeople.html</w:t>
        </w:r>
      </w:hyperlink>
      <w:r w:rsidRPr="001A0E33">
        <w:rPr>
          <w:rFonts w:ascii="Arial" w:eastAsia="Times New Roman" w:hAnsi="Arial" w:cs="Arial"/>
          <w:color w:val="000000"/>
          <w:lang w:eastAsia="en-GB"/>
        </w:rPr>
        <w:t xml:space="preserve"> </w:t>
      </w:r>
    </w:p>
    <w:p w:rsidR="001A0E33" w:rsidRPr="001A0E33" w:rsidRDefault="001A0E33" w:rsidP="001A0E33">
      <w:pPr>
        <w:spacing w:after="0" w:line="240" w:lineRule="auto"/>
        <w:rPr>
          <w:rFonts w:ascii="Arial" w:eastAsia="Times New Roman" w:hAnsi="Arial" w:cs="Arial"/>
          <w:color w:val="000000"/>
          <w:lang w:eastAsia="en-GB"/>
        </w:rPr>
      </w:pPr>
      <w:r w:rsidRPr="001A0E33">
        <w:rPr>
          <w:rFonts w:ascii="Arial" w:eastAsia="Times New Roman" w:hAnsi="Arial" w:cs="Arial"/>
          <w:color w:val="000000"/>
          <w:lang w:eastAsia="en-GB"/>
        </w:rPr>
        <w:t xml:space="preserve">Buchanan, D. and A. Huczynski, 2004. Organisational Behaviour. 4th Ed. Pearson Education: Harlow </w:t>
      </w:r>
    </w:p>
    <w:p w:rsidR="001A0E33" w:rsidRPr="001A0E33" w:rsidRDefault="001A0E33" w:rsidP="001A0E33">
      <w:pPr>
        <w:spacing w:after="0" w:line="240" w:lineRule="auto"/>
        <w:rPr>
          <w:rFonts w:ascii="Arial" w:eastAsia="Times New Roman" w:hAnsi="Arial" w:cs="Arial"/>
          <w:color w:val="000000"/>
          <w:lang w:eastAsia="en-GB"/>
        </w:rPr>
      </w:pPr>
      <w:r w:rsidRPr="001A0E33">
        <w:rPr>
          <w:rFonts w:ascii="Arial" w:eastAsia="Times New Roman" w:hAnsi="Arial" w:cs="Arial"/>
          <w:color w:val="000000"/>
          <w:lang w:eastAsia="en-GB"/>
        </w:rPr>
        <w:t>Distributed Action, 2011 Gibbs Reflective Cycle [online] [viewed 20th March 2012] Available:</w:t>
      </w:r>
      <w:hyperlink r:id="rId15" w:tgtFrame="_blank" w:history="1">
        <w:r w:rsidRPr="001A0E33">
          <w:rPr>
            <w:rFonts w:ascii="Arial" w:eastAsia="Times New Roman" w:hAnsi="Arial" w:cs="Arial"/>
            <w:color w:val="0000FF"/>
            <w:u w:val="single"/>
            <w:lang w:eastAsia="en-GB"/>
          </w:rPr>
          <w:t>http://distributedresearch.net/wiki/index.php/Gibbs_reflective_Cycle</w:t>
        </w:r>
      </w:hyperlink>
      <w:r w:rsidRPr="001A0E33">
        <w:rPr>
          <w:rFonts w:ascii="Arial" w:eastAsia="Times New Roman" w:hAnsi="Arial" w:cs="Arial"/>
          <w:color w:val="000000"/>
          <w:lang w:eastAsia="en-GB"/>
        </w:rPr>
        <w:t xml:space="preserve"> </w:t>
      </w:r>
    </w:p>
    <w:p w:rsidR="001A0E33" w:rsidRPr="001A0E33" w:rsidRDefault="001A0E33" w:rsidP="001A0E33">
      <w:pPr>
        <w:spacing w:after="0" w:line="240" w:lineRule="auto"/>
        <w:rPr>
          <w:rFonts w:ascii="Arial" w:eastAsia="Times New Roman" w:hAnsi="Arial" w:cs="Arial"/>
          <w:color w:val="000000"/>
          <w:lang w:eastAsia="en-GB"/>
        </w:rPr>
      </w:pPr>
    </w:p>
    <w:p w:rsidR="001A0E33" w:rsidRPr="001A0E33" w:rsidRDefault="001A0E33" w:rsidP="001A0E33">
      <w:pPr>
        <w:spacing w:after="0" w:line="240" w:lineRule="auto"/>
        <w:rPr>
          <w:rFonts w:ascii="Arial" w:eastAsia="Times New Roman" w:hAnsi="Arial" w:cs="Arial"/>
          <w:color w:val="000000"/>
          <w:lang w:eastAsia="en-GB"/>
        </w:rPr>
      </w:pPr>
      <w:r w:rsidRPr="001A0E33">
        <w:rPr>
          <w:rFonts w:ascii="Arial" w:eastAsia="Times New Roman" w:hAnsi="Arial" w:cs="Arial"/>
          <w:color w:val="000000"/>
          <w:lang w:eastAsia="en-GB"/>
        </w:rPr>
        <w:t xml:space="preserve">JISC </w:t>
      </w:r>
      <w:proofErr w:type="spellStart"/>
      <w:r w:rsidRPr="001A0E33">
        <w:rPr>
          <w:rFonts w:ascii="Arial" w:eastAsia="Times New Roman" w:hAnsi="Arial" w:cs="Arial"/>
          <w:color w:val="000000"/>
          <w:lang w:eastAsia="en-GB"/>
        </w:rPr>
        <w:t>Infonet</w:t>
      </w:r>
      <w:proofErr w:type="spellEnd"/>
      <w:r w:rsidRPr="001A0E33">
        <w:rPr>
          <w:rFonts w:ascii="Arial" w:eastAsia="Times New Roman" w:hAnsi="Arial" w:cs="Arial"/>
          <w:color w:val="000000"/>
          <w:lang w:eastAsia="en-GB"/>
        </w:rPr>
        <w:t>, 2012 Tuckman Model [online] [viewed 18th March 2012] Available:</w:t>
      </w:r>
      <w:hyperlink r:id="rId16" w:tgtFrame="_blank" w:history="1">
        <w:r w:rsidRPr="001A0E33">
          <w:rPr>
            <w:rFonts w:ascii="Arial" w:eastAsia="Times New Roman" w:hAnsi="Arial" w:cs="Arial"/>
            <w:color w:val="0000FF"/>
            <w:u w:val="single"/>
            <w:lang w:eastAsia="en-GB"/>
          </w:rPr>
          <w:t>http://www.jiscinfonet.ac.uk/InfoKits/infokit-related-files/tuckman-model</w:t>
        </w:r>
      </w:hyperlink>
      <w:r w:rsidRPr="001A0E33">
        <w:rPr>
          <w:rFonts w:ascii="Arial" w:eastAsia="Times New Roman" w:hAnsi="Arial" w:cs="Arial"/>
          <w:color w:val="000000"/>
          <w:lang w:eastAsia="en-GB"/>
        </w:rPr>
        <w:t xml:space="preserve"> </w:t>
      </w:r>
    </w:p>
    <w:p w:rsidR="001A0E33" w:rsidRDefault="001A0E33" w:rsidP="001A0E33">
      <w:pPr>
        <w:spacing w:after="0" w:line="240" w:lineRule="auto"/>
        <w:rPr>
          <w:rFonts w:ascii="Arial" w:eastAsia="Times New Roman" w:hAnsi="Arial" w:cs="Arial"/>
          <w:color w:val="000000"/>
          <w:lang w:eastAsia="en-GB"/>
        </w:rPr>
      </w:pPr>
    </w:p>
    <w:p w:rsidR="001A0E33" w:rsidRPr="001A0E33" w:rsidRDefault="001A0E33" w:rsidP="001A0E33">
      <w:pPr>
        <w:spacing w:after="0" w:line="240" w:lineRule="auto"/>
        <w:rPr>
          <w:rFonts w:ascii="Arial" w:eastAsia="Times New Roman" w:hAnsi="Arial" w:cs="Arial"/>
          <w:color w:val="000000"/>
          <w:lang w:eastAsia="en-GB"/>
        </w:rPr>
      </w:pPr>
      <w:r w:rsidRPr="001A0E33">
        <w:rPr>
          <w:rFonts w:ascii="Arial" w:eastAsia="Times New Roman" w:hAnsi="Arial" w:cs="Arial"/>
          <w:color w:val="000000"/>
          <w:lang w:eastAsia="en-GB"/>
        </w:rPr>
        <w:t>Learning and Teaching, 2012, The Experiential Cycle[online] [viewed 20th March 2012] Available:</w:t>
      </w:r>
      <w:hyperlink r:id="rId17" w:tgtFrame="_blank" w:history="1">
        <w:r w:rsidRPr="001A0E33">
          <w:rPr>
            <w:rFonts w:ascii="Arial" w:eastAsia="Times New Roman" w:hAnsi="Arial" w:cs="Arial"/>
            <w:color w:val="0000FF"/>
            <w:u w:val="single"/>
            <w:lang w:eastAsia="en-GB"/>
          </w:rPr>
          <w:t>http://www.learningandteaching.info/learning/experience.htm</w:t>
        </w:r>
      </w:hyperlink>
    </w:p>
    <w:p w:rsidR="001A0E33" w:rsidRPr="001A0E33" w:rsidRDefault="001A0E33" w:rsidP="001A0E33">
      <w:pPr>
        <w:spacing w:after="0" w:line="240" w:lineRule="auto"/>
        <w:rPr>
          <w:rFonts w:ascii="Arial" w:eastAsia="Times New Roman" w:hAnsi="Arial" w:cs="Arial"/>
          <w:color w:val="000000"/>
          <w:lang w:eastAsia="en-GB"/>
        </w:rPr>
      </w:pPr>
      <w:r w:rsidRPr="001A0E33">
        <w:rPr>
          <w:rFonts w:ascii="Arial" w:eastAsia="Times New Roman" w:hAnsi="Arial" w:cs="Arial"/>
          <w:color w:val="000000"/>
          <w:lang w:eastAsia="en-GB"/>
        </w:rPr>
        <w:t xml:space="preserve">., 2001. Working Paper 4, Reflection in Higher </w:t>
      </w:r>
      <w:proofErr w:type="gramStart"/>
      <w:r w:rsidRPr="001A0E33">
        <w:rPr>
          <w:rFonts w:ascii="Arial" w:eastAsia="Times New Roman" w:hAnsi="Arial" w:cs="Arial"/>
          <w:color w:val="000000"/>
          <w:lang w:eastAsia="en-GB"/>
        </w:rPr>
        <w:t>education</w:t>
      </w:r>
      <w:proofErr w:type="gramEnd"/>
      <w:r w:rsidRPr="001A0E33">
        <w:rPr>
          <w:rFonts w:ascii="Arial" w:eastAsia="Times New Roman" w:hAnsi="Arial" w:cs="Arial"/>
          <w:color w:val="000000"/>
          <w:lang w:eastAsia="en-GB"/>
        </w:rPr>
        <w:t xml:space="preserve"> Learning. University of Exeter. </w:t>
      </w:r>
    </w:p>
    <w:p w:rsidR="001A0E33" w:rsidRDefault="001A0E33" w:rsidP="001A0E33">
      <w:pPr>
        <w:spacing w:after="0" w:line="240" w:lineRule="auto"/>
        <w:rPr>
          <w:rFonts w:ascii="Arial" w:eastAsia="Times New Roman" w:hAnsi="Arial" w:cs="Arial"/>
          <w:color w:val="000000"/>
          <w:lang w:eastAsia="en-GB"/>
        </w:rPr>
      </w:pPr>
    </w:p>
    <w:p w:rsidR="001A0E33" w:rsidRDefault="001A0E33" w:rsidP="001A0E33">
      <w:pPr>
        <w:spacing w:after="0" w:line="240" w:lineRule="auto"/>
        <w:rPr>
          <w:rFonts w:ascii="Arial" w:eastAsia="Times New Roman" w:hAnsi="Arial" w:cs="Arial"/>
          <w:color w:val="000000"/>
          <w:lang w:eastAsia="en-GB"/>
        </w:rPr>
      </w:pPr>
      <w:r>
        <w:rPr>
          <w:rFonts w:ascii="Arial" w:eastAsia="Times New Roman" w:hAnsi="Arial" w:cs="Arial"/>
          <w:color w:val="000000"/>
          <w:lang w:eastAsia="en-GB"/>
        </w:rPr>
        <w:t xml:space="preserve">Moon, J., 2001. Working Paper 4, Reflection in Higher </w:t>
      </w:r>
      <w:proofErr w:type="gramStart"/>
      <w:r>
        <w:rPr>
          <w:rFonts w:ascii="Arial" w:eastAsia="Times New Roman" w:hAnsi="Arial" w:cs="Arial"/>
          <w:color w:val="000000"/>
          <w:lang w:eastAsia="en-GB"/>
        </w:rPr>
        <w:t>education</w:t>
      </w:r>
      <w:proofErr w:type="gramEnd"/>
      <w:r>
        <w:rPr>
          <w:rFonts w:ascii="Arial" w:eastAsia="Times New Roman" w:hAnsi="Arial" w:cs="Arial"/>
          <w:color w:val="000000"/>
          <w:lang w:eastAsia="en-GB"/>
        </w:rPr>
        <w:t xml:space="preserve"> Learning. University of Exeter.</w:t>
      </w:r>
    </w:p>
    <w:p w:rsidR="001A0E33" w:rsidRDefault="001A0E33" w:rsidP="001A0E33">
      <w:pPr>
        <w:spacing w:after="0" w:line="240" w:lineRule="auto"/>
        <w:rPr>
          <w:rFonts w:ascii="Arial" w:eastAsia="Times New Roman" w:hAnsi="Arial" w:cs="Arial"/>
          <w:color w:val="000000"/>
          <w:lang w:eastAsia="en-GB"/>
        </w:rPr>
      </w:pPr>
    </w:p>
    <w:p w:rsidR="001A0E33" w:rsidRPr="001A0E33" w:rsidRDefault="001A0E33" w:rsidP="001A0E33">
      <w:pPr>
        <w:spacing w:after="0" w:line="240" w:lineRule="auto"/>
        <w:rPr>
          <w:rFonts w:ascii="Arial" w:eastAsia="Times New Roman" w:hAnsi="Arial" w:cs="Arial"/>
          <w:color w:val="000000"/>
          <w:lang w:eastAsia="en-GB"/>
        </w:rPr>
      </w:pPr>
      <w:r w:rsidRPr="001A0E33">
        <w:rPr>
          <w:rFonts w:ascii="Arial" w:eastAsia="Times New Roman" w:hAnsi="Arial" w:cs="Arial"/>
          <w:color w:val="000000"/>
          <w:lang w:eastAsia="en-GB"/>
        </w:rPr>
        <w:t xml:space="preserve">Mullins, J., 2007. Management and Organisational Behaviour. 8th Ed. Pearson Education: Harlow </w:t>
      </w:r>
    </w:p>
    <w:p w:rsidR="001A0E33" w:rsidRDefault="001A0E33" w:rsidP="001A0E33">
      <w:pPr>
        <w:spacing w:after="0" w:line="240" w:lineRule="auto"/>
        <w:rPr>
          <w:rFonts w:ascii="Arial" w:eastAsia="Times New Roman" w:hAnsi="Arial" w:cs="Arial"/>
          <w:color w:val="000000"/>
          <w:lang w:eastAsia="en-GB"/>
        </w:rPr>
      </w:pPr>
    </w:p>
    <w:p w:rsidR="001A0E33" w:rsidRPr="001A0E33" w:rsidRDefault="001A0E33" w:rsidP="001A0E33">
      <w:pPr>
        <w:spacing w:after="0" w:line="240" w:lineRule="auto"/>
        <w:rPr>
          <w:rFonts w:ascii="Arial" w:eastAsia="Times New Roman" w:hAnsi="Arial" w:cs="Arial"/>
          <w:color w:val="000000"/>
          <w:lang w:eastAsia="en-GB"/>
        </w:rPr>
      </w:pPr>
      <w:r w:rsidRPr="001A0E33">
        <w:rPr>
          <w:rFonts w:ascii="Arial" w:eastAsia="Times New Roman" w:hAnsi="Arial" w:cs="Arial"/>
          <w:color w:val="000000"/>
          <w:lang w:eastAsia="en-GB"/>
        </w:rPr>
        <w:t xml:space="preserve">Mullins, J., 2010. Management and Organisational Behaviour. 9th Ed. Pearson Education: Harlow </w:t>
      </w:r>
    </w:p>
    <w:p w:rsidR="001A0E33" w:rsidRDefault="001A0E33" w:rsidP="001A0E33">
      <w:pPr>
        <w:spacing w:after="0" w:line="240" w:lineRule="auto"/>
        <w:rPr>
          <w:rFonts w:ascii="Arial" w:eastAsia="Times New Roman" w:hAnsi="Arial" w:cs="Arial"/>
          <w:color w:val="000000"/>
          <w:lang w:eastAsia="en-GB"/>
        </w:rPr>
      </w:pPr>
    </w:p>
    <w:p w:rsidR="001A0E33" w:rsidRPr="001A0E33" w:rsidRDefault="001A0E33" w:rsidP="001A0E33">
      <w:pPr>
        <w:spacing w:after="0" w:line="240" w:lineRule="auto"/>
        <w:rPr>
          <w:rFonts w:ascii="Arial" w:eastAsia="Times New Roman" w:hAnsi="Arial" w:cs="Arial"/>
          <w:color w:val="000000"/>
          <w:lang w:eastAsia="en-GB"/>
        </w:rPr>
      </w:pPr>
      <w:r w:rsidRPr="001A0E33">
        <w:rPr>
          <w:rFonts w:ascii="Arial" w:eastAsia="Times New Roman" w:hAnsi="Arial" w:cs="Arial"/>
          <w:color w:val="000000"/>
          <w:lang w:eastAsia="en-GB"/>
        </w:rPr>
        <w:t xml:space="preserve">Ridley, Tony, 2011 Risk Analysis: How to value </w:t>
      </w:r>
      <w:proofErr w:type="spellStart"/>
      <w:r w:rsidRPr="001A0E33">
        <w:rPr>
          <w:rFonts w:ascii="Arial" w:eastAsia="Times New Roman" w:hAnsi="Arial" w:cs="Arial"/>
          <w:color w:val="000000"/>
          <w:lang w:eastAsia="en-GB"/>
        </w:rPr>
        <w:t>yourhuman</w:t>
      </w:r>
      <w:proofErr w:type="spellEnd"/>
      <w:r w:rsidRPr="001A0E33">
        <w:rPr>
          <w:rFonts w:ascii="Arial" w:eastAsia="Times New Roman" w:hAnsi="Arial" w:cs="Arial"/>
          <w:color w:val="000000"/>
          <w:lang w:eastAsia="en-GB"/>
        </w:rPr>
        <w:t xml:space="preserve"> capital [online] [viewed 18th March 2012] Available: </w:t>
      </w:r>
      <w:hyperlink r:id="rId18" w:tgtFrame="_blank" w:history="1">
        <w:r w:rsidRPr="001A0E33">
          <w:rPr>
            <w:rFonts w:ascii="Arial" w:eastAsia="Times New Roman" w:hAnsi="Arial" w:cs="Arial"/>
            <w:color w:val="0000FF"/>
            <w:u w:val="single"/>
            <w:lang w:eastAsia="en-GB"/>
          </w:rPr>
          <w:t>http://tony-ridley.com/human-capital/risk-analysis-how-to-value-your-human-capital</w:t>
        </w:r>
      </w:hyperlink>
      <w:r w:rsidRPr="001A0E33">
        <w:rPr>
          <w:rFonts w:ascii="Arial" w:eastAsia="Times New Roman" w:hAnsi="Arial" w:cs="Arial"/>
          <w:color w:val="000000"/>
          <w:lang w:eastAsia="en-GB"/>
        </w:rPr>
        <w:t xml:space="preserve"> </w:t>
      </w:r>
    </w:p>
    <w:p w:rsidR="001A0E33" w:rsidRDefault="001A0E33" w:rsidP="001A0E33">
      <w:pPr>
        <w:spacing w:after="240" w:line="240" w:lineRule="auto"/>
        <w:rPr>
          <w:rFonts w:ascii="Arial" w:eastAsia="Times New Roman" w:hAnsi="Arial" w:cs="Arial"/>
          <w:color w:val="000000"/>
          <w:lang w:eastAsia="en-GB"/>
        </w:rPr>
      </w:pPr>
    </w:p>
    <w:p w:rsidR="001A0E33" w:rsidRPr="001A0E33" w:rsidRDefault="001A0E33" w:rsidP="001A0E33">
      <w:pPr>
        <w:spacing w:after="240" w:line="240" w:lineRule="auto"/>
        <w:rPr>
          <w:rFonts w:ascii="Arial" w:eastAsia="Times New Roman" w:hAnsi="Arial" w:cs="Arial"/>
          <w:color w:val="000000"/>
          <w:lang w:eastAsia="en-GB"/>
        </w:rPr>
      </w:pPr>
      <w:r w:rsidRPr="001A0E33">
        <w:rPr>
          <w:rFonts w:ascii="Arial" w:eastAsia="Times New Roman" w:hAnsi="Arial" w:cs="Arial"/>
          <w:color w:val="000000"/>
          <w:lang w:eastAsia="en-GB"/>
        </w:rPr>
        <w:t xml:space="preserve">University of Manchester, 2010 Enquiry Based Learning[online] [viewed 21st March 2012] </w:t>
      </w:r>
      <w:proofErr w:type="spellStart"/>
      <w:r w:rsidRPr="001A0E33">
        <w:rPr>
          <w:rFonts w:ascii="Arial" w:eastAsia="Times New Roman" w:hAnsi="Arial" w:cs="Arial"/>
          <w:color w:val="000000"/>
          <w:lang w:eastAsia="en-GB"/>
        </w:rPr>
        <w:t>Available:</w:t>
      </w:r>
      <w:hyperlink r:id="rId19" w:tgtFrame="_blank" w:history="1">
        <w:r w:rsidRPr="001A0E33">
          <w:rPr>
            <w:rFonts w:ascii="Arial" w:eastAsia="Times New Roman" w:hAnsi="Arial" w:cs="Arial"/>
            <w:color w:val="0000FF"/>
            <w:u w:val="single"/>
            <w:lang w:eastAsia="en-GB"/>
          </w:rPr>
          <w:t>http</w:t>
        </w:r>
        <w:proofErr w:type="spellEnd"/>
        <w:r w:rsidRPr="001A0E33">
          <w:rPr>
            <w:rFonts w:ascii="Arial" w:eastAsia="Times New Roman" w:hAnsi="Arial" w:cs="Arial"/>
            <w:color w:val="0000FF"/>
            <w:u w:val="single"/>
            <w:lang w:eastAsia="en-GB"/>
          </w:rPr>
          <w:t>://www.ceebl.manchester.ac.uk/ebl/</w:t>
        </w:r>
      </w:hyperlink>
    </w:p>
    <w:p w:rsidR="001A0E33" w:rsidRPr="001A0E33" w:rsidRDefault="001A0E33" w:rsidP="001A0E33">
      <w:pPr>
        <w:spacing w:after="0" w:line="240" w:lineRule="auto"/>
        <w:rPr>
          <w:rFonts w:ascii="Arial" w:eastAsia="Times New Roman" w:hAnsi="Arial" w:cs="Arial"/>
          <w:color w:val="000000"/>
          <w:lang w:eastAsia="en-GB"/>
        </w:rPr>
      </w:pPr>
    </w:p>
    <w:p w:rsidR="001C4992" w:rsidRDefault="001C4992"/>
    <w:p w:rsidR="001C4992" w:rsidRPr="001C4992" w:rsidRDefault="001C4992" w:rsidP="001C4992"/>
    <w:p w:rsidR="001C4992" w:rsidRPr="001C4992" w:rsidRDefault="001C4992" w:rsidP="001C4992"/>
    <w:p w:rsidR="001C4992" w:rsidRPr="001C4992" w:rsidRDefault="001C4992" w:rsidP="001C4992"/>
    <w:p w:rsidR="001C4992" w:rsidRPr="001C4992" w:rsidRDefault="001C4992" w:rsidP="001C4992"/>
    <w:p w:rsidR="001C4992" w:rsidRDefault="001C4992" w:rsidP="001C4992"/>
    <w:p w:rsidR="002356C6" w:rsidRDefault="002356C6" w:rsidP="001C4992">
      <w:pPr>
        <w:tabs>
          <w:tab w:val="left" w:pos="1141"/>
        </w:tabs>
        <w:rPr>
          <w:sz w:val="32"/>
          <w:szCs w:val="32"/>
        </w:rPr>
      </w:pPr>
    </w:p>
    <w:p w:rsidR="002356C6" w:rsidRDefault="002356C6" w:rsidP="001C4992">
      <w:pPr>
        <w:tabs>
          <w:tab w:val="left" w:pos="1141"/>
        </w:tabs>
        <w:rPr>
          <w:sz w:val="32"/>
          <w:szCs w:val="32"/>
        </w:rPr>
      </w:pPr>
    </w:p>
    <w:p w:rsidR="002356C6" w:rsidRDefault="002356C6" w:rsidP="001C4992">
      <w:pPr>
        <w:tabs>
          <w:tab w:val="left" w:pos="1141"/>
        </w:tabs>
        <w:rPr>
          <w:sz w:val="32"/>
          <w:szCs w:val="32"/>
        </w:rPr>
      </w:pPr>
    </w:p>
    <w:p w:rsidR="002356C6" w:rsidRDefault="002356C6" w:rsidP="001C4992">
      <w:pPr>
        <w:tabs>
          <w:tab w:val="left" w:pos="1141"/>
        </w:tabs>
        <w:rPr>
          <w:sz w:val="32"/>
          <w:szCs w:val="32"/>
        </w:rPr>
      </w:pPr>
    </w:p>
    <w:p w:rsidR="002356C6" w:rsidRDefault="002356C6" w:rsidP="001C4992">
      <w:pPr>
        <w:tabs>
          <w:tab w:val="left" w:pos="1141"/>
        </w:tabs>
        <w:rPr>
          <w:sz w:val="32"/>
          <w:szCs w:val="32"/>
        </w:rPr>
      </w:pPr>
    </w:p>
    <w:p w:rsidR="002356C6" w:rsidRDefault="002356C6" w:rsidP="001C4992">
      <w:pPr>
        <w:tabs>
          <w:tab w:val="left" w:pos="1141"/>
        </w:tabs>
        <w:rPr>
          <w:sz w:val="32"/>
          <w:szCs w:val="32"/>
        </w:rPr>
      </w:pPr>
    </w:p>
    <w:p w:rsidR="002356C6" w:rsidRDefault="002356C6" w:rsidP="001C4992">
      <w:pPr>
        <w:tabs>
          <w:tab w:val="left" w:pos="1141"/>
        </w:tabs>
        <w:rPr>
          <w:sz w:val="32"/>
          <w:szCs w:val="32"/>
        </w:rPr>
      </w:pPr>
    </w:p>
    <w:p w:rsidR="002356C6" w:rsidRDefault="002356C6" w:rsidP="001C4992">
      <w:pPr>
        <w:tabs>
          <w:tab w:val="left" w:pos="1141"/>
        </w:tabs>
        <w:rPr>
          <w:sz w:val="32"/>
          <w:szCs w:val="32"/>
        </w:rPr>
      </w:pPr>
    </w:p>
    <w:p w:rsidR="002356C6" w:rsidRDefault="002356C6" w:rsidP="001C4992">
      <w:pPr>
        <w:tabs>
          <w:tab w:val="left" w:pos="1141"/>
        </w:tabs>
        <w:rPr>
          <w:sz w:val="32"/>
          <w:szCs w:val="32"/>
        </w:rPr>
      </w:pPr>
    </w:p>
    <w:p w:rsidR="002356C6" w:rsidRDefault="002356C6" w:rsidP="001C4992">
      <w:pPr>
        <w:tabs>
          <w:tab w:val="left" w:pos="1141"/>
        </w:tabs>
        <w:rPr>
          <w:sz w:val="32"/>
          <w:szCs w:val="32"/>
        </w:rPr>
      </w:pPr>
    </w:p>
    <w:p w:rsidR="002356C6" w:rsidRDefault="002356C6" w:rsidP="001C4992">
      <w:pPr>
        <w:tabs>
          <w:tab w:val="left" w:pos="1141"/>
        </w:tabs>
        <w:rPr>
          <w:sz w:val="32"/>
          <w:szCs w:val="32"/>
        </w:rPr>
      </w:pPr>
    </w:p>
    <w:p w:rsidR="002356C6" w:rsidRDefault="002356C6" w:rsidP="001C4992">
      <w:pPr>
        <w:tabs>
          <w:tab w:val="left" w:pos="1141"/>
        </w:tabs>
        <w:rPr>
          <w:sz w:val="32"/>
          <w:szCs w:val="32"/>
        </w:rPr>
      </w:pPr>
    </w:p>
    <w:p w:rsidR="002356C6" w:rsidRDefault="001C4992" w:rsidP="001C4992">
      <w:pPr>
        <w:tabs>
          <w:tab w:val="left" w:pos="1141"/>
        </w:tabs>
        <w:rPr>
          <w:sz w:val="32"/>
          <w:szCs w:val="32"/>
        </w:rPr>
      </w:pPr>
      <w:r w:rsidRPr="001C4992">
        <w:rPr>
          <w:sz w:val="32"/>
          <w:szCs w:val="32"/>
        </w:rPr>
        <w:lastRenderedPageBreak/>
        <w:t>Appendix</w:t>
      </w:r>
    </w:p>
    <w:p w:rsidR="002356C6" w:rsidRDefault="002356C6" w:rsidP="001C4992">
      <w:pPr>
        <w:tabs>
          <w:tab w:val="left" w:pos="1141"/>
        </w:tabs>
      </w:pPr>
      <w:bookmarkStart w:id="0" w:name="_GoBack"/>
      <w:r>
        <w:rPr>
          <w:noProof/>
        </w:rPr>
        <w:drawing>
          <wp:inline distT="0" distB="0" distL="0" distR="0" wp14:anchorId="0881D456" wp14:editId="77BB8C41">
            <wp:extent cx="5588223" cy="778192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589730" cy="7784024"/>
                    </a:xfrm>
                    <a:prstGeom prst="rect">
                      <a:avLst/>
                    </a:prstGeom>
                    <a:noFill/>
                    <a:ln>
                      <a:noFill/>
                    </a:ln>
                  </pic:spPr>
                </pic:pic>
              </a:graphicData>
            </a:graphic>
          </wp:inline>
        </w:drawing>
      </w:r>
      <w:bookmarkEnd w:id="0"/>
    </w:p>
    <w:p w:rsidR="0081738C" w:rsidRPr="001C4992" w:rsidRDefault="001C4992" w:rsidP="001C4992">
      <w:pPr>
        <w:tabs>
          <w:tab w:val="left" w:pos="1141"/>
        </w:tabs>
      </w:pPr>
      <w:r>
        <w:tab/>
      </w:r>
    </w:p>
    <w:sectPr w:rsidR="0081738C" w:rsidRPr="001C4992" w:rsidSect="00976E1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F3D8C" w:rsidRDefault="00FF3D8C" w:rsidP="00EC7108">
      <w:pPr>
        <w:spacing w:after="0" w:line="240" w:lineRule="auto"/>
      </w:pPr>
      <w:r>
        <w:separator/>
      </w:r>
    </w:p>
  </w:endnote>
  <w:endnote w:type="continuationSeparator" w:id="0">
    <w:p w:rsidR="00FF3D8C" w:rsidRDefault="00FF3D8C" w:rsidP="00EC71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25315016"/>
      <w:docPartObj>
        <w:docPartGallery w:val="Page Numbers (Bottom of Page)"/>
        <w:docPartUnique/>
      </w:docPartObj>
    </w:sdtPr>
    <w:sdtEndPr/>
    <w:sdtContent>
      <w:p w:rsidR="00F106EA" w:rsidRDefault="00FF3D8C">
        <w:pPr>
          <w:pStyle w:val="Footer"/>
          <w:jc w:val="right"/>
        </w:pPr>
        <w:r>
          <w:fldChar w:fldCharType="begin"/>
        </w:r>
        <w:r>
          <w:instrText xml:space="preserve"> PAGE   \* MERGEFORMAT </w:instrText>
        </w:r>
        <w:r>
          <w:fldChar w:fldCharType="separate"/>
        </w:r>
        <w:r w:rsidR="002356C6">
          <w:rPr>
            <w:noProof/>
          </w:rPr>
          <w:t>9</w:t>
        </w:r>
        <w:r>
          <w:rPr>
            <w:noProof/>
          </w:rPr>
          <w:fldChar w:fldCharType="end"/>
        </w:r>
      </w:p>
    </w:sdtContent>
  </w:sdt>
  <w:p w:rsidR="00F106EA" w:rsidRDefault="00F106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F3D8C" w:rsidRDefault="00FF3D8C" w:rsidP="00EC7108">
      <w:pPr>
        <w:spacing w:after="0" w:line="240" w:lineRule="auto"/>
      </w:pPr>
      <w:r>
        <w:separator/>
      </w:r>
    </w:p>
  </w:footnote>
  <w:footnote w:type="continuationSeparator" w:id="0">
    <w:p w:rsidR="00FF3D8C" w:rsidRDefault="00FF3D8C" w:rsidP="00EC710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BB0D69"/>
    <w:rsid w:val="000A1BC9"/>
    <w:rsid w:val="000D4DCD"/>
    <w:rsid w:val="0010251B"/>
    <w:rsid w:val="001240E5"/>
    <w:rsid w:val="001444E2"/>
    <w:rsid w:val="0019520E"/>
    <w:rsid w:val="001A0E33"/>
    <w:rsid w:val="001C4992"/>
    <w:rsid w:val="0021334E"/>
    <w:rsid w:val="002356C6"/>
    <w:rsid w:val="00271E84"/>
    <w:rsid w:val="00296675"/>
    <w:rsid w:val="002A69E2"/>
    <w:rsid w:val="00327D93"/>
    <w:rsid w:val="00383F28"/>
    <w:rsid w:val="004E257D"/>
    <w:rsid w:val="004E30FA"/>
    <w:rsid w:val="005C5C8C"/>
    <w:rsid w:val="00691A1D"/>
    <w:rsid w:val="00751BAD"/>
    <w:rsid w:val="007906AE"/>
    <w:rsid w:val="007C0438"/>
    <w:rsid w:val="0081738C"/>
    <w:rsid w:val="0087473D"/>
    <w:rsid w:val="008C0F84"/>
    <w:rsid w:val="008E2250"/>
    <w:rsid w:val="008E4E67"/>
    <w:rsid w:val="00904789"/>
    <w:rsid w:val="00976E10"/>
    <w:rsid w:val="00A1667D"/>
    <w:rsid w:val="00AB72C4"/>
    <w:rsid w:val="00B63805"/>
    <w:rsid w:val="00B94C08"/>
    <w:rsid w:val="00BB0D69"/>
    <w:rsid w:val="00C87152"/>
    <w:rsid w:val="00CD5053"/>
    <w:rsid w:val="00D27516"/>
    <w:rsid w:val="00D746C6"/>
    <w:rsid w:val="00D77234"/>
    <w:rsid w:val="00DA5252"/>
    <w:rsid w:val="00E13600"/>
    <w:rsid w:val="00E74E54"/>
    <w:rsid w:val="00E91929"/>
    <w:rsid w:val="00EC7108"/>
    <w:rsid w:val="00F106EA"/>
    <w:rsid w:val="00F3460A"/>
    <w:rsid w:val="00F45A40"/>
    <w:rsid w:val="00F90647"/>
    <w:rsid w:val="00FB6D82"/>
    <w:rsid w:val="00FF3D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D45389"/>
  <w15:docId w15:val="{68546082-D03A-4F20-BF03-17744648CB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76E1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4E257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E257D"/>
    <w:rPr>
      <w:rFonts w:ascii="Tahoma" w:hAnsi="Tahoma" w:cs="Tahoma"/>
      <w:sz w:val="16"/>
      <w:szCs w:val="16"/>
    </w:rPr>
  </w:style>
  <w:style w:type="table" w:styleId="TableGrid">
    <w:name w:val="Table Grid"/>
    <w:basedOn w:val="TableNormal"/>
    <w:uiPriority w:val="59"/>
    <w:rsid w:val="0087473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semiHidden/>
    <w:unhideWhenUsed/>
    <w:rsid w:val="00EC7108"/>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EC7108"/>
  </w:style>
  <w:style w:type="paragraph" w:styleId="Footer">
    <w:name w:val="footer"/>
    <w:basedOn w:val="Normal"/>
    <w:link w:val="FooterChar"/>
    <w:uiPriority w:val="99"/>
    <w:unhideWhenUsed/>
    <w:rsid w:val="00EC71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C7108"/>
  </w:style>
  <w:style w:type="character" w:styleId="Hyperlink">
    <w:name w:val="Hyperlink"/>
    <w:basedOn w:val="DefaultParagraphFont"/>
    <w:uiPriority w:val="99"/>
    <w:semiHidden/>
    <w:unhideWhenUsed/>
    <w:rsid w:val="001A0E33"/>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88051114">
      <w:bodyDiv w:val="1"/>
      <w:marLeft w:val="0"/>
      <w:marRight w:val="0"/>
      <w:marTop w:val="0"/>
      <w:marBottom w:val="0"/>
      <w:divBdr>
        <w:top w:val="none" w:sz="0" w:space="0" w:color="auto"/>
        <w:left w:val="none" w:sz="0" w:space="0" w:color="auto"/>
        <w:bottom w:val="none" w:sz="0" w:space="0" w:color="auto"/>
        <w:right w:val="none" w:sz="0" w:space="0" w:color="auto"/>
      </w:divBdr>
      <w:divsChild>
        <w:div w:id="1837383653">
          <w:marLeft w:val="0"/>
          <w:marRight w:val="0"/>
          <w:marTop w:val="0"/>
          <w:marBottom w:val="0"/>
          <w:divBdr>
            <w:top w:val="none" w:sz="0" w:space="0" w:color="auto"/>
            <w:left w:val="none" w:sz="0" w:space="0" w:color="auto"/>
            <w:bottom w:val="none" w:sz="0" w:space="0" w:color="auto"/>
            <w:right w:val="none" w:sz="0" w:space="0" w:color="auto"/>
          </w:divBdr>
          <w:divsChild>
            <w:div w:id="730227094">
              <w:marLeft w:val="0"/>
              <w:marRight w:val="0"/>
              <w:marTop w:val="0"/>
              <w:marBottom w:val="0"/>
              <w:divBdr>
                <w:top w:val="none" w:sz="0" w:space="0" w:color="auto"/>
                <w:left w:val="none" w:sz="0" w:space="0" w:color="auto"/>
                <w:bottom w:val="none" w:sz="0" w:space="0" w:color="auto"/>
                <w:right w:val="none" w:sz="0" w:space="0" w:color="auto"/>
              </w:divBdr>
              <w:divsChild>
                <w:div w:id="1642925745">
                  <w:marLeft w:val="0"/>
                  <w:marRight w:val="0"/>
                  <w:marTop w:val="0"/>
                  <w:marBottom w:val="0"/>
                  <w:divBdr>
                    <w:top w:val="none" w:sz="0" w:space="0" w:color="auto"/>
                    <w:left w:val="none" w:sz="0" w:space="0" w:color="auto"/>
                    <w:bottom w:val="none" w:sz="0" w:space="0" w:color="auto"/>
                    <w:right w:val="none" w:sz="0" w:space="0" w:color="auto"/>
                  </w:divBdr>
                  <w:divsChild>
                    <w:div w:id="1703507975">
                      <w:marLeft w:val="0"/>
                      <w:marRight w:val="0"/>
                      <w:marTop w:val="0"/>
                      <w:marBottom w:val="0"/>
                      <w:divBdr>
                        <w:top w:val="none" w:sz="0" w:space="0" w:color="auto"/>
                        <w:left w:val="none" w:sz="0" w:space="0" w:color="auto"/>
                        <w:bottom w:val="none" w:sz="0" w:space="0" w:color="auto"/>
                        <w:right w:val="none" w:sz="0" w:space="0" w:color="auto"/>
                      </w:divBdr>
                      <w:divsChild>
                        <w:div w:id="1526365339">
                          <w:marLeft w:val="0"/>
                          <w:marRight w:val="0"/>
                          <w:marTop w:val="0"/>
                          <w:marBottom w:val="0"/>
                          <w:divBdr>
                            <w:top w:val="none" w:sz="0" w:space="0" w:color="auto"/>
                            <w:left w:val="none" w:sz="0" w:space="0" w:color="auto"/>
                            <w:bottom w:val="none" w:sz="0" w:space="0" w:color="auto"/>
                            <w:right w:val="none" w:sz="0" w:space="0" w:color="auto"/>
                          </w:divBdr>
                          <w:divsChild>
                            <w:div w:id="417405505">
                              <w:marLeft w:val="0"/>
                              <w:marRight w:val="0"/>
                              <w:marTop w:val="0"/>
                              <w:marBottom w:val="0"/>
                              <w:divBdr>
                                <w:top w:val="none" w:sz="0" w:space="0" w:color="auto"/>
                                <w:left w:val="none" w:sz="0" w:space="0" w:color="auto"/>
                                <w:bottom w:val="none" w:sz="0" w:space="0" w:color="auto"/>
                                <w:right w:val="none" w:sz="0" w:space="0" w:color="auto"/>
                              </w:divBdr>
                            </w:div>
                            <w:div w:id="978654556">
                              <w:marLeft w:val="0"/>
                              <w:marRight w:val="0"/>
                              <w:marTop w:val="0"/>
                              <w:marBottom w:val="0"/>
                              <w:divBdr>
                                <w:top w:val="none" w:sz="0" w:space="0" w:color="auto"/>
                                <w:left w:val="none" w:sz="0" w:space="0" w:color="auto"/>
                                <w:bottom w:val="none" w:sz="0" w:space="0" w:color="auto"/>
                                <w:right w:val="none" w:sz="0" w:space="0" w:color="auto"/>
                              </w:divBdr>
                            </w:div>
                            <w:div w:id="2027095087">
                              <w:marLeft w:val="0"/>
                              <w:marRight w:val="0"/>
                              <w:marTop w:val="0"/>
                              <w:marBottom w:val="0"/>
                              <w:divBdr>
                                <w:top w:val="none" w:sz="0" w:space="0" w:color="auto"/>
                                <w:left w:val="none" w:sz="0" w:space="0" w:color="auto"/>
                                <w:bottom w:val="none" w:sz="0" w:space="0" w:color="auto"/>
                                <w:right w:val="none" w:sz="0" w:space="0" w:color="auto"/>
                              </w:divBdr>
                            </w:div>
                            <w:div w:id="109789758">
                              <w:marLeft w:val="0"/>
                              <w:marRight w:val="0"/>
                              <w:marTop w:val="0"/>
                              <w:marBottom w:val="0"/>
                              <w:divBdr>
                                <w:top w:val="none" w:sz="0" w:space="0" w:color="auto"/>
                                <w:left w:val="none" w:sz="0" w:space="0" w:color="auto"/>
                                <w:bottom w:val="none" w:sz="0" w:space="0" w:color="auto"/>
                                <w:right w:val="none" w:sz="0" w:space="0" w:color="auto"/>
                              </w:divBdr>
                            </w:div>
                            <w:div w:id="1845631669">
                              <w:marLeft w:val="0"/>
                              <w:marRight w:val="0"/>
                              <w:marTop w:val="0"/>
                              <w:marBottom w:val="0"/>
                              <w:divBdr>
                                <w:top w:val="none" w:sz="0" w:space="0" w:color="auto"/>
                                <w:left w:val="none" w:sz="0" w:space="0" w:color="auto"/>
                                <w:bottom w:val="none" w:sz="0" w:space="0" w:color="auto"/>
                                <w:right w:val="none" w:sz="0" w:space="0" w:color="auto"/>
                              </w:divBdr>
                            </w:div>
                            <w:div w:id="796025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08853445">
      <w:bodyDiv w:val="1"/>
      <w:marLeft w:val="0"/>
      <w:marRight w:val="0"/>
      <w:marTop w:val="0"/>
      <w:marBottom w:val="0"/>
      <w:divBdr>
        <w:top w:val="none" w:sz="0" w:space="0" w:color="auto"/>
        <w:left w:val="none" w:sz="0" w:space="0" w:color="auto"/>
        <w:bottom w:val="none" w:sz="0" w:space="0" w:color="auto"/>
        <w:right w:val="none" w:sz="0" w:space="0" w:color="auto"/>
      </w:divBdr>
      <w:divsChild>
        <w:div w:id="1154494892">
          <w:marLeft w:val="0"/>
          <w:marRight w:val="0"/>
          <w:marTop w:val="0"/>
          <w:marBottom w:val="0"/>
          <w:divBdr>
            <w:top w:val="none" w:sz="0" w:space="0" w:color="auto"/>
            <w:left w:val="none" w:sz="0" w:space="0" w:color="auto"/>
            <w:bottom w:val="none" w:sz="0" w:space="0" w:color="auto"/>
            <w:right w:val="none" w:sz="0" w:space="0" w:color="auto"/>
          </w:divBdr>
        </w:div>
        <w:div w:id="643507977">
          <w:marLeft w:val="0"/>
          <w:marRight w:val="0"/>
          <w:marTop w:val="0"/>
          <w:marBottom w:val="0"/>
          <w:divBdr>
            <w:top w:val="none" w:sz="0" w:space="0" w:color="auto"/>
            <w:left w:val="none" w:sz="0" w:space="0" w:color="auto"/>
            <w:bottom w:val="none" w:sz="0" w:space="0" w:color="auto"/>
            <w:right w:val="none" w:sz="0" w:space="0" w:color="auto"/>
          </w:divBdr>
        </w:div>
        <w:div w:id="130101097">
          <w:marLeft w:val="0"/>
          <w:marRight w:val="0"/>
          <w:marTop w:val="0"/>
          <w:marBottom w:val="0"/>
          <w:divBdr>
            <w:top w:val="none" w:sz="0" w:space="0" w:color="auto"/>
            <w:left w:val="none" w:sz="0" w:space="0" w:color="auto"/>
            <w:bottom w:val="none" w:sz="0" w:space="0" w:color="auto"/>
            <w:right w:val="none" w:sz="0" w:space="0" w:color="auto"/>
          </w:divBdr>
        </w:div>
        <w:div w:id="1605772470">
          <w:marLeft w:val="0"/>
          <w:marRight w:val="0"/>
          <w:marTop w:val="0"/>
          <w:marBottom w:val="0"/>
          <w:divBdr>
            <w:top w:val="none" w:sz="0" w:space="0" w:color="auto"/>
            <w:left w:val="none" w:sz="0" w:space="0" w:color="auto"/>
            <w:bottom w:val="none" w:sz="0" w:space="0" w:color="auto"/>
            <w:right w:val="none" w:sz="0" w:space="0" w:color="auto"/>
          </w:divBdr>
        </w:div>
        <w:div w:id="1663511187">
          <w:marLeft w:val="0"/>
          <w:marRight w:val="0"/>
          <w:marTop w:val="0"/>
          <w:marBottom w:val="0"/>
          <w:divBdr>
            <w:top w:val="none" w:sz="0" w:space="0" w:color="auto"/>
            <w:left w:val="none" w:sz="0" w:space="0" w:color="auto"/>
            <w:bottom w:val="none" w:sz="0" w:space="0" w:color="auto"/>
            <w:right w:val="none" w:sz="0" w:space="0" w:color="auto"/>
          </w:divBdr>
        </w:div>
        <w:div w:id="169033228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microsoft.com/office/2007/relationships/diagramDrawing" Target="diagrams/drawing1.xml"/><Relationship Id="rId18" Type="http://schemas.openxmlformats.org/officeDocument/2006/relationships/hyperlink" Target="http://tony-ridley.com/human-capital/risk-analysis-how-to-value-your-human-capital" TargetMode="External"/><Relationship Id="rId3" Type="http://schemas.openxmlformats.org/officeDocument/2006/relationships/webSettings" Target="webSettings.xml"/><Relationship Id="rId21" Type="http://schemas.openxmlformats.org/officeDocument/2006/relationships/footer" Target="footer1.xml"/><Relationship Id="rId7" Type="http://schemas.openxmlformats.org/officeDocument/2006/relationships/image" Target="media/image2.png"/><Relationship Id="rId12" Type="http://schemas.openxmlformats.org/officeDocument/2006/relationships/diagramColors" Target="diagrams/colors1.xml"/><Relationship Id="rId17" Type="http://schemas.openxmlformats.org/officeDocument/2006/relationships/hyperlink" Target="http://www.learningandteaching.info/learning/experience.htm" TargetMode="External"/><Relationship Id="rId2" Type="http://schemas.openxmlformats.org/officeDocument/2006/relationships/settings" Target="settings.xml"/><Relationship Id="rId16" Type="http://schemas.openxmlformats.org/officeDocument/2006/relationships/hyperlink" Target="http://www.jiscinfonet.ac.uk/InfoKits/infokit-related-files/tuckman-model" TargetMode="External"/><Relationship Id="rId20" Type="http://schemas.openxmlformats.org/officeDocument/2006/relationships/image" Target="media/image3.jpeg"/><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diagramQuickStyle" Target="diagrams/quickStyle1.xml"/><Relationship Id="rId5" Type="http://schemas.openxmlformats.org/officeDocument/2006/relationships/endnotes" Target="endnotes.xml"/><Relationship Id="rId15" Type="http://schemas.openxmlformats.org/officeDocument/2006/relationships/hyperlink" Target="http://distributedresearch.net/wiki/index.php/Gibbs_reflective_Cycle" TargetMode="External"/><Relationship Id="rId23" Type="http://schemas.openxmlformats.org/officeDocument/2006/relationships/theme" Target="theme/theme1.xml"/><Relationship Id="rId10" Type="http://schemas.openxmlformats.org/officeDocument/2006/relationships/diagramLayout" Target="diagrams/layout1.xml"/><Relationship Id="rId19" Type="http://schemas.openxmlformats.org/officeDocument/2006/relationships/hyperlink" Target="http://www.ceebl.manchester.ac.uk/ebl/" TargetMode="External"/><Relationship Id="rId4" Type="http://schemas.openxmlformats.org/officeDocument/2006/relationships/footnotes" Target="footnotes.xml"/><Relationship Id="rId9" Type="http://schemas.openxmlformats.org/officeDocument/2006/relationships/diagramData" Target="diagrams/data1.xml"/><Relationship Id="rId14" Type="http://schemas.openxmlformats.org/officeDocument/2006/relationships/hyperlink" Target="http://www.aurora-tds.co.uk/belbinforyoungpeople.html" TargetMode="External"/><Relationship Id="rId22" Type="http://schemas.openxmlformats.org/officeDocument/2006/relationships/fontTable" Target="fontTable.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US"/>
              <a:t>human ca</a:t>
            </a:r>
          </a:p>
        </c:rich>
      </c:tx>
      <c:layout>
        <c:manualLayout>
          <c:xMode val="edge"/>
          <c:yMode val="edge"/>
          <c:x val="0.41947074184287259"/>
          <c:y val="0"/>
        </c:manualLayout>
      </c:layout>
      <c:overlay val="0"/>
    </c:title>
    <c:autoTitleDeleted val="0"/>
    <c:plotArea>
      <c:layout/>
      <c:pieChart>
        <c:varyColors val="1"/>
        <c:ser>
          <c:idx val="0"/>
          <c:order val="0"/>
          <c:tx>
            <c:strRef>
              <c:f>'Sheet1'!$B$1</c:f>
              <c:strCache>
                <c:ptCount val="1"/>
                <c:pt idx="0">
                  <c:v>human capatial</c:v>
                </c:pt>
              </c:strCache>
            </c:strRef>
          </c:tx>
          <c:explosion val="25"/>
          <c:cat>
            <c:strRef>
              <c:f>'Sheet1'!$A$2:$A$6</c:f>
              <c:strCache>
                <c:ptCount val="5"/>
                <c:pt idx="0">
                  <c:v>1st Qtr</c:v>
                </c:pt>
                <c:pt idx="1">
                  <c:v>2ndQtr</c:v>
                </c:pt>
                <c:pt idx="2">
                  <c:v>3rdQtr</c:v>
                </c:pt>
                <c:pt idx="3">
                  <c:v>4thQtr</c:v>
                </c:pt>
                <c:pt idx="4">
                  <c:v>5thQtr</c:v>
                </c:pt>
              </c:strCache>
            </c:strRef>
          </c:cat>
          <c:val>
            <c:numRef>
              <c:f>'Sheet1'!$B$2:$B$6</c:f>
              <c:numCache>
                <c:formatCode>General</c:formatCode>
                <c:ptCount val="5"/>
                <c:pt idx="0" formatCode="0%">
                  <c:v>0.26</c:v>
                </c:pt>
              </c:numCache>
            </c:numRef>
          </c:val>
          <c:extLst>
            <c:ext xmlns:c16="http://schemas.microsoft.com/office/drawing/2014/chart" uri="{C3380CC4-5D6E-409C-BE32-E72D297353CC}">
              <c16:uniqueId val="{00000000-7E76-48E7-B0E3-AC1942C651DC}"/>
            </c:ext>
          </c:extLst>
        </c:ser>
        <c:dLbls>
          <c:showLegendKey val="0"/>
          <c:showVal val="0"/>
          <c:showCatName val="0"/>
          <c:showSerName val="0"/>
          <c:showPercent val="0"/>
          <c:showBubbleSize val="0"/>
          <c:showLeaderLines val="1"/>
        </c:dLbls>
        <c:firstSliceAng val="0"/>
      </c:pieChart>
    </c:plotArea>
    <c:legend>
      <c:legendPos val="r"/>
      <c:overlay val="0"/>
    </c:legend>
    <c:plotVisOnly val="1"/>
    <c:dispBlanksAs val="gap"/>
    <c:showDLblsOverMax val="0"/>
  </c:chart>
  <c:externalData r:id="rId1">
    <c:autoUpdate val="0"/>
  </c:externalData>
</c:chartSpace>
</file>

<file path=word/diagrams/colors1.xml><?xml version="1.0" encoding="utf-8"?>
<dgm:colorsDef xmlns:dgm="http://schemas.openxmlformats.org/drawingml/2006/diagram" xmlns:a="http://schemas.openxmlformats.org/drawingml/2006/main" uniqueId="urn:microsoft.com/office/officeart/2005/8/colors/accent1_1">
  <dgm:title val=""/>
  <dgm:desc val=""/>
  <dgm:catLst>
    <dgm:cat type="accent1" pri="11100"/>
  </dgm:catLst>
  <dgm:styleLbl name="node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1">
        <a:shade val="80000"/>
      </a:schemeClr>
    </dgm:linClrLst>
    <dgm:effectClrLst/>
    <dgm:txLinClrLst/>
    <dgm:txFillClrLst/>
    <dgm:txEffectClrLst/>
  </dgm:styleLbl>
  <dgm:styleLbl name="node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f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align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b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dgm:txEffectClrLst/>
  </dgm:styleLbl>
  <dgm:styleLbl name="parChTrans2D2">
    <dgm:fillClrLst meth="repeat">
      <a:schemeClr val="accent1"/>
    </dgm:fillClrLst>
    <dgm:linClrLst meth="repeat">
      <a:schemeClr val="accent1"/>
    </dgm:linClrLst>
    <dgm:effectClrLst/>
    <dgm:txLinClrLst/>
    <dgm:txFillClrLst/>
    <dgm:txEffectClrLst/>
  </dgm:styleLbl>
  <dgm:styleLbl name="parChTrans2D3">
    <dgm:fillClrLst meth="repeat">
      <a:schemeClr val="accent1"/>
    </dgm:fillClrLst>
    <dgm:linClrLst meth="repeat">
      <a:schemeClr val="accent1"/>
    </dgm:linClrLst>
    <dgm:effectClrLst/>
    <dgm:txLinClrLst/>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con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align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trAlignAcc1">
    <dgm:fillClrLst meth="repeat">
      <a:schemeClr val="accent1">
        <a:alpha val="40000"/>
        <a:tint val="40000"/>
      </a:schemeClr>
    </dgm:fillClrLst>
    <dgm:linClrLst meth="repeat">
      <a:schemeClr val="accent1"/>
    </dgm:linClrLst>
    <dgm:effectClrLst/>
    <dgm:txLinClrLst/>
    <dgm:txFillClrLst meth="repeat">
      <a:schemeClr val="dk1"/>
    </dgm:txFillClrLst>
    <dgm:txEffectClrLst/>
  </dgm:styleLbl>
  <dgm:styleLbl name="b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fgAcc0">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2">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3">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4">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EDDE56C-828B-413C-880C-61FECAED9522}" type="doc">
      <dgm:prSet loTypeId="urn:microsoft.com/office/officeart/2005/8/layout/radial6" loCatId="relationship" qsTypeId="urn:microsoft.com/office/officeart/2005/8/quickstyle/simple3" qsCatId="simple" csTypeId="urn:microsoft.com/office/officeart/2005/8/colors/accent1_1" csCatId="accent1" phldr="1"/>
      <dgm:spPr/>
      <dgm:t>
        <a:bodyPr/>
        <a:lstStyle/>
        <a:p>
          <a:endParaRPr lang="en-GB"/>
        </a:p>
      </dgm:t>
    </dgm:pt>
    <dgm:pt modelId="{52DC1292-1728-4809-B648-179232F0AD3B}">
      <dgm:prSet phldrT="[Text]"/>
      <dgm:spPr/>
      <dgm:t>
        <a:bodyPr/>
        <a:lstStyle/>
        <a:p>
          <a:r>
            <a:rPr lang="en-GB"/>
            <a:t>Concrete </a:t>
          </a:r>
        </a:p>
        <a:p>
          <a:r>
            <a:rPr lang="en-GB"/>
            <a:t>experience</a:t>
          </a:r>
        </a:p>
      </dgm:t>
    </dgm:pt>
    <dgm:pt modelId="{28454C85-941A-41A2-8FE1-F81B186CA8D5}" type="parTrans" cxnId="{22E00CFD-F88C-4506-A403-7C33F4757AC0}">
      <dgm:prSet/>
      <dgm:spPr/>
      <dgm:t>
        <a:bodyPr/>
        <a:lstStyle/>
        <a:p>
          <a:endParaRPr lang="en-GB"/>
        </a:p>
      </dgm:t>
    </dgm:pt>
    <dgm:pt modelId="{CF57F6C1-313B-4772-9C92-58E9FB20A2C7}" type="sibTrans" cxnId="{22E00CFD-F88C-4506-A403-7C33F4757AC0}">
      <dgm:prSet/>
      <dgm:spPr/>
      <dgm:t>
        <a:bodyPr/>
        <a:lstStyle/>
        <a:p>
          <a:pPr algn="l"/>
          <a:endParaRPr lang="en-GB"/>
        </a:p>
      </dgm:t>
    </dgm:pt>
    <dgm:pt modelId="{9B79E939-30EB-4D24-9F3A-6BD30620626D}">
      <dgm:prSet phldrT="[Text]"/>
      <dgm:spPr/>
      <dgm:t>
        <a:bodyPr/>
        <a:lstStyle/>
        <a:p>
          <a:r>
            <a:rPr lang="en-GB"/>
            <a:t>Reflective </a:t>
          </a:r>
        </a:p>
        <a:p>
          <a:r>
            <a:rPr lang="en-GB"/>
            <a:t>observations</a:t>
          </a:r>
        </a:p>
      </dgm:t>
    </dgm:pt>
    <dgm:pt modelId="{ECEE5E2E-D33E-4FA1-9156-4BC7BBAD16B3}" type="parTrans" cxnId="{1275646E-258D-4138-AD96-1D5A72F73413}">
      <dgm:prSet/>
      <dgm:spPr/>
      <dgm:t>
        <a:bodyPr/>
        <a:lstStyle/>
        <a:p>
          <a:endParaRPr lang="en-GB"/>
        </a:p>
      </dgm:t>
    </dgm:pt>
    <dgm:pt modelId="{B1B882CB-66AB-4E4B-BF04-E5F8108C4A4C}" type="sibTrans" cxnId="{1275646E-258D-4138-AD96-1D5A72F73413}">
      <dgm:prSet/>
      <dgm:spPr/>
      <dgm:t>
        <a:bodyPr/>
        <a:lstStyle/>
        <a:p>
          <a:endParaRPr lang="en-GB"/>
        </a:p>
      </dgm:t>
    </dgm:pt>
    <dgm:pt modelId="{A893A0A4-2BD9-4BDC-97F7-5AE9BEE37687}">
      <dgm:prSet phldrT="[Text]"/>
      <dgm:spPr/>
      <dgm:t>
        <a:bodyPr/>
        <a:lstStyle/>
        <a:p>
          <a:r>
            <a:rPr lang="en-GB"/>
            <a:t>Abstract conceptualisation</a:t>
          </a:r>
        </a:p>
      </dgm:t>
    </dgm:pt>
    <dgm:pt modelId="{BF4FC4C9-4CFB-42B0-A51C-1A6C00208B2B}" type="parTrans" cxnId="{BD5E6090-357F-4B8D-95E6-6DCBAF679F1E}">
      <dgm:prSet/>
      <dgm:spPr/>
      <dgm:t>
        <a:bodyPr/>
        <a:lstStyle/>
        <a:p>
          <a:endParaRPr lang="en-GB"/>
        </a:p>
      </dgm:t>
    </dgm:pt>
    <dgm:pt modelId="{8BDABE70-36C4-426C-8AF9-3E3E73066623}" type="sibTrans" cxnId="{BD5E6090-357F-4B8D-95E6-6DCBAF679F1E}">
      <dgm:prSet/>
      <dgm:spPr/>
      <dgm:t>
        <a:bodyPr/>
        <a:lstStyle/>
        <a:p>
          <a:endParaRPr lang="en-GB"/>
        </a:p>
      </dgm:t>
    </dgm:pt>
    <dgm:pt modelId="{0DDD44D3-C613-4464-BC7F-225A072BAD23}">
      <dgm:prSet phldrT="[Text]"/>
      <dgm:spPr/>
      <dgm:t>
        <a:bodyPr/>
        <a:lstStyle/>
        <a:p>
          <a:r>
            <a:rPr lang="en-GB"/>
            <a:t>Active experimentation</a:t>
          </a:r>
        </a:p>
      </dgm:t>
    </dgm:pt>
    <dgm:pt modelId="{056CDB93-AED6-451C-BACC-AA1990E7C4CE}" type="parTrans" cxnId="{2309B210-7E4B-4509-9E8C-DDEE484EB46A}">
      <dgm:prSet/>
      <dgm:spPr/>
      <dgm:t>
        <a:bodyPr/>
        <a:lstStyle/>
        <a:p>
          <a:endParaRPr lang="en-GB"/>
        </a:p>
      </dgm:t>
    </dgm:pt>
    <dgm:pt modelId="{CF9E312E-4A8A-4683-BBCC-98353840E6B7}" type="sibTrans" cxnId="{2309B210-7E4B-4509-9E8C-DDEE484EB46A}">
      <dgm:prSet/>
      <dgm:spPr/>
      <dgm:t>
        <a:bodyPr/>
        <a:lstStyle/>
        <a:p>
          <a:endParaRPr lang="en-GB"/>
        </a:p>
      </dgm:t>
    </dgm:pt>
    <dgm:pt modelId="{F89113A4-E4B8-4375-8B17-D77890799A25}">
      <dgm:prSet phldrT="[Text]"/>
      <dgm:spPr/>
      <dgm:t>
        <a:bodyPr/>
        <a:lstStyle/>
        <a:p>
          <a:r>
            <a:rPr lang="en-GB"/>
            <a:t>Kinds of knowledge</a:t>
          </a:r>
        </a:p>
      </dgm:t>
    </dgm:pt>
    <dgm:pt modelId="{4D987DB6-AF2D-4DF0-A0E6-360F89F00E32}" type="sibTrans" cxnId="{37CA0AEF-DFDC-4095-899E-5748A1B500F9}">
      <dgm:prSet/>
      <dgm:spPr/>
      <dgm:t>
        <a:bodyPr/>
        <a:lstStyle/>
        <a:p>
          <a:endParaRPr lang="en-GB"/>
        </a:p>
      </dgm:t>
    </dgm:pt>
    <dgm:pt modelId="{D39A4204-066F-40B3-981A-6D964EEC18D9}" type="parTrans" cxnId="{37CA0AEF-DFDC-4095-899E-5748A1B500F9}">
      <dgm:prSet/>
      <dgm:spPr/>
      <dgm:t>
        <a:bodyPr/>
        <a:lstStyle/>
        <a:p>
          <a:endParaRPr lang="en-GB"/>
        </a:p>
      </dgm:t>
    </dgm:pt>
    <dgm:pt modelId="{3F394617-C16D-4292-A0E3-24F9EC959F37}" type="pres">
      <dgm:prSet presAssocID="{BEDDE56C-828B-413C-880C-61FECAED9522}" presName="Name0" presStyleCnt="0">
        <dgm:presLayoutVars>
          <dgm:chMax val="1"/>
          <dgm:dir/>
          <dgm:animLvl val="ctr"/>
          <dgm:resizeHandles val="exact"/>
        </dgm:presLayoutVars>
      </dgm:prSet>
      <dgm:spPr/>
    </dgm:pt>
    <dgm:pt modelId="{98A7FDF2-AA1B-4983-8FFA-40D91097496B}" type="pres">
      <dgm:prSet presAssocID="{F89113A4-E4B8-4375-8B17-D77890799A25}" presName="centerShape" presStyleLbl="node0" presStyleIdx="0" presStyleCnt="1"/>
      <dgm:spPr/>
    </dgm:pt>
    <dgm:pt modelId="{FAA43099-2398-4CC3-B28D-2691D815189D}" type="pres">
      <dgm:prSet presAssocID="{52DC1292-1728-4809-B648-179232F0AD3B}" presName="node" presStyleLbl="node1" presStyleIdx="0" presStyleCnt="4">
        <dgm:presLayoutVars>
          <dgm:bulletEnabled val="1"/>
        </dgm:presLayoutVars>
      </dgm:prSet>
      <dgm:spPr/>
    </dgm:pt>
    <dgm:pt modelId="{E45FC1B5-4CAD-41CD-8B4C-5E81EECCB652}" type="pres">
      <dgm:prSet presAssocID="{52DC1292-1728-4809-B648-179232F0AD3B}" presName="dummy" presStyleCnt="0"/>
      <dgm:spPr/>
    </dgm:pt>
    <dgm:pt modelId="{181BC053-2329-4B5A-8CF7-D42C4DA288CB}" type="pres">
      <dgm:prSet presAssocID="{CF57F6C1-313B-4772-9C92-58E9FB20A2C7}" presName="sibTrans" presStyleLbl="sibTrans2D1" presStyleIdx="0" presStyleCnt="4" custScaleX="99148" custScaleY="101246" custLinFactNeighborX="989" custLinFactNeighborY="1483"/>
      <dgm:spPr/>
    </dgm:pt>
    <dgm:pt modelId="{F8FB16FB-2D03-40D6-B3A6-9FC485AA3309}" type="pres">
      <dgm:prSet presAssocID="{9B79E939-30EB-4D24-9F3A-6BD30620626D}" presName="node" presStyleLbl="node1" presStyleIdx="1" presStyleCnt="4">
        <dgm:presLayoutVars>
          <dgm:bulletEnabled val="1"/>
        </dgm:presLayoutVars>
      </dgm:prSet>
      <dgm:spPr/>
    </dgm:pt>
    <dgm:pt modelId="{3BDB4436-428E-4FA7-8224-A43EFD412DBD}" type="pres">
      <dgm:prSet presAssocID="{9B79E939-30EB-4D24-9F3A-6BD30620626D}" presName="dummy" presStyleCnt="0"/>
      <dgm:spPr/>
    </dgm:pt>
    <dgm:pt modelId="{C2A40D13-E947-44A8-A067-3E0CB0EB727B}" type="pres">
      <dgm:prSet presAssocID="{B1B882CB-66AB-4E4B-BF04-E5F8108C4A4C}" presName="sibTrans" presStyleLbl="sibTrans2D1" presStyleIdx="1" presStyleCnt="4"/>
      <dgm:spPr/>
    </dgm:pt>
    <dgm:pt modelId="{697E9D36-BDBA-4BB1-BF02-F2E0085C4ABE}" type="pres">
      <dgm:prSet presAssocID="{A893A0A4-2BD9-4BDC-97F7-5AE9BEE37687}" presName="node" presStyleLbl="node1" presStyleIdx="2" presStyleCnt="4">
        <dgm:presLayoutVars>
          <dgm:bulletEnabled val="1"/>
        </dgm:presLayoutVars>
      </dgm:prSet>
      <dgm:spPr/>
    </dgm:pt>
    <dgm:pt modelId="{6C7E114F-91AD-49B2-B112-CCF76089CC67}" type="pres">
      <dgm:prSet presAssocID="{A893A0A4-2BD9-4BDC-97F7-5AE9BEE37687}" presName="dummy" presStyleCnt="0"/>
      <dgm:spPr/>
    </dgm:pt>
    <dgm:pt modelId="{8F51707B-6DA5-4B29-8588-F2B85005040E}" type="pres">
      <dgm:prSet presAssocID="{8BDABE70-36C4-426C-8AF9-3E3E73066623}" presName="sibTrans" presStyleLbl="sibTrans2D1" presStyleIdx="2" presStyleCnt="4"/>
      <dgm:spPr/>
    </dgm:pt>
    <dgm:pt modelId="{69E6E4EF-52B8-42B6-9C3C-1CF53753B0DF}" type="pres">
      <dgm:prSet presAssocID="{0DDD44D3-C613-4464-BC7F-225A072BAD23}" presName="node" presStyleLbl="node1" presStyleIdx="3" presStyleCnt="4">
        <dgm:presLayoutVars>
          <dgm:bulletEnabled val="1"/>
        </dgm:presLayoutVars>
      </dgm:prSet>
      <dgm:spPr/>
    </dgm:pt>
    <dgm:pt modelId="{13DB477E-98FD-4652-90CD-C9928A561712}" type="pres">
      <dgm:prSet presAssocID="{0DDD44D3-C613-4464-BC7F-225A072BAD23}" presName="dummy" presStyleCnt="0"/>
      <dgm:spPr/>
    </dgm:pt>
    <dgm:pt modelId="{E53C500B-E6C2-4373-BF31-2F114CF1014E}" type="pres">
      <dgm:prSet presAssocID="{CF9E312E-4A8A-4683-BBCC-98353840E6B7}" presName="sibTrans" presStyleLbl="sibTrans2D1" presStyleIdx="3" presStyleCnt="4"/>
      <dgm:spPr/>
    </dgm:pt>
  </dgm:ptLst>
  <dgm:cxnLst>
    <dgm:cxn modelId="{C474B005-6825-4A5E-8346-2AF75B1FEF16}" type="presOf" srcId="{0DDD44D3-C613-4464-BC7F-225A072BAD23}" destId="{69E6E4EF-52B8-42B6-9C3C-1CF53753B0DF}" srcOrd="0" destOrd="0" presId="urn:microsoft.com/office/officeart/2005/8/layout/radial6"/>
    <dgm:cxn modelId="{2309B210-7E4B-4509-9E8C-DDEE484EB46A}" srcId="{F89113A4-E4B8-4375-8B17-D77890799A25}" destId="{0DDD44D3-C613-4464-BC7F-225A072BAD23}" srcOrd="3" destOrd="0" parTransId="{056CDB93-AED6-451C-BACC-AA1990E7C4CE}" sibTransId="{CF9E312E-4A8A-4683-BBCC-98353840E6B7}"/>
    <dgm:cxn modelId="{D95B6F5C-84A0-40E3-AFC5-9D7345E324A1}" type="presOf" srcId="{52DC1292-1728-4809-B648-179232F0AD3B}" destId="{FAA43099-2398-4CC3-B28D-2691D815189D}" srcOrd="0" destOrd="0" presId="urn:microsoft.com/office/officeart/2005/8/layout/radial6"/>
    <dgm:cxn modelId="{C9763347-B155-48FD-A42F-8E1C0CFC2FD4}" type="presOf" srcId="{A893A0A4-2BD9-4BDC-97F7-5AE9BEE37687}" destId="{697E9D36-BDBA-4BB1-BF02-F2E0085C4ABE}" srcOrd="0" destOrd="0" presId="urn:microsoft.com/office/officeart/2005/8/layout/radial6"/>
    <dgm:cxn modelId="{1275646E-258D-4138-AD96-1D5A72F73413}" srcId="{F89113A4-E4B8-4375-8B17-D77890799A25}" destId="{9B79E939-30EB-4D24-9F3A-6BD30620626D}" srcOrd="1" destOrd="0" parTransId="{ECEE5E2E-D33E-4FA1-9156-4BC7BBAD16B3}" sibTransId="{B1B882CB-66AB-4E4B-BF04-E5F8108C4A4C}"/>
    <dgm:cxn modelId="{926A9486-12D7-4F86-A184-4BBC7905B226}" type="presOf" srcId="{F89113A4-E4B8-4375-8B17-D77890799A25}" destId="{98A7FDF2-AA1B-4983-8FFA-40D91097496B}" srcOrd="0" destOrd="0" presId="urn:microsoft.com/office/officeart/2005/8/layout/radial6"/>
    <dgm:cxn modelId="{BD5E6090-357F-4B8D-95E6-6DCBAF679F1E}" srcId="{F89113A4-E4B8-4375-8B17-D77890799A25}" destId="{A893A0A4-2BD9-4BDC-97F7-5AE9BEE37687}" srcOrd="2" destOrd="0" parTransId="{BF4FC4C9-4CFB-42B0-A51C-1A6C00208B2B}" sibTransId="{8BDABE70-36C4-426C-8AF9-3E3E73066623}"/>
    <dgm:cxn modelId="{1DD8FDA0-ADB5-4F40-919B-C873AFBD8FC8}" type="presOf" srcId="{B1B882CB-66AB-4E4B-BF04-E5F8108C4A4C}" destId="{C2A40D13-E947-44A8-A067-3E0CB0EB727B}" srcOrd="0" destOrd="0" presId="urn:microsoft.com/office/officeart/2005/8/layout/radial6"/>
    <dgm:cxn modelId="{2375D7A6-2484-40C8-8ACD-F74CD4478B3F}" type="presOf" srcId="{8BDABE70-36C4-426C-8AF9-3E3E73066623}" destId="{8F51707B-6DA5-4B29-8588-F2B85005040E}" srcOrd="0" destOrd="0" presId="urn:microsoft.com/office/officeart/2005/8/layout/radial6"/>
    <dgm:cxn modelId="{B58F70A8-AF31-498B-87D3-666EE6391C56}" type="presOf" srcId="{CF9E312E-4A8A-4683-BBCC-98353840E6B7}" destId="{E53C500B-E6C2-4373-BF31-2F114CF1014E}" srcOrd="0" destOrd="0" presId="urn:microsoft.com/office/officeart/2005/8/layout/radial6"/>
    <dgm:cxn modelId="{F5A2F4AD-BBEE-480D-81A5-85ABCED6BEA1}" type="presOf" srcId="{CF57F6C1-313B-4772-9C92-58E9FB20A2C7}" destId="{181BC053-2329-4B5A-8CF7-D42C4DA288CB}" srcOrd="0" destOrd="0" presId="urn:microsoft.com/office/officeart/2005/8/layout/radial6"/>
    <dgm:cxn modelId="{98A19EB3-08D4-4567-9094-6E29414ED622}" type="presOf" srcId="{9B79E939-30EB-4D24-9F3A-6BD30620626D}" destId="{F8FB16FB-2D03-40D6-B3A6-9FC485AA3309}" srcOrd="0" destOrd="0" presId="urn:microsoft.com/office/officeart/2005/8/layout/radial6"/>
    <dgm:cxn modelId="{2566CADB-3BCD-4019-8946-46A3CF57CF7A}" type="presOf" srcId="{BEDDE56C-828B-413C-880C-61FECAED9522}" destId="{3F394617-C16D-4292-A0E3-24F9EC959F37}" srcOrd="0" destOrd="0" presId="urn:microsoft.com/office/officeart/2005/8/layout/radial6"/>
    <dgm:cxn modelId="{37CA0AEF-DFDC-4095-899E-5748A1B500F9}" srcId="{BEDDE56C-828B-413C-880C-61FECAED9522}" destId="{F89113A4-E4B8-4375-8B17-D77890799A25}" srcOrd="0" destOrd="0" parTransId="{D39A4204-066F-40B3-981A-6D964EEC18D9}" sibTransId="{4D987DB6-AF2D-4DF0-A0E6-360F89F00E32}"/>
    <dgm:cxn modelId="{22E00CFD-F88C-4506-A403-7C33F4757AC0}" srcId="{F89113A4-E4B8-4375-8B17-D77890799A25}" destId="{52DC1292-1728-4809-B648-179232F0AD3B}" srcOrd="0" destOrd="0" parTransId="{28454C85-941A-41A2-8FE1-F81B186CA8D5}" sibTransId="{CF57F6C1-313B-4772-9C92-58E9FB20A2C7}"/>
    <dgm:cxn modelId="{A7C8DDCF-F26F-49B1-B9FF-6BF436B101FA}" type="presParOf" srcId="{3F394617-C16D-4292-A0E3-24F9EC959F37}" destId="{98A7FDF2-AA1B-4983-8FFA-40D91097496B}" srcOrd="0" destOrd="0" presId="urn:microsoft.com/office/officeart/2005/8/layout/radial6"/>
    <dgm:cxn modelId="{0CCF88E2-C781-4564-A610-44F2A3BCB9E3}" type="presParOf" srcId="{3F394617-C16D-4292-A0E3-24F9EC959F37}" destId="{FAA43099-2398-4CC3-B28D-2691D815189D}" srcOrd="1" destOrd="0" presId="urn:microsoft.com/office/officeart/2005/8/layout/radial6"/>
    <dgm:cxn modelId="{97C07367-FDEF-419A-97FE-6A3A42D6D159}" type="presParOf" srcId="{3F394617-C16D-4292-A0E3-24F9EC959F37}" destId="{E45FC1B5-4CAD-41CD-8B4C-5E81EECCB652}" srcOrd="2" destOrd="0" presId="urn:microsoft.com/office/officeart/2005/8/layout/radial6"/>
    <dgm:cxn modelId="{D1D8BECD-9EDF-4ABA-B44E-82245FB36E4D}" type="presParOf" srcId="{3F394617-C16D-4292-A0E3-24F9EC959F37}" destId="{181BC053-2329-4B5A-8CF7-D42C4DA288CB}" srcOrd="3" destOrd="0" presId="urn:microsoft.com/office/officeart/2005/8/layout/radial6"/>
    <dgm:cxn modelId="{CFAF5AB8-911E-44A9-B8C1-9846689F895B}" type="presParOf" srcId="{3F394617-C16D-4292-A0E3-24F9EC959F37}" destId="{F8FB16FB-2D03-40D6-B3A6-9FC485AA3309}" srcOrd="4" destOrd="0" presId="urn:microsoft.com/office/officeart/2005/8/layout/radial6"/>
    <dgm:cxn modelId="{86463D7E-3490-42F7-BF7A-1AE8C72B8D6A}" type="presParOf" srcId="{3F394617-C16D-4292-A0E3-24F9EC959F37}" destId="{3BDB4436-428E-4FA7-8224-A43EFD412DBD}" srcOrd="5" destOrd="0" presId="urn:microsoft.com/office/officeart/2005/8/layout/radial6"/>
    <dgm:cxn modelId="{11441F25-4AAE-4CB1-A7F1-5BACB00386A8}" type="presParOf" srcId="{3F394617-C16D-4292-A0E3-24F9EC959F37}" destId="{C2A40D13-E947-44A8-A067-3E0CB0EB727B}" srcOrd="6" destOrd="0" presId="urn:microsoft.com/office/officeart/2005/8/layout/radial6"/>
    <dgm:cxn modelId="{71005D76-0F86-4022-9AD2-2777E61F64EB}" type="presParOf" srcId="{3F394617-C16D-4292-A0E3-24F9EC959F37}" destId="{697E9D36-BDBA-4BB1-BF02-F2E0085C4ABE}" srcOrd="7" destOrd="0" presId="urn:microsoft.com/office/officeart/2005/8/layout/radial6"/>
    <dgm:cxn modelId="{977A0D05-8B8E-481A-93E5-583751802AA9}" type="presParOf" srcId="{3F394617-C16D-4292-A0E3-24F9EC959F37}" destId="{6C7E114F-91AD-49B2-B112-CCF76089CC67}" srcOrd="8" destOrd="0" presId="urn:microsoft.com/office/officeart/2005/8/layout/radial6"/>
    <dgm:cxn modelId="{FC3F8871-966C-4475-9997-A555D73F6418}" type="presParOf" srcId="{3F394617-C16D-4292-A0E3-24F9EC959F37}" destId="{8F51707B-6DA5-4B29-8588-F2B85005040E}" srcOrd="9" destOrd="0" presId="urn:microsoft.com/office/officeart/2005/8/layout/radial6"/>
    <dgm:cxn modelId="{BBCA3B7F-19BC-4B16-841A-A97D66D9328B}" type="presParOf" srcId="{3F394617-C16D-4292-A0E3-24F9EC959F37}" destId="{69E6E4EF-52B8-42B6-9C3C-1CF53753B0DF}" srcOrd="10" destOrd="0" presId="urn:microsoft.com/office/officeart/2005/8/layout/radial6"/>
    <dgm:cxn modelId="{CDD4D143-7559-462E-8587-736E2E75DF6B}" type="presParOf" srcId="{3F394617-C16D-4292-A0E3-24F9EC959F37}" destId="{13DB477E-98FD-4652-90CD-C9928A561712}" srcOrd="11" destOrd="0" presId="urn:microsoft.com/office/officeart/2005/8/layout/radial6"/>
    <dgm:cxn modelId="{AE7A92CB-4B16-4B92-A45B-4AE856B44BE2}" type="presParOf" srcId="{3F394617-C16D-4292-A0E3-24F9EC959F37}" destId="{E53C500B-E6C2-4373-BF31-2F114CF1014E}" srcOrd="12" destOrd="0" presId="urn:microsoft.com/office/officeart/2005/8/layout/radial6"/>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53C500B-E6C2-4373-BF31-2F114CF1014E}">
      <dsp:nvSpPr>
        <dsp:cNvPr id="0" name=""/>
        <dsp:cNvSpPr/>
      </dsp:nvSpPr>
      <dsp:spPr>
        <a:xfrm>
          <a:off x="1495274" y="480454"/>
          <a:ext cx="3203217" cy="3203217"/>
        </a:xfrm>
        <a:prstGeom prst="blockArc">
          <a:avLst>
            <a:gd name="adj1" fmla="val 10800000"/>
            <a:gd name="adj2" fmla="val 16200000"/>
            <a:gd name="adj3" fmla="val 4644"/>
          </a:avLst>
        </a:prstGeom>
        <a:gradFill rotWithShape="0">
          <a:gsLst>
            <a:gs pos="0">
              <a:schemeClr val="accent1">
                <a:tint val="60000"/>
                <a:hueOff val="0"/>
                <a:satOff val="0"/>
                <a:lumOff val="0"/>
                <a:alphaOff val="0"/>
                <a:tint val="50000"/>
                <a:satMod val="300000"/>
              </a:schemeClr>
            </a:gs>
            <a:gs pos="35000">
              <a:schemeClr val="accent1">
                <a:tint val="60000"/>
                <a:hueOff val="0"/>
                <a:satOff val="0"/>
                <a:lumOff val="0"/>
                <a:alphaOff val="0"/>
                <a:tint val="37000"/>
                <a:satMod val="300000"/>
              </a:schemeClr>
            </a:gs>
            <a:gs pos="100000">
              <a:schemeClr val="accent1">
                <a:tint val="60000"/>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dsp:spPr>
      <dsp:style>
        <a:lnRef idx="0">
          <a:scrgbClr r="0" g="0" b="0"/>
        </a:lnRef>
        <a:fillRef idx="2">
          <a:scrgbClr r="0" g="0" b="0"/>
        </a:fillRef>
        <a:effectRef idx="1">
          <a:scrgbClr r="0" g="0" b="0"/>
        </a:effectRef>
        <a:fontRef idx="minor">
          <a:schemeClr val="dk1"/>
        </a:fontRef>
      </dsp:style>
    </dsp:sp>
    <dsp:sp modelId="{8F51707B-6DA5-4B29-8588-F2B85005040E}">
      <dsp:nvSpPr>
        <dsp:cNvPr id="0" name=""/>
        <dsp:cNvSpPr/>
      </dsp:nvSpPr>
      <dsp:spPr>
        <a:xfrm>
          <a:off x="1495274" y="480454"/>
          <a:ext cx="3203217" cy="3203217"/>
        </a:xfrm>
        <a:prstGeom prst="blockArc">
          <a:avLst>
            <a:gd name="adj1" fmla="val 5400000"/>
            <a:gd name="adj2" fmla="val 10800000"/>
            <a:gd name="adj3" fmla="val 4644"/>
          </a:avLst>
        </a:prstGeom>
        <a:gradFill rotWithShape="0">
          <a:gsLst>
            <a:gs pos="0">
              <a:schemeClr val="accent1">
                <a:tint val="60000"/>
                <a:hueOff val="0"/>
                <a:satOff val="0"/>
                <a:lumOff val="0"/>
                <a:alphaOff val="0"/>
                <a:tint val="50000"/>
                <a:satMod val="300000"/>
              </a:schemeClr>
            </a:gs>
            <a:gs pos="35000">
              <a:schemeClr val="accent1">
                <a:tint val="60000"/>
                <a:hueOff val="0"/>
                <a:satOff val="0"/>
                <a:lumOff val="0"/>
                <a:alphaOff val="0"/>
                <a:tint val="37000"/>
                <a:satMod val="300000"/>
              </a:schemeClr>
            </a:gs>
            <a:gs pos="100000">
              <a:schemeClr val="accent1">
                <a:tint val="60000"/>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dsp:spPr>
      <dsp:style>
        <a:lnRef idx="0">
          <a:scrgbClr r="0" g="0" b="0"/>
        </a:lnRef>
        <a:fillRef idx="2">
          <a:scrgbClr r="0" g="0" b="0"/>
        </a:fillRef>
        <a:effectRef idx="1">
          <a:scrgbClr r="0" g="0" b="0"/>
        </a:effectRef>
        <a:fontRef idx="minor">
          <a:schemeClr val="dk1"/>
        </a:fontRef>
      </dsp:style>
    </dsp:sp>
    <dsp:sp modelId="{C2A40D13-E947-44A8-A067-3E0CB0EB727B}">
      <dsp:nvSpPr>
        <dsp:cNvPr id="0" name=""/>
        <dsp:cNvSpPr/>
      </dsp:nvSpPr>
      <dsp:spPr>
        <a:xfrm>
          <a:off x="1495274" y="480454"/>
          <a:ext cx="3203217" cy="3203217"/>
        </a:xfrm>
        <a:prstGeom prst="blockArc">
          <a:avLst>
            <a:gd name="adj1" fmla="val 0"/>
            <a:gd name="adj2" fmla="val 5400000"/>
            <a:gd name="adj3" fmla="val 4644"/>
          </a:avLst>
        </a:prstGeom>
        <a:gradFill rotWithShape="0">
          <a:gsLst>
            <a:gs pos="0">
              <a:schemeClr val="accent1">
                <a:tint val="60000"/>
                <a:hueOff val="0"/>
                <a:satOff val="0"/>
                <a:lumOff val="0"/>
                <a:alphaOff val="0"/>
                <a:tint val="50000"/>
                <a:satMod val="300000"/>
              </a:schemeClr>
            </a:gs>
            <a:gs pos="35000">
              <a:schemeClr val="accent1">
                <a:tint val="60000"/>
                <a:hueOff val="0"/>
                <a:satOff val="0"/>
                <a:lumOff val="0"/>
                <a:alphaOff val="0"/>
                <a:tint val="37000"/>
                <a:satMod val="300000"/>
              </a:schemeClr>
            </a:gs>
            <a:gs pos="100000">
              <a:schemeClr val="accent1">
                <a:tint val="60000"/>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dsp:spPr>
      <dsp:style>
        <a:lnRef idx="0">
          <a:scrgbClr r="0" g="0" b="0"/>
        </a:lnRef>
        <a:fillRef idx="2">
          <a:scrgbClr r="0" g="0" b="0"/>
        </a:fillRef>
        <a:effectRef idx="1">
          <a:scrgbClr r="0" g="0" b="0"/>
        </a:effectRef>
        <a:fontRef idx="minor">
          <a:schemeClr val="dk1"/>
        </a:fontRef>
      </dsp:style>
    </dsp:sp>
    <dsp:sp modelId="{181BC053-2329-4B5A-8CF7-D42C4DA288CB}">
      <dsp:nvSpPr>
        <dsp:cNvPr id="0" name=""/>
        <dsp:cNvSpPr/>
      </dsp:nvSpPr>
      <dsp:spPr>
        <a:xfrm>
          <a:off x="1540599" y="508001"/>
          <a:ext cx="3175926" cy="3243130"/>
        </a:xfrm>
        <a:prstGeom prst="blockArc">
          <a:avLst>
            <a:gd name="adj1" fmla="val 16200000"/>
            <a:gd name="adj2" fmla="val 0"/>
            <a:gd name="adj3" fmla="val 4644"/>
          </a:avLst>
        </a:prstGeom>
        <a:gradFill rotWithShape="0">
          <a:gsLst>
            <a:gs pos="0">
              <a:schemeClr val="accent1">
                <a:tint val="60000"/>
                <a:hueOff val="0"/>
                <a:satOff val="0"/>
                <a:lumOff val="0"/>
                <a:alphaOff val="0"/>
                <a:tint val="50000"/>
                <a:satMod val="300000"/>
              </a:schemeClr>
            </a:gs>
            <a:gs pos="35000">
              <a:schemeClr val="accent1">
                <a:tint val="60000"/>
                <a:hueOff val="0"/>
                <a:satOff val="0"/>
                <a:lumOff val="0"/>
                <a:alphaOff val="0"/>
                <a:tint val="37000"/>
                <a:satMod val="300000"/>
              </a:schemeClr>
            </a:gs>
            <a:gs pos="100000">
              <a:schemeClr val="accent1">
                <a:tint val="60000"/>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dsp:spPr>
      <dsp:style>
        <a:lnRef idx="0">
          <a:scrgbClr r="0" g="0" b="0"/>
        </a:lnRef>
        <a:fillRef idx="2">
          <a:scrgbClr r="0" g="0" b="0"/>
        </a:fillRef>
        <a:effectRef idx="1">
          <a:scrgbClr r="0" g="0" b="0"/>
        </a:effectRef>
        <a:fontRef idx="minor">
          <a:schemeClr val="dk1"/>
        </a:fontRef>
      </dsp:style>
    </dsp:sp>
    <dsp:sp modelId="{98A7FDF2-AA1B-4983-8FFA-40D91097496B}">
      <dsp:nvSpPr>
        <dsp:cNvPr id="0" name=""/>
        <dsp:cNvSpPr/>
      </dsp:nvSpPr>
      <dsp:spPr>
        <a:xfrm>
          <a:off x="2358953" y="1344133"/>
          <a:ext cx="1475858" cy="1475858"/>
        </a:xfrm>
        <a:prstGeom prst="ellipse">
          <a:avLst/>
        </a:prstGeom>
        <a:gradFill rotWithShape="0">
          <a:gsLst>
            <a:gs pos="0">
              <a:schemeClr val="lt1">
                <a:hueOff val="0"/>
                <a:satOff val="0"/>
                <a:lumOff val="0"/>
                <a:alphaOff val="0"/>
                <a:tint val="50000"/>
                <a:satMod val="300000"/>
              </a:schemeClr>
            </a:gs>
            <a:gs pos="35000">
              <a:schemeClr val="lt1">
                <a:hueOff val="0"/>
                <a:satOff val="0"/>
                <a:lumOff val="0"/>
                <a:alphaOff val="0"/>
                <a:tint val="37000"/>
                <a:satMod val="300000"/>
              </a:schemeClr>
            </a:gs>
            <a:gs pos="100000">
              <a:schemeClr val="l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21590" tIns="21590" rIns="21590" bIns="21590" numCol="1" spcCol="1270" anchor="ctr" anchorCtr="0">
          <a:noAutofit/>
        </a:bodyPr>
        <a:lstStyle/>
        <a:p>
          <a:pPr marL="0" lvl="0" indent="0" algn="ctr" defTabSz="755650">
            <a:lnSpc>
              <a:spcPct val="90000"/>
            </a:lnSpc>
            <a:spcBef>
              <a:spcPct val="0"/>
            </a:spcBef>
            <a:spcAft>
              <a:spcPct val="35000"/>
            </a:spcAft>
            <a:buNone/>
          </a:pPr>
          <a:r>
            <a:rPr lang="en-GB" sz="1700" kern="1200"/>
            <a:t>Kinds of knowledge</a:t>
          </a:r>
        </a:p>
      </dsp:txBody>
      <dsp:txXfrm>
        <a:off x="2575087" y="1560267"/>
        <a:ext cx="1043590" cy="1043590"/>
      </dsp:txXfrm>
    </dsp:sp>
    <dsp:sp modelId="{FAA43099-2398-4CC3-B28D-2691D815189D}">
      <dsp:nvSpPr>
        <dsp:cNvPr id="0" name=""/>
        <dsp:cNvSpPr/>
      </dsp:nvSpPr>
      <dsp:spPr>
        <a:xfrm>
          <a:off x="2580332" y="1095"/>
          <a:ext cx="1033100" cy="1033100"/>
        </a:xfrm>
        <a:prstGeom prst="ellipse">
          <a:avLst/>
        </a:prstGeom>
        <a:gradFill rotWithShape="0">
          <a:gsLst>
            <a:gs pos="0">
              <a:schemeClr val="lt1">
                <a:hueOff val="0"/>
                <a:satOff val="0"/>
                <a:lumOff val="0"/>
                <a:alphaOff val="0"/>
                <a:tint val="50000"/>
                <a:satMod val="300000"/>
              </a:schemeClr>
            </a:gs>
            <a:gs pos="35000">
              <a:schemeClr val="lt1">
                <a:hueOff val="0"/>
                <a:satOff val="0"/>
                <a:lumOff val="0"/>
                <a:alphaOff val="0"/>
                <a:tint val="37000"/>
                <a:satMod val="300000"/>
              </a:schemeClr>
            </a:gs>
            <a:gs pos="100000">
              <a:schemeClr val="l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t>Concrete </a:t>
          </a:r>
        </a:p>
        <a:p>
          <a:pPr marL="0" lvl="0" indent="0" algn="ctr" defTabSz="311150">
            <a:lnSpc>
              <a:spcPct val="90000"/>
            </a:lnSpc>
            <a:spcBef>
              <a:spcPct val="0"/>
            </a:spcBef>
            <a:spcAft>
              <a:spcPct val="35000"/>
            </a:spcAft>
            <a:buNone/>
          </a:pPr>
          <a:r>
            <a:rPr lang="en-GB" sz="700" kern="1200"/>
            <a:t>experience</a:t>
          </a:r>
        </a:p>
      </dsp:txBody>
      <dsp:txXfrm>
        <a:off x="2731626" y="152389"/>
        <a:ext cx="730512" cy="730512"/>
      </dsp:txXfrm>
    </dsp:sp>
    <dsp:sp modelId="{F8FB16FB-2D03-40D6-B3A6-9FC485AA3309}">
      <dsp:nvSpPr>
        <dsp:cNvPr id="0" name=""/>
        <dsp:cNvSpPr/>
      </dsp:nvSpPr>
      <dsp:spPr>
        <a:xfrm>
          <a:off x="4144749" y="1565512"/>
          <a:ext cx="1033100" cy="1033100"/>
        </a:xfrm>
        <a:prstGeom prst="ellipse">
          <a:avLst/>
        </a:prstGeom>
        <a:gradFill rotWithShape="0">
          <a:gsLst>
            <a:gs pos="0">
              <a:schemeClr val="lt1">
                <a:hueOff val="0"/>
                <a:satOff val="0"/>
                <a:lumOff val="0"/>
                <a:alphaOff val="0"/>
                <a:tint val="50000"/>
                <a:satMod val="300000"/>
              </a:schemeClr>
            </a:gs>
            <a:gs pos="35000">
              <a:schemeClr val="lt1">
                <a:hueOff val="0"/>
                <a:satOff val="0"/>
                <a:lumOff val="0"/>
                <a:alphaOff val="0"/>
                <a:tint val="37000"/>
                <a:satMod val="300000"/>
              </a:schemeClr>
            </a:gs>
            <a:gs pos="100000">
              <a:schemeClr val="l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t>Reflective </a:t>
          </a:r>
        </a:p>
        <a:p>
          <a:pPr marL="0" lvl="0" indent="0" algn="ctr" defTabSz="311150">
            <a:lnSpc>
              <a:spcPct val="90000"/>
            </a:lnSpc>
            <a:spcBef>
              <a:spcPct val="0"/>
            </a:spcBef>
            <a:spcAft>
              <a:spcPct val="35000"/>
            </a:spcAft>
            <a:buNone/>
          </a:pPr>
          <a:r>
            <a:rPr lang="en-GB" sz="700" kern="1200"/>
            <a:t>observations</a:t>
          </a:r>
        </a:p>
      </dsp:txBody>
      <dsp:txXfrm>
        <a:off x="4296043" y="1716806"/>
        <a:ext cx="730512" cy="730512"/>
      </dsp:txXfrm>
    </dsp:sp>
    <dsp:sp modelId="{697E9D36-BDBA-4BB1-BF02-F2E0085C4ABE}">
      <dsp:nvSpPr>
        <dsp:cNvPr id="0" name=""/>
        <dsp:cNvSpPr/>
      </dsp:nvSpPr>
      <dsp:spPr>
        <a:xfrm>
          <a:off x="2580332" y="3129929"/>
          <a:ext cx="1033100" cy="1033100"/>
        </a:xfrm>
        <a:prstGeom prst="ellipse">
          <a:avLst/>
        </a:prstGeom>
        <a:gradFill rotWithShape="0">
          <a:gsLst>
            <a:gs pos="0">
              <a:schemeClr val="lt1">
                <a:hueOff val="0"/>
                <a:satOff val="0"/>
                <a:lumOff val="0"/>
                <a:alphaOff val="0"/>
                <a:tint val="50000"/>
                <a:satMod val="300000"/>
              </a:schemeClr>
            </a:gs>
            <a:gs pos="35000">
              <a:schemeClr val="lt1">
                <a:hueOff val="0"/>
                <a:satOff val="0"/>
                <a:lumOff val="0"/>
                <a:alphaOff val="0"/>
                <a:tint val="37000"/>
                <a:satMod val="300000"/>
              </a:schemeClr>
            </a:gs>
            <a:gs pos="100000">
              <a:schemeClr val="l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t>Abstract conceptualisation</a:t>
          </a:r>
        </a:p>
      </dsp:txBody>
      <dsp:txXfrm>
        <a:off x="2731626" y="3281223"/>
        <a:ext cx="730512" cy="730512"/>
      </dsp:txXfrm>
    </dsp:sp>
    <dsp:sp modelId="{69E6E4EF-52B8-42B6-9C3C-1CF53753B0DF}">
      <dsp:nvSpPr>
        <dsp:cNvPr id="0" name=""/>
        <dsp:cNvSpPr/>
      </dsp:nvSpPr>
      <dsp:spPr>
        <a:xfrm>
          <a:off x="1015915" y="1565512"/>
          <a:ext cx="1033100" cy="1033100"/>
        </a:xfrm>
        <a:prstGeom prst="ellipse">
          <a:avLst/>
        </a:prstGeom>
        <a:gradFill rotWithShape="0">
          <a:gsLst>
            <a:gs pos="0">
              <a:schemeClr val="lt1">
                <a:hueOff val="0"/>
                <a:satOff val="0"/>
                <a:lumOff val="0"/>
                <a:alphaOff val="0"/>
                <a:tint val="50000"/>
                <a:satMod val="300000"/>
              </a:schemeClr>
            </a:gs>
            <a:gs pos="35000">
              <a:schemeClr val="lt1">
                <a:hueOff val="0"/>
                <a:satOff val="0"/>
                <a:lumOff val="0"/>
                <a:alphaOff val="0"/>
                <a:tint val="37000"/>
                <a:satMod val="300000"/>
              </a:schemeClr>
            </a:gs>
            <a:gs pos="100000">
              <a:schemeClr val="l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t>Active experimentation</a:t>
          </a:r>
        </a:p>
      </dsp:txBody>
      <dsp:txXfrm>
        <a:off x="1167209" y="1716806"/>
        <a:ext cx="730512" cy="730512"/>
      </dsp:txXfrm>
    </dsp:sp>
  </dsp:spTree>
</dsp:drawing>
</file>

<file path=word/diagrams/layout1.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359</TotalTime>
  <Pages>9</Pages>
  <Words>1963</Words>
  <Characters>11192</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13129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HASSAN</dc:creator>
  <cp:keywords/>
  <dc:description/>
  <cp:lastModifiedBy>Ali Raza</cp:lastModifiedBy>
  <cp:revision>11</cp:revision>
  <dcterms:created xsi:type="dcterms:W3CDTF">2018-01-07T13:41:00Z</dcterms:created>
  <dcterms:modified xsi:type="dcterms:W3CDTF">2018-01-08T11:12:00Z</dcterms:modified>
</cp:coreProperties>
</file>