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A85C0" w14:textId="77777777" w:rsidR="007E380C" w:rsidRPr="006B6311" w:rsidRDefault="007E380C" w:rsidP="002142F7">
      <w:pPr>
        <w:spacing w:line="480" w:lineRule="auto"/>
        <w:ind w:firstLine="720"/>
        <w:rPr>
          <w:rFonts w:asciiTheme="majorHAnsi" w:hAnsiTheme="majorHAnsi" w:cstheme="majorHAnsi"/>
          <w:b/>
          <w:sz w:val="24"/>
          <w:szCs w:val="24"/>
          <w:lang w:val="en-GB"/>
        </w:rPr>
      </w:pPr>
      <w:bookmarkStart w:id="0" w:name="_Hlk213191746"/>
      <w:bookmarkEnd w:id="0"/>
      <w:r w:rsidRPr="006B6311">
        <w:rPr>
          <w:rFonts w:asciiTheme="majorHAnsi" w:hAnsiTheme="majorHAnsi" w:cstheme="majorHAnsi"/>
          <w:b/>
          <w:sz w:val="24"/>
          <w:szCs w:val="24"/>
          <w:lang w:val="en-GB"/>
        </w:rPr>
        <w:t>AI Acknowledgement Statement</w:t>
      </w:r>
    </w:p>
    <w:p w14:paraId="2DCA183A" w14:textId="1EFEE332" w:rsidR="007E380C" w:rsidRPr="006B6311" w:rsidRDefault="007E380C" w:rsidP="008C3545">
      <w:pPr>
        <w:spacing w:line="480" w:lineRule="auto"/>
        <w:ind w:firstLine="720"/>
        <w:jc w:val="both"/>
        <w:rPr>
          <w:rFonts w:asciiTheme="majorHAnsi" w:hAnsiTheme="majorHAnsi" w:cstheme="majorHAnsi"/>
          <w:bCs/>
          <w:sz w:val="24"/>
          <w:szCs w:val="24"/>
          <w:lang w:val="en-GB"/>
        </w:rPr>
      </w:pPr>
      <w:r w:rsidRPr="006B6311">
        <w:rPr>
          <w:rFonts w:asciiTheme="majorHAnsi" w:hAnsiTheme="majorHAnsi" w:cstheme="majorHAnsi"/>
          <w:bCs/>
          <w:sz w:val="24"/>
          <w:szCs w:val="24"/>
          <w:lang w:val="en-GB"/>
        </w:rPr>
        <w:t>I confirm that I used ChatGPT (https://chatgpt.com/) to support my Essay. This tool helped me structure my work, find relevant academic sources, and check the accuracy and clarity of my language. It also assisted me with translations, as I sometimes wrote in my native language, and with answering questions when I needed help understanding academic instructions or terminology. ChatGPT was used solely as a learning support tool — all final decisions regarding writing, analysis, and editing were made by me.</w:t>
      </w:r>
    </w:p>
    <w:p w14:paraId="02A6B6FD" w14:textId="77777777" w:rsidR="007E380C" w:rsidRPr="006B6311" w:rsidRDefault="007E380C" w:rsidP="008C3545">
      <w:pPr>
        <w:spacing w:line="480" w:lineRule="auto"/>
        <w:ind w:firstLine="720"/>
        <w:jc w:val="both"/>
        <w:rPr>
          <w:rFonts w:asciiTheme="majorHAnsi" w:hAnsiTheme="majorHAnsi" w:cstheme="majorHAnsi"/>
          <w:bCs/>
          <w:sz w:val="24"/>
          <w:szCs w:val="24"/>
          <w:lang w:val="en-GB"/>
        </w:rPr>
      </w:pPr>
      <w:r w:rsidRPr="006B6311">
        <w:rPr>
          <w:rFonts w:asciiTheme="majorHAnsi" w:hAnsiTheme="majorHAnsi" w:cstheme="majorHAnsi"/>
          <w:bCs/>
          <w:sz w:val="24"/>
          <w:szCs w:val="24"/>
          <w:lang w:val="en-GB"/>
        </w:rPr>
        <w:t>I confirm that I have not submitted any AI-generated text as my own work. I confirm that I have kept copies of all drafts, notes, and documents created before and after using AI tools and can provide them as evidence upon request.</w:t>
      </w:r>
    </w:p>
    <w:p w14:paraId="60121B67"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9AF7E43"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07A8D06"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0F74DBD9"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7D9E3ADE"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263AC76"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52B9BE75"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50DF91B7"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305DFAD5"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7EEF8829"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433BDB8C"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5E0D1F60"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CDFA5B5" w14:textId="77777777" w:rsidR="00195726" w:rsidRPr="006B6311" w:rsidRDefault="00195726" w:rsidP="00337954">
      <w:pPr>
        <w:spacing w:line="480" w:lineRule="auto"/>
        <w:jc w:val="both"/>
        <w:rPr>
          <w:rFonts w:asciiTheme="majorHAnsi" w:hAnsiTheme="majorHAnsi" w:cstheme="majorHAnsi"/>
          <w:bCs/>
          <w:sz w:val="24"/>
          <w:szCs w:val="24"/>
          <w:lang w:val="en-GB"/>
        </w:rPr>
      </w:pPr>
    </w:p>
    <w:p w14:paraId="45E6F5FE"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9167BB1" w14:textId="77777777" w:rsidR="00113D3B" w:rsidRDefault="00337954" w:rsidP="00113D3B">
      <w:pPr>
        <w:spacing w:line="480" w:lineRule="auto"/>
        <w:ind w:firstLine="720"/>
        <w:jc w:val="both"/>
        <w:rPr>
          <w:rFonts w:asciiTheme="majorHAnsi" w:hAnsiTheme="majorHAnsi" w:cstheme="majorHAnsi"/>
          <w:b/>
          <w:bCs/>
          <w:sz w:val="24"/>
          <w:szCs w:val="24"/>
          <w:lang w:val="en-GB"/>
        </w:rPr>
      </w:pPr>
      <w:r>
        <w:rPr>
          <w:rFonts w:asciiTheme="majorHAnsi" w:hAnsiTheme="majorHAnsi" w:cstheme="majorHAnsi"/>
          <w:b/>
          <w:bCs/>
          <w:sz w:val="24"/>
          <w:szCs w:val="24"/>
          <w:lang w:val="en-GB"/>
        </w:rPr>
        <w:lastRenderedPageBreak/>
        <w:t>Melan</w:t>
      </w:r>
      <w:r w:rsidR="00113D3B">
        <w:rPr>
          <w:rFonts w:asciiTheme="majorHAnsi" w:hAnsiTheme="majorHAnsi" w:cstheme="majorHAnsi"/>
          <w:b/>
          <w:bCs/>
          <w:sz w:val="24"/>
          <w:szCs w:val="24"/>
          <w:lang w:val="en-GB"/>
        </w:rPr>
        <w:t>c</w:t>
      </w:r>
      <w:r>
        <w:rPr>
          <w:rFonts w:asciiTheme="majorHAnsi" w:hAnsiTheme="majorHAnsi" w:cstheme="majorHAnsi"/>
          <w:b/>
          <w:bCs/>
          <w:sz w:val="24"/>
          <w:szCs w:val="24"/>
          <w:lang w:val="en-GB"/>
        </w:rPr>
        <w:t>holia:</w:t>
      </w:r>
      <w:r w:rsidR="00154A03">
        <w:rPr>
          <w:rFonts w:asciiTheme="majorHAnsi" w:hAnsiTheme="majorHAnsi" w:cstheme="majorHAnsi"/>
          <w:b/>
          <w:bCs/>
          <w:sz w:val="24"/>
          <w:szCs w:val="24"/>
          <w:lang w:val="en-GB"/>
        </w:rPr>
        <w:t xml:space="preserve"> H</w:t>
      </w:r>
      <w:r w:rsidR="00240D72" w:rsidRPr="00240D72">
        <w:rPr>
          <w:rFonts w:asciiTheme="majorHAnsi" w:hAnsiTheme="majorHAnsi" w:cstheme="majorHAnsi"/>
          <w:b/>
          <w:bCs/>
          <w:sz w:val="24"/>
          <w:szCs w:val="24"/>
          <w:lang w:val="en-GB"/>
        </w:rPr>
        <w:t xml:space="preserve">istorical </w:t>
      </w:r>
      <w:r w:rsidR="00154A03">
        <w:rPr>
          <w:rFonts w:asciiTheme="majorHAnsi" w:hAnsiTheme="majorHAnsi" w:cstheme="majorHAnsi"/>
          <w:b/>
          <w:bCs/>
          <w:sz w:val="24"/>
          <w:szCs w:val="24"/>
          <w:lang w:val="en-GB"/>
        </w:rPr>
        <w:t>D</w:t>
      </w:r>
      <w:r w:rsidR="00240D72" w:rsidRPr="00240D72">
        <w:rPr>
          <w:rFonts w:asciiTheme="majorHAnsi" w:hAnsiTheme="majorHAnsi" w:cstheme="majorHAnsi"/>
          <w:b/>
          <w:bCs/>
          <w:sz w:val="24"/>
          <w:szCs w:val="24"/>
          <w:lang w:val="en-GB"/>
        </w:rPr>
        <w:t xml:space="preserve">evelopment and </w:t>
      </w:r>
      <w:r w:rsidR="00BB5BEA">
        <w:rPr>
          <w:rFonts w:asciiTheme="majorHAnsi" w:hAnsiTheme="majorHAnsi" w:cstheme="majorHAnsi"/>
          <w:b/>
          <w:bCs/>
          <w:sz w:val="24"/>
          <w:szCs w:val="24"/>
          <w:lang w:val="en-GB"/>
        </w:rPr>
        <w:t>Changing A</w:t>
      </w:r>
      <w:r w:rsidR="00240D72" w:rsidRPr="00240D72">
        <w:rPr>
          <w:rFonts w:asciiTheme="majorHAnsi" w:hAnsiTheme="majorHAnsi" w:cstheme="majorHAnsi"/>
          <w:b/>
          <w:bCs/>
          <w:sz w:val="24"/>
          <w:szCs w:val="24"/>
          <w:lang w:val="en-GB"/>
        </w:rPr>
        <w:t xml:space="preserve">pproaches to </w:t>
      </w:r>
      <w:r w:rsidR="00BB5BEA">
        <w:rPr>
          <w:rFonts w:asciiTheme="majorHAnsi" w:hAnsiTheme="majorHAnsi" w:cstheme="majorHAnsi"/>
          <w:b/>
          <w:bCs/>
          <w:sz w:val="24"/>
          <w:szCs w:val="24"/>
          <w:lang w:val="en-GB"/>
        </w:rPr>
        <w:t>T</w:t>
      </w:r>
      <w:r w:rsidR="00240D72" w:rsidRPr="00240D72">
        <w:rPr>
          <w:rFonts w:asciiTheme="majorHAnsi" w:hAnsiTheme="majorHAnsi" w:cstheme="majorHAnsi"/>
          <w:b/>
          <w:bCs/>
          <w:sz w:val="24"/>
          <w:szCs w:val="24"/>
          <w:lang w:val="en-GB"/>
        </w:rPr>
        <w:t>reatmen</w:t>
      </w:r>
      <w:r w:rsidR="00240D72" w:rsidRPr="006B6311">
        <w:rPr>
          <w:rFonts w:asciiTheme="majorHAnsi" w:hAnsiTheme="majorHAnsi" w:cstheme="majorHAnsi"/>
          <w:b/>
          <w:bCs/>
          <w:sz w:val="24"/>
          <w:szCs w:val="24"/>
          <w:lang w:val="en-GB"/>
        </w:rPr>
        <w:t>t</w:t>
      </w:r>
    </w:p>
    <w:p w14:paraId="40FDA3C8" w14:textId="33568419" w:rsidR="00803A8F" w:rsidRPr="00113D3B" w:rsidRDefault="00A37A7F" w:rsidP="00113D3B">
      <w:pPr>
        <w:spacing w:line="480" w:lineRule="auto"/>
        <w:ind w:firstLine="720"/>
        <w:jc w:val="both"/>
        <w:rPr>
          <w:rFonts w:asciiTheme="majorHAnsi" w:hAnsiTheme="majorHAnsi" w:cstheme="majorHAnsi"/>
          <w:b/>
          <w:bCs/>
          <w:sz w:val="24"/>
          <w:szCs w:val="24"/>
          <w:lang w:val="en-GB"/>
        </w:rPr>
      </w:pPr>
      <w:r w:rsidRPr="006B6311">
        <w:rPr>
          <w:rFonts w:asciiTheme="majorHAnsi" w:hAnsiTheme="majorHAnsi" w:cstheme="majorHAnsi"/>
          <w:sz w:val="24"/>
          <w:szCs w:val="24"/>
          <w:lang w:val="en-GB"/>
        </w:rPr>
        <w:t>Throughout history, people have searched for ways to understand deep sadness, emotional heaviness and the sense of being overwhelmed — experiences that today might be described as depression. In earlier periods, however, these states were gathered under a broader and more fluid term: melancholia, a concept that carried medical, spiritual, cultural and even artistic meanings depending on the era and social worldview (Scull, 201</w:t>
      </w:r>
      <w:r w:rsidR="00FB7EC3">
        <w:rPr>
          <w:rFonts w:asciiTheme="majorHAnsi" w:hAnsiTheme="majorHAnsi" w:cstheme="majorHAnsi"/>
          <w:sz w:val="24"/>
          <w:szCs w:val="24"/>
          <w:lang w:val="en-GB"/>
        </w:rPr>
        <w:t>6</w:t>
      </w:r>
      <w:r w:rsidRPr="006B6311">
        <w:rPr>
          <w:rFonts w:asciiTheme="majorHAnsi" w:hAnsiTheme="majorHAnsi" w:cstheme="majorHAnsi"/>
          <w:sz w:val="24"/>
          <w:szCs w:val="24"/>
          <w:lang w:val="en-GB"/>
        </w:rPr>
        <w:t>). What becomes clear when looking back is how dramatically the interpretation of melancholia shifted across time. Each period explained it through its own lens: the humoral balance of antiquity, the religious morality of the Middle Ages, the aesthetic fascination of the Renaissance or the emerging scientific frameworks of the Enlightenment and early psychiatry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As understandings changed, so too did responses and treatments. Some approaches were gentle and supportive, such as rest or exposure to nature, while others were harsh or frightening, reflecting beliefs about sin, demonic influence or bodily impurity (</w:t>
      </w:r>
      <w:proofErr w:type="spellStart"/>
      <w:r w:rsidRPr="006B6311">
        <w:rPr>
          <w:rFonts w:asciiTheme="majorHAnsi" w:hAnsiTheme="majorHAnsi" w:cstheme="majorHAnsi"/>
          <w:sz w:val="24"/>
          <w:szCs w:val="24"/>
          <w:lang w:val="en-GB"/>
        </w:rPr>
        <w:t>Midelfort</w:t>
      </w:r>
      <w:proofErr w:type="spellEnd"/>
      <w:r w:rsidRPr="006B6311">
        <w:rPr>
          <w:rFonts w:asciiTheme="majorHAnsi" w:hAnsiTheme="majorHAnsi" w:cstheme="majorHAnsi"/>
          <w:sz w:val="24"/>
          <w:szCs w:val="24"/>
          <w:lang w:val="en-GB"/>
        </w:rPr>
        <w:t>, 1999). Over time, melancholia became not only a medical concern but also a cultural symbol, representing everything from creative insight to moral danger (Radden, 2000; Jackson, 1986). By tracing these historical developments, we can see how deeply concepts of mental distress are shaped by cultural belief systems and scientific progress (Berrios, 1988).</w:t>
      </w:r>
    </w:p>
    <w:p w14:paraId="40FDA3C9" w14:textId="1ACE7CAE"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In the earliest medical traditions, melancholia was understood through humoral theory, a system that shaped approaches to illness for centuries. According to this model, the body contained four humours — black bile, yellow bile, blood and phlegm — each linked with qualities such as heat, coldness, dryness or moisture. Health depended on their balance; illness emerged from disruption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xml:space="preserve">). Melancholia was specifically associated </w:t>
      </w:r>
      <w:r w:rsidRPr="006B6311">
        <w:rPr>
          <w:rFonts w:asciiTheme="majorHAnsi" w:hAnsiTheme="majorHAnsi" w:cstheme="majorHAnsi"/>
          <w:sz w:val="24"/>
          <w:szCs w:val="24"/>
          <w:lang w:val="en-GB"/>
        </w:rPr>
        <w:lastRenderedPageBreak/>
        <w:t>with an excess of black bile, which was believed to produce sadness, fearfulness, irritability and withdrawal (Scull, 201</w:t>
      </w:r>
      <w:r w:rsidR="009F0AEA">
        <w:rPr>
          <w:rFonts w:asciiTheme="majorHAnsi" w:hAnsiTheme="majorHAnsi" w:cstheme="majorHAnsi"/>
          <w:sz w:val="24"/>
          <w:szCs w:val="24"/>
          <w:lang w:val="en-GB"/>
        </w:rPr>
        <w:t>6</w:t>
      </w:r>
      <w:r w:rsidRPr="006B6311">
        <w:rPr>
          <w:rFonts w:asciiTheme="majorHAnsi" w:hAnsiTheme="majorHAnsi" w:cstheme="majorHAnsi"/>
          <w:sz w:val="24"/>
          <w:szCs w:val="24"/>
          <w:lang w:val="en-GB"/>
        </w:rPr>
        <w:t>). Importantly, emotional suffering was not viewed as separate from the body — it was considered a direct physical disturbance. Treatments therefore focused on restoring humoral balance. Physicians recommended bloodletting, purging and induced vomiting to draw out the “excess” substance believed to cause distress (Jackson, 1986). Alongside these invasive methods, lifestyle adjustments such as warm baths, movement, fresh air and diets designed to counter the cold, dry nature of black bile were encouraged (Radden, 2000). Although humoral theory is now obsolete, it represented an essential step in the medicalisation of emotional suffering. It proposed that melancholia required understanding and intervention, rather than moral judgement, and offered one of the earliest structured explanations of mental distress (Berrios, 1988).</w:t>
      </w:r>
    </w:p>
    <w:p w14:paraId="40FDA3CA" w14:textId="6AC3173F"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During the Middle Ages, ideas about melancholia shifted away from bodily explanations and became deeply intertwined with religion, morality and social expectation. Emotional suffering was often seen as a condition of the soul rather than the body. States that today might resemble sadness, anxiety or psychological overwhelm were interpreted as signs of spiritual weakness, sin or even demonic presence (</w:t>
      </w:r>
      <w:proofErr w:type="spellStart"/>
      <w:r w:rsidRPr="006B6311">
        <w:rPr>
          <w:rFonts w:asciiTheme="majorHAnsi" w:hAnsiTheme="majorHAnsi" w:cstheme="majorHAnsi"/>
          <w:sz w:val="24"/>
          <w:szCs w:val="24"/>
          <w:lang w:val="en-GB"/>
        </w:rPr>
        <w:t>Midelfort</w:t>
      </w:r>
      <w:proofErr w:type="spellEnd"/>
      <w:r w:rsidRPr="006B6311">
        <w:rPr>
          <w:rFonts w:asciiTheme="majorHAnsi" w:hAnsiTheme="majorHAnsi" w:cstheme="majorHAnsi"/>
          <w:sz w:val="24"/>
          <w:szCs w:val="24"/>
          <w:lang w:val="en-GB"/>
        </w:rPr>
        <w:t>, 1999). Melancholia was closely linked with the Christian concept of acedia — a form of spiritual despair — and this moral framing shaped both self-understanding and community responses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Women were particularly vulnerable to such interpretations. Historical records reveal that accusations of madness, possession or moral failing disproportionately targeted women, especially those who lived outside traditional family roles or possessed knowledge of herbal medicine and midwifery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xml:space="preserve">). In times of social instability — famine, disease, conflict or religious tension — communities increasingly turned to witch-hunts to explain </w:t>
      </w:r>
      <w:r w:rsidRPr="006B6311">
        <w:rPr>
          <w:rFonts w:asciiTheme="majorHAnsi" w:hAnsiTheme="majorHAnsi" w:cstheme="majorHAnsi"/>
          <w:sz w:val="24"/>
          <w:szCs w:val="24"/>
          <w:lang w:val="en-GB"/>
        </w:rPr>
        <w:lastRenderedPageBreak/>
        <w:t>suffering, and women became the primary victims (</w:t>
      </w:r>
      <w:proofErr w:type="spellStart"/>
      <w:r w:rsidRPr="006B6311">
        <w:rPr>
          <w:rFonts w:asciiTheme="majorHAnsi" w:hAnsiTheme="majorHAnsi" w:cstheme="majorHAnsi"/>
          <w:sz w:val="24"/>
          <w:szCs w:val="24"/>
          <w:lang w:val="en-GB"/>
        </w:rPr>
        <w:t>Midelfort</w:t>
      </w:r>
      <w:proofErr w:type="spellEnd"/>
      <w:r w:rsidRPr="006B6311">
        <w:rPr>
          <w:rFonts w:asciiTheme="majorHAnsi" w:hAnsiTheme="majorHAnsi" w:cstheme="majorHAnsi"/>
          <w:sz w:val="24"/>
          <w:szCs w:val="24"/>
          <w:lang w:val="en-GB"/>
        </w:rPr>
        <w:t>, 1999;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The case of Margery Kempe illustrates how deeply these beliefs influenced interpretation. Her intense emotional experiences, uncontrollable crying and vivid spiritual visions — which today might be understood as trauma, postpartum distress or a psychotic episode — were instead interpreted as signs of spiritual instability or potential heresy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Instead of support, she faced interrogation and punishment. Treatments at this time focused less on healing and more on moral correction: prayer, confession, discipline or exclusion. This reflected a worldview in which emotional suffering was primarily a spiritual or moral failing rather than a medical condition (Radden, 2000).</w:t>
      </w:r>
    </w:p>
    <w:p w14:paraId="40FDA3CB" w14:textId="7DE80F37"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As Europe entered the Renaissance, the meaning of melancholia shifted again. Instead of being seen mainly as a spiritual danger or moral flaw, it began to acquire new cultural and aesthetic dimensions. Humanist thinkers revisited classical medical and philosophical texts, reviving the idea that melancholia could be associated with contemplation, intelligence and creativity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xml:space="preserve">). This transformation opened the door for melancholia to become linked with artistic insight and intellectual depth. For many scholars, poets and artists, a melancholic temperament was viewed almost as a mark of distinction. Introspective figures in Renaissance art, such as those depicted in symbolic engravings and poetic works, contributed to what became known as the “cult of melancholy,” a fascination with sadness as meaningful and even beautiful (Radden, 2000). Gender expectations played a powerful role in shaping these interpretations. While men expressing reflective melancholy were admired for their sensitivity or genius, women with similar emotional intensity were often cast as unstable or irrational </w:t>
      </w:r>
      <w:r w:rsidR="00A42EE2" w:rsidRPr="006B6311">
        <w:rPr>
          <w:rFonts w:asciiTheme="majorHAnsi" w:hAnsiTheme="majorHAnsi" w:cstheme="majorHAnsi"/>
          <w:sz w:val="24"/>
          <w:szCs w:val="24"/>
          <w:lang w:val="en-GB"/>
        </w:rPr>
        <w:t>(Tyson et al., 202</w:t>
      </w:r>
      <w:r w:rsidR="00A42EE2">
        <w:rPr>
          <w:rFonts w:asciiTheme="majorHAnsi" w:hAnsiTheme="majorHAnsi" w:cstheme="majorHAnsi"/>
          <w:sz w:val="24"/>
          <w:szCs w:val="24"/>
          <w:lang w:val="en-GB"/>
        </w:rPr>
        <w:t>0</w:t>
      </w:r>
      <w:r w:rsidR="00A42EE2" w:rsidRPr="006B6311">
        <w:rPr>
          <w:rFonts w:asciiTheme="majorHAnsi" w:hAnsiTheme="majorHAnsi" w:cstheme="majorHAnsi"/>
          <w:sz w:val="24"/>
          <w:szCs w:val="24"/>
          <w:lang w:val="en-GB"/>
        </w:rPr>
        <w:t>).</w:t>
      </w:r>
      <w:r w:rsidR="00A42EE2">
        <w:rPr>
          <w:rFonts w:asciiTheme="majorHAnsi" w:hAnsiTheme="majorHAnsi" w:cstheme="majorHAnsi"/>
          <w:sz w:val="24"/>
          <w:szCs w:val="24"/>
          <w:lang w:val="en-GB"/>
        </w:rPr>
        <w:t xml:space="preserve"> </w:t>
      </w:r>
      <w:r w:rsidRPr="006B6311">
        <w:rPr>
          <w:rFonts w:asciiTheme="majorHAnsi" w:hAnsiTheme="majorHAnsi" w:cstheme="majorHAnsi"/>
          <w:sz w:val="24"/>
          <w:szCs w:val="24"/>
          <w:lang w:val="en-GB"/>
        </w:rPr>
        <w:t xml:space="preserve">Treatments also reflected this changing understanding. Rather than aggressive interventions, people were encouraged to seek rest, </w:t>
      </w:r>
      <w:r w:rsidRPr="006B6311">
        <w:rPr>
          <w:rFonts w:asciiTheme="majorHAnsi" w:hAnsiTheme="majorHAnsi" w:cstheme="majorHAnsi"/>
          <w:sz w:val="24"/>
          <w:szCs w:val="24"/>
          <w:lang w:val="en-GB"/>
        </w:rPr>
        <w:lastRenderedPageBreak/>
        <w:t>music, gentle movement, sunlight and the calming influence of nature (Jackson, 1986). These practices suggested an evolving recognition that emotional suffering could hold meaning and might be softened through supportive environments.</w:t>
      </w:r>
    </w:p>
    <w:p w14:paraId="40FDA3CC" w14:textId="1817B699"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The Enlightenment introduced yet another transformation in thinking about melancholia. Instead of relying on spiritual or symbolic explanations, philosophers and emerging scientists began examining emotional states through reason, observation and empirical study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The human mind became something that could be analysed and described. With the rise of empirical methods — detailed observation, classification and documentation — melancholia increasingly came to be viewed as a natural phenomenon that could be explained through rational investigation rather than moral judgement (Jackson, 1986). Public attitudes also began to shift. Accounts from the period describe widespread recognition of despair, suicide and emotional instability as social issues requiring understanding. Literature and theatre echoed this change, portraying madness as part of the human condition rather than a supernatural force. Treatments still varied widely, but early forms of psychosocial care emerged. Physicians and caregivers promoted structured routines, calm surroundings, meaningful activity and balanced daily rhythms, reflecting growing belief that stability and rationality could help restore emotional wellbeing (Radden, 2000). These ideas laid essential foundations for the later development of psychiatry.</w:t>
      </w:r>
    </w:p>
    <w:p w14:paraId="40FDA3CD" w14:textId="7A7A4ABC"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 xml:space="preserve">By the nineteenth century, melancholia entered a new era shaped by the professionalisation of medicine and the rise of psychiatry. Emil Kraepelin’s influential work categorised different forms of affective disorder and placed melancholia within a broader diagnostic framework, marking a shift from poetic or moral interpretations toward systematic clinical observation (Jackson, 1986). At the same time, psychological theories gained </w:t>
      </w:r>
      <w:r w:rsidRPr="006B6311">
        <w:rPr>
          <w:rFonts w:asciiTheme="majorHAnsi" w:hAnsiTheme="majorHAnsi" w:cstheme="majorHAnsi"/>
          <w:sz w:val="24"/>
          <w:szCs w:val="24"/>
          <w:lang w:val="en-GB"/>
        </w:rPr>
        <w:lastRenderedPageBreak/>
        <w:t>prominence. Sigmund Freud proposed that melancholia resulted from internalised grief and self-directed anger following loss — an interpretation that emphasised unconscious emotional processes and expanded understanding beyond biology (Radden, 2000). These ideas influenced how emotional suffering was discussed and treated. By the mid-twentieth century, the development of antidepressant medication and treatments such as electroconvulsive therapy provided new approaches for severe depressive states historically associated with melancholia (Berrios, 1988). Biological models grew stronger, but psychological and social explanations also contributed to a more multidimensional understanding. Today, melancholia no longer exists as a standalone diagnosis, yet many of its features remain recognised within modern concepts of major depressive disorder. Contemporary models adopt a biopsychosocial perspective, acknowledging that emotional distress arises from the interaction of biological vulnerability, psychological patterns and environmental factors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w:t>
      </w:r>
    </w:p>
    <w:p w14:paraId="179F927D" w14:textId="4F419F02" w:rsidR="00A37A7F" w:rsidRPr="006B6311" w:rsidRDefault="00A37A7F" w:rsidP="00113D3B">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Looking back across this long history, it becomes clear that melancholia has never held a single meaning. Each era interpreted it according to its own beliefs, concerns and knowledge. In antiquity, melancholia was understood as a physical imbalance; in the Middle Ages, as a spiritual or moral weakness; during the Renaissance, as a source of creative depth; in the Enlightenment, as a phenomenon open to rational study; and in the nineteenth and twentieth centuries, as part of emerging psychiatric and psychological frameworks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xml:space="preserve">; Jackson, 1986). Treatments evolved just as dramatically — from bloodletting and spiritual correction to rest, supportive environments, psychotherapy and modern medical interventions. This long journey shows that melancholia is not simply a historical concept but a reflection of how societies understand and respond to emotional suffering. As knowledge </w:t>
      </w:r>
      <w:r w:rsidRPr="006B6311">
        <w:rPr>
          <w:rFonts w:asciiTheme="majorHAnsi" w:hAnsiTheme="majorHAnsi" w:cstheme="majorHAnsi"/>
          <w:sz w:val="24"/>
          <w:szCs w:val="24"/>
          <w:lang w:val="en-GB"/>
        </w:rPr>
        <w:lastRenderedPageBreak/>
        <w:t>develops, treatments change; as cultural attitudes shift, the meaning of suffering shifts with them. Today’s biopsychosocial approach reflects the accumulated lessons of centuries, recognising that emotional distress must be understood through body, mind and environment together rather than through any single lens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The history of melancholia highlights the importance of compassion, context and multidimensional understanding in modern mental health care, showing that while interpretations evolve, the human search for relief and meaning remains constant.</w:t>
      </w:r>
    </w:p>
    <w:p w14:paraId="561C1C32" w14:textId="2F5603FA" w:rsidR="00A37A7F" w:rsidRPr="00BA255B" w:rsidRDefault="00A37A7F" w:rsidP="00113D3B">
      <w:pPr>
        <w:spacing w:line="480" w:lineRule="auto"/>
        <w:ind w:left="720" w:firstLine="720"/>
        <w:rPr>
          <w:rFonts w:asciiTheme="majorHAnsi" w:hAnsiTheme="majorHAnsi" w:cstheme="majorHAnsi"/>
          <w:b/>
          <w:bCs/>
          <w:sz w:val="24"/>
          <w:szCs w:val="24"/>
          <w:lang w:val="en-GB"/>
        </w:rPr>
      </w:pPr>
      <w:r w:rsidRPr="00BA255B">
        <w:rPr>
          <w:rFonts w:asciiTheme="majorHAnsi" w:hAnsiTheme="majorHAnsi" w:cstheme="majorHAnsi"/>
          <w:b/>
          <w:bCs/>
          <w:sz w:val="24"/>
          <w:szCs w:val="24"/>
          <w:lang w:val="en-GB"/>
        </w:rPr>
        <w:t>References</w:t>
      </w:r>
    </w:p>
    <w:p w14:paraId="2EB9BC27" w14:textId="29DBC109" w:rsidR="00C01989" w:rsidRPr="00C01989" w:rsidRDefault="00C01989" w:rsidP="00BA255B">
      <w:pPr>
        <w:spacing w:line="480" w:lineRule="auto"/>
        <w:ind w:left="720" w:hanging="720"/>
        <w:jc w:val="both"/>
        <w:rPr>
          <w:rFonts w:asciiTheme="majorHAnsi" w:hAnsiTheme="majorHAnsi" w:cstheme="majorHAnsi"/>
          <w:sz w:val="24"/>
          <w:szCs w:val="24"/>
          <w:lang w:val="en-GB"/>
        </w:rPr>
      </w:pPr>
      <w:r w:rsidRPr="00C01989">
        <w:rPr>
          <w:rFonts w:asciiTheme="majorHAnsi" w:hAnsiTheme="majorHAnsi" w:cstheme="majorHAnsi"/>
          <w:sz w:val="24"/>
          <w:szCs w:val="24"/>
          <w:lang w:val="en-GB"/>
        </w:rPr>
        <w:t xml:space="preserve">Berrios, G. E. (1988). </w:t>
      </w:r>
      <w:r w:rsidRPr="00C01989">
        <w:rPr>
          <w:rFonts w:asciiTheme="majorHAnsi" w:hAnsiTheme="majorHAnsi" w:cstheme="majorHAnsi"/>
          <w:i/>
          <w:iCs/>
          <w:sz w:val="24"/>
          <w:szCs w:val="24"/>
          <w:lang w:val="en-GB"/>
        </w:rPr>
        <w:t>Melancholia and depression: From Hippocratic times to modern times.</w:t>
      </w:r>
      <w:r w:rsidRPr="00C01989">
        <w:rPr>
          <w:rFonts w:asciiTheme="majorHAnsi" w:hAnsiTheme="majorHAnsi" w:cstheme="majorHAnsi"/>
          <w:sz w:val="24"/>
          <w:szCs w:val="24"/>
          <w:lang w:val="en-GB"/>
        </w:rPr>
        <w:t xml:space="preserve"> Comprehensive Psychiatry, 29(4), 299–306. </w:t>
      </w:r>
      <w:hyperlink r:id="rId6" w:tgtFrame="_blank" w:history="1">
        <w:r w:rsidRPr="00C01989">
          <w:rPr>
            <w:rStyle w:val="Hyperlink"/>
            <w:rFonts w:asciiTheme="majorHAnsi" w:hAnsiTheme="majorHAnsi" w:cstheme="majorHAnsi"/>
            <w:sz w:val="24"/>
            <w:szCs w:val="24"/>
            <w:lang w:val="en-GB"/>
          </w:rPr>
          <w:t>https://doi.org/10.1016/0010-440X(88)90054-1</w:t>
        </w:r>
      </w:hyperlink>
    </w:p>
    <w:p w14:paraId="49017A20" w14:textId="4D5BCB4F" w:rsidR="00C01989" w:rsidRPr="00C01989" w:rsidRDefault="00C01989" w:rsidP="00BA255B">
      <w:pPr>
        <w:spacing w:line="480" w:lineRule="auto"/>
        <w:ind w:left="720" w:hanging="720"/>
        <w:jc w:val="both"/>
        <w:rPr>
          <w:rFonts w:asciiTheme="majorHAnsi" w:hAnsiTheme="majorHAnsi" w:cstheme="majorHAnsi"/>
          <w:sz w:val="24"/>
          <w:szCs w:val="24"/>
          <w:lang w:val="en-GB"/>
        </w:rPr>
      </w:pPr>
      <w:r w:rsidRPr="00C01989">
        <w:rPr>
          <w:rFonts w:asciiTheme="majorHAnsi" w:hAnsiTheme="majorHAnsi" w:cstheme="majorHAnsi"/>
          <w:sz w:val="24"/>
          <w:szCs w:val="24"/>
          <w:lang w:val="en-GB"/>
        </w:rPr>
        <w:t xml:space="preserve">Jackson, S. W. (1986). </w:t>
      </w:r>
      <w:r w:rsidRPr="00C01989">
        <w:rPr>
          <w:rFonts w:asciiTheme="majorHAnsi" w:hAnsiTheme="majorHAnsi" w:cstheme="majorHAnsi"/>
          <w:i/>
          <w:iCs/>
          <w:sz w:val="24"/>
          <w:szCs w:val="24"/>
          <w:lang w:val="en-GB"/>
        </w:rPr>
        <w:t xml:space="preserve">Melancholia and depression: From Hippocratic times to modern times. </w:t>
      </w:r>
      <w:r w:rsidRPr="00C01989">
        <w:rPr>
          <w:rFonts w:asciiTheme="majorHAnsi" w:hAnsiTheme="majorHAnsi" w:cstheme="majorHAnsi"/>
          <w:sz w:val="24"/>
          <w:szCs w:val="24"/>
          <w:lang w:val="en-GB"/>
        </w:rPr>
        <w:t>Yale University Press.</w:t>
      </w:r>
    </w:p>
    <w:p w14:paraId="06013E5D" w14:textId="77777777" w:rsidR="00BA255B" w:rsidRDefault="00C01989" w:rsidP="00BA255B">
      <w:pPr>
        <w:spacing w:line="480" w:lineRule="auto"/>
        <w:ind w:left="720" w:hanging="720"/>
        <w:jc w:val="both"/>
        <w:rPr>
          <w:rFonts w:asciiTheme="majorHAnsi" w:hAnsiTheme="majorHAnsi" w:cstheme="majorHAnsi"/>
          <w:sz w:val="24"/>
          <w:szCs w:val="24"/>
          <w:lang w:val="en-GB"/>
        </w:rPr>
      </w:pPr>
      <w:proofErr w:type="spellStart"/>
      <w:r w:rsidRPr="00C01989">
        <w:rPr>
          <w:rFonts w:asciiTheme="majorHAnsi" w:hAnsiTheme="majorHAnsi" w:cstheme="majorHAnsi"/>
          <w:sz w:val="24"/>
          <w:szCs w:val="24"/>
          <w:lang w:val="en-GB"/>
        </w:rPr>
        <w:t>Midelfort</w:t>
      </w:r>
      <w:proofErr w:type="spellEnd"/>
      <w:r w:rsidRPr="00C01989">
        <w:rPr>
          <w:rFonts w:asciiTheme="majorHAnsi" w:hAnsiTheme="majorHAnsi" w:cstheme="majorHAnsi"/>
          <w:sz w:val="24"/>
          <w:szCs w:val="24"/>
          <w:lang w:val="en-GB"/>
        </w:rPr>
        <w:t xml:space="preserve">, H. C. E. (1999). </w:t>
      </w:r>
      <w:r w:rsidRPr="00C01989">
        <w:rPr>
          <w:rFonts w:asciiTheme="majorHAnsi" w:hAnsiTheme="majorHAnsi" w:cstheme="majorHAnsi"/>
          <w:i/>
          <w:iCs/>
          <w:sz w:val="24"/>
          <w:szCs w:val="24"/>
          <w:lang w:val="en-GB"/>
        </w:rPr>
        <w:t>A history of madness in sixteenth-century Germany.</w:t>
      </w:r>
      <w:r w:rsidRPr="00C01989">
        <w:rPr>
          <w:rFonts w:asciiTheme="majorHAnsi" w:hAnsiTheme="majorHAnsi" w:cstheme="majorHAnsi"/>
          <w:sz w:val="24"/>
          <w:szCs w:val="24"/>
          <w:lang w:val="en-GB"/>
        </w:rPr>
        <w:t xml:space="preserve"> Stanford University Press.</w:t>
      </w:r>
    </w:p>
    <w:p w14:paraId="4987ACA6" w14:textId="26EA72FF" w:rsidR="00C01989" w:rsidRPr="00C01989" w:rsidRDefault="00C01989" w:rsidP="00BA255B">
      <w:pPr>
        <w:spacing w:line="480" w:lineRule="auto"/>
        <w:ind w:left="720" w:hanging="720"/>
        <w:jc w:val="both"/>
        <w:rPr>
          <w:rFonts w:asciiTheme="majorHAnsi" w:hAnsiTheme="majorHAnsi" w:cstheme="majorHAnsi"/>
          <w:sz w:val="24"/>
          <w:szCs w:val="24"/>
          <w:lang w:val="en-GB"/>
        </w:rPr>
      </w:pPr>
      <w:r w:rsidRPr="00C01989">
        <w:rPr>
          <w:rFonts w:asciiTheme="majorHAnsi" w:hAnsiTheme="majorHAnsi" w:cstheme="majorHAnsi"/>
          <w:sz w:val="24"/>
          <w:szCs w:val="24"/>
          <w:lang w:val="en-GB"/>
        </w:rPr>
        <w:t xml:space="preserve">Radden, J. (2000). </w:t>
      </w:r>
      <w:r w:rsidRPr="00C01989">
        <w:rPr>
          <w:rFonts w:asciiTheme="majorHAnsi" w:hAnsiTheme="majorHAnsi" w:cstheme="majorHAnsi"/>
          <w:i/>
          <w:iCs/>
          <w:sz w:val="24"/>
          <w:szCs w:val="24"/>
          <w:lang w:val="en-GB"/>
        </w:rPr>
        <w:t xml:space="preserve">The nature of melancholy: From Aristotle to Kristeva. </w:t>
      </w:r>
      <w:r w:rsidRPr="00C01989">
        <w:rPr>
          <w:rFonts w:asciiTheme="majorHAnsi" w:hAnsiTheme="majorHAnsi" w:cstheme="majorHAnsi"/>
          <w:sz w:val="24"/>
          <w:szCs w:val="24"/>
          <w:lang w:val="en-GB"/>
        </w:rPr>
        <w:t>Oxford University Press.</w:t>
      </w:r>
    </w:p>
    <w:p w14:paraId="1262EB85" w14:textId="786D93A2" w:rsidR="00E9583B" w:rsidRPr="00727396" w:rsidRDefault="00C01989" w:rsidP="00BF39A9">
      <w:pPr>
        <w:spacing w:line="480" w:lineRule="auto"/>
        <w:ind w:left="720" w:hanging="720"/>
        <w:jc w:val="both"/>
        <w:rPr>
          <w:rFonts w:asciiTheme="majorHAnsi" w:hAnsiTheme="majorHAnsi" w:cstheme="majorHAnsi"/>
          <w:sz w:val="24"/>
          <w:szCs w:val="24"/>
          <w:lang w:val="en-GB"/>
        </w:rPr>
      </w:pPr>
      <w:r w:rsidRPr="00C01989">
        <w:rPr>
          <w:rFonts w:asciiTheme="majorHAnsi" w:hAnsiTheme="majorHAnsi" w:cstheme="majorHAnsi"/>
          <w:sz w:val="24"/>
          <w:szCs w:val="24"/>
          <w:lang w:val="en-GB"/>
        </w:rPr>
        <w:t>Scull, A. (2018</w:t>
      </w:r>
      <w:r w:rsidRPr="00C01989">
        <w:rPr>
          <w:rFonts w:asciiTheme="majorHAnsi" w:hAnsiTheme="majorHAnsi" w:cstheme="majorHAnsi"/>
          <w:i/>
          <w:iCs/>
          <w:sz w:val="24"/>
          <w:szCs w:val="24"/>
          <w:lang w:val="en-GB"/>
        </w:rPr>
        <w:t xml:space="preserve">). </w:t>
      </w:r>
      <w:r w:rsidR="00727396" w:rsidRPr="00727396">
        <w:rPr>
          <w:rFonts w:asciiTheme="majorHAnsi" w:hAnsiTheme="majorHAnsi" w:cstheme="majorHAnsi"/>
          <w:i/>
          <w:iCs/>
          <w:sz w:val="24"/>
          <w:szCs w:val="24"/>
          <w:lang w:val="en-GB"/>
        </w:rPr>
        <w:t xml:space="preserve">Madness in civilization: A cultural history of insanity from the Bible to Freud, from the madhouse to modern medicine </w:t>
      </w:r>
      <w:r w:rsidR="00727396" w:rsidRPr="00E67034">
        <w:rPr>
          <w:rFonts w:asciiTheme="majorHAnsi" w:hAnsiTheme="majorHAnsi" w:cstheme="majorHAnsi"/>
          <w:sz w:val="24"/>
          <w:szCs w:val="24"/>
          <w:lang w:val="en-GB"/>
        </w:rPr>
        <w:t>(</w:t>
      </w:r>
      <w:proofErr w:type="spellStart"/>
      <w:r w:rsidR="00727396" w:rsidRPr="00E67034">
        <w:rPr>
          <w:rFonts w:asciiTheme="majorHAnsi" w:hAnsiTheme="majorHAnsi" w:cstheme="majorHAnsi"/>
          <w:sz w:val="24"/>
          <w:szCs w:val="24"/>
          <w:lang w:val="en-GB"/>
        </w:rPr>
        <w:t>Chs</w:t>
      </w:r>
      <w:proofErr w:type="spellEnd"/>
      <w:r w:rsidR="00727396" w:rsidRPr="00E67034">
        <w:rPr>
          <w:rFonts w:asciiTheme="majorHAnsi" w:hAnsiTheme="majorHAnsi" w:cstheme="majorHAnsi"/>
          <w:sz w:val="24"/>
          <w:szCs w:val="24"/>
          <w:lang w:val="en-GB"/>
        </w:rPr>
        <w:t>. 3–4).</w:t>
      </w:r>
      <w:r w:rsidR="00E67034">
        <w:rPr>
          <w:rFonts w:asciiTheme="majorHAnsi" w:hAnsiTheme="majorHAnsi" w:cstheme="majorHAnsi"/>
          <w:sz w:val="24"/>
          <w:szCs w:val="24"/>
          <w:lang w:val="en-GB"/>
        </w:rPr>
        <w:t xml:space="preserve"> </w:t>
      </w:r>
      <w:r w:rsidR="00727396" w:rsidRPr="00727396">
        <w:rPr>
          <w:rFonts w:asciiTheme="majorHAnsi" w:hAnsiTheme="majorHAnsi" w:cstheme="majorHAnsi"/>
          <w:sz w:val="24"/>
          <w:szCs w:val="24"/>
          <w:lang w:val="en-GB"/>
        </w:rPr>
        <w:t>Thames &amp; Hudson.</w:t>
      </w:r>
    </w:p>
    <w:p w14:paraId="78B1FEF1" w14:textId="4592355D" w:rsidR="00C729EC" w:rsidRPr="00C729EC" w:rsidRDefault="00C729EC" w:rsidP="00C729EC">
      <w:pPr>
        <w:spacing w:line="480" w:lineRule="auto"/>
        <w:ind w:left="720" w:hanging="720"/>
        <w:jc w:val="both"/>
        <w:rPr>
          <w:rFonts w:asciiTheme="majorHAnsi" w:hAnsiTheme="majorHAnsi" w:cstheme="majorHAnsi"/>
          <w:sz w:val="24"/>
          <w:szCs w:val="24"/>
          <w:lang w:val="en-GB"/>
        </w:rPr>
      </w:pPr>
      <w:r w:rsidRPr="00C729EC">
        <w:rPr>
          <w:rFonts w:asciiTheme="majorHAnsi" w:hAnsiTheme="majorHAnsi" w:cstheme="majorHAnsi"/>
          <w:sz w:val="24"/>
          <w:szCs w:val="24"/>
          <w:lang w:val="en-GB"/>
        </w:rPr>
        <w:t>Tyson, P., Khanam Davies, S., &amp; Torn, A. (2020).</w:t>
      </w:r>
      <w:r w:rsidR="00BF39A9">
        <w:rPr>
          <w:rFonts w:asciiTheme="majorHAnsi" w:hAnsiTheme="majorHAnsi" w:cstheme="majorHAnsi"/>
          <w:sz w:val="24"/>
          <w:szCs w:val="24"/>
          <w:lang w:val="en-GB"/>
        </w:rPr>
        <w:t xml:space="preserve"> </w:t>
      </w:r>
      <w:r w:rsidRPr="00C729EC">
        <w:rPr>
          <w:rFonts w:asciiTheme="majorHAnsi" w:hAnsiTheme="majorHAnsi" w:cstheme="majorHAnsi"/>
          <w:i/>
          <w:iCs/>
          <w:sz w:val="24"/>
          <w:szCs w:val="24"/>
          <w:lang w:val="en-GB"/>
        </w:rPr>
        <w:t>Madness: History, concepts and controversies.</w:t>
      </w:r>
      <w:r w:rsidR="007B7BE7">
        <w:rPr>
          <w:rFonts w:asciiTheme="majorHAnsi" w:hAnsiTheme="majorHAnsi" w:cstheme="majorHAnsi"/>
          <w:sz w:val="24"/>
          <w:szCs w:val="24"/>
          <w:lang w:val="en-GB"/>
        </w:rPr>
        <w:t xml:space="preserve"> </w:t>
      </w:r>
      <w:r w:rsidRPr="00C729EC">
        <w:rPr>
          <w:rFonts w:asciiTheme="majorHAnsi" w:hAnsiTheme="majorHAnsi" w:cstheme="majorHAnsi"/>
          <w:sz w:val="24"/>
          <w:szCs w:val="24"/>
          <w:lang w:val="en-GB"/>
        </w:rPr>
        <w:t>Routledge.</w:t>
      </w:r>
    </w:p>
    <w:p w14:paraId="41BE344A" w14:textId="77777777" w:rsidR="00905641" w:rsidRPr="006B6311" w:rsidRDefault="00905641" w:rsidP="00BA255B">
      <w:pPr>
        <w:spacing w:line="480" w:lineRule="auto"/>
        <w:ind w:left="720" w:hanging="720"/>
        <w:jc w:val="both"/>
        <w:rPr>
          <w:rFonts w:asciiTheme="majorHAnsi" w:hAnsiTheme="majorHAnsi" w:cstheme="majorHAnsi"/>
          <w:sz w:val="24"/>
          <w:szCs w:val="24"/>
          <w:lang w:val="en-GB"/>
        </w:rPr>
      </w:pPr>
    </w:p>
    <w:sectPr w:rsidR="00905641" w:rsidRPr="006B6311">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DDFC5" w14:textId="77777777" w:rsidR="00FD3FAA" w:rsidRDefault="00FD3FAA" w:rsidP="00042BD8">
      <w:pPr>
        <w:spacing w:line="240" w:lineRule="auto"/>
      </w:pPr>
      <w:r>
        <w:separator/>
      </w:r>
    </w:p>
  </w:endnote>
  <w:endnote w:type="continuationSeparator" w:id="0">
    <w:p w14:paraId="6F00650E" w14:textId="77777777" w:rsidR="00FD3FAA" w:rsidRDefault="00FD3FAA" w:rsidP="00042B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1B74237-21A5-4050-9B27-F97EB1AA8BC4}"/>
    <w:embedBold r:id="rId2" w:fontKey="{CDDD7911-FB1F-40E5-84BA-2F4EA4DBE0B5}"/>
    <w:embedItalic r:id="rId3" w:fontKey="{A05AB2D7-CB06-463A-A23C-A4ED31AEE08B}"/>
  </w:font>
  <w:font w:name="Cambria">
    <w:panose1 w:val="02040503050406030204"/>
    <w:charset w:val="00"/>
    <w:family w:val="roman"/>
    <w:pitch w:val="variable"/>
    <w:sig w:usb0="E00006FF" w:usb1="420024FF" w:usb2="02000000" w:usb3="00000000" w:csb0="0000019F" w:csb1="00000000"/>
    <w:embedRegular r:id="rId4" w:fontKey="{7E9DD1C8-C5BE-43F5-8A20-4CA9FA5B3B8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002E4C" w14:textId="77777777" w:rsidR="00042BD8" w:rsidRDefault="00042B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9192024"/>
      <w:docPartObj>
        <w:docPartGallery w:val="Page Numbers (Bottom of Page)"/>
        <w:docPartUnique/>
      </w:docPartObj>
    </w:sdtPr>
    <w:sdtEndPr>
      <w:rPr>
        <w:noProof/>
      </w:rPr>
    </w:sdtEndPr>
    <w:sdtContent>
      <w:p w14:paraId="7B04BEE2" w14:textId="49C76E03" w:rsidR="00042BD8" w:rsidRDefault="00042B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425261" w14:textId="77777777" w:rsidR="00042BD8" w:rsidRDefault="00042B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FF8F9" w14:textId="77777777" w:rsidR="00042BD8" w:rsidRDefault="00042B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BAFD7" w14:textId="77777777" w:rsidR="00FD3FAA" w:rsidRDefault="00FD3FAA" w:rsidP="00042BD8">
      <w:pPr>
        <w:spacing w:line="240" w:lineRule="auto"/>
      </w:pPr>
      <w:r>
        <w:separator/>
      </w:r>
    </w:p>
  </w:footnote>
  <w:footnote w:type="continuationSeparator" w:id="0">
    <w:p w14:paraId="7846FF83" w14:textId="77777777" w:rsidR="00FD3FAA" w:rsidRDefault="00FD3FAA" w:rsidP="00042BD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F27533" w14:textId="77777777" w:rsidR="00042BD8" w:rsidRDefault="00042B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65A06" w14:textId="77777777" w:rsidR="00042BD8" w:rsidRDefault="00042B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DD817" w14:textId="77777777" w:rsidR="00042BD8" w:rsidRDefault="00042B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3A8F"/>
    <w:rsid w:val="00042BD8"/>
    <w:rsid w:val="000854F4"/>
    <w:rsid w:val="00113D3B"/>
    <w:rsid w:val="00114D78"/>
    <w:rsid w:val="00154A03"/>
    <w:rsid w:val="00195726"/>
    <w:rsid w:val="002142F7"/>
    <w:rsid w:val="00240D72"/>
    <w:rsid w:val="00302A9D"/>
    <w:rsid w:val="00320B53"/>
    <w:rsid w:val="00337954"/>
    <w:rsid w:val="00413463"/>
    <w:rsid w:val="00486C09"/>
    <w:rsid w:val="006B6311"/>
    <w:rsid w:val="00727396"/>
    <w:rsid w:val="007A4069"/>
    <w:rsid w:val="007B7BE7"/>
    <w:rsid w:val="007E380C"/>
    <w:rsid w:val="00803A8F"/>
    <w:rsid w:val="00862C6E"/>
    <w:rsid w:val="008C3545"/>
    <w:rsid w:val="00905641"/>
    <w:rsid w:val="00912A03"/>
    <w:rsid w:val="00953C57"/>
    <w:rsid w:val="009F0AEA"/>
    <w:rsid w:val="00A37A7F"/>
    <w:rsid w:val="00A42EE2"/>
    <w:rsid w:val="00B4187C"/>
    <w:rsid w:val="00BA255B"/>
    <w:rsid w:val="00BB5BEA"/>
    <w:rsid w:val="00BF39A9"/>
    <w:rsid w:val="00C01989"/>
    <w:rsid w:val="00C03D6F"/>
    <w:rsid w:val="00C729EC"/>
    <w:rsid w:val="00E67034"/>
    <w:rsid w:val="00E9583B"/>
    <w:rsid w:val="00FB7EC3"/>
    <w:rsid w:val="00FD3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DA3C8"/>
  <w15:docId w15:val="{60A3B39E-A950-40A5-9650-6DE16FC90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ru"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C01989"/>
    <w:rPr>
      <w:color w:val="0000FF" w:themeColor="hyperlink"/>
      <w:u w:val="single"/>
    </w:rPr>
  </w:style>
  <w:style w:type="character" w:styleId="UnresolvedMention">
    <w:name w:val="Unresolved Mention"/>
    <w:basedOn w:val="DefaultParagraphFont"/>
    <w:uiPriority w:val="99"/>
    <w:semiHidden/>
    <w:unhideWhenUsed/>
    <w:rsid w:val="00C01989"/>
    <w:rPr>
      <w:color w:val="605E5C"/>
      <w:shd w:val="clear" w:color="auto" w:fill="E1DFDD"/>
    </w:rPr>
  </w:style>
  <w:style w:type="paragraph" w:styleId="NormalWeb">
    <w:name w:val="Normal (Web)"/>
    <w:basedOn w:val="Normal"/>
    <w:uiPriority w:val="99"/>
    <w:semiHidden/>
    <w:unhideWhenUsed/>
    <w:rsid w:val="00727396"/>
    <w:rPr>
      <w:rFonts w:ascii="Times New Roman" w:hAnsi="Times New Roman" w:cs="Times New Roman"/>
      <w:sz w:val="24"/>
      <w:szCs w:val="24"/>
    </w:rPr>
  </w:style>
  <w:style w:type="paragraph" w:styleId="Header">
    <w:name w:val="header"/>
    <w:basedOn w:val="Normal"/>
    <w:link w:val="HeaderChar"/>
    <w:uiPriority w:val="99"/>
    <w:unhideWhenUsed/>
    <w:rsid w:val="00042BD8"/>
    <w:pPr>
      <w:tabs>
        <w:tab w:val="center" w:pos="4513"/>
        <w:tab w:val="right" w:pos="9026"/>
      </w:tabs>
      <w:spacing w:line="240" w:lineRule="auto"/>
    </w:pPr>
  </w:style>
  <w:style w:type="character" w:customStyle="1" w:styleId="HeaderChar">
    <w:name w:val="Header Char"/>
    <w:basedOn w:val="DefaultParagraphFont"/>
    <w:link w:val="Header"/>
    <w:uiPriority w:val="99"/>
    <w:rsid w:val="00042BD8"/>
  </w:style>
  <w:style w:type="paragraph" w:styleId="Footer">
    <w:name w:val="footer"/>
    <w:basedOn w:val="Normal"/>
    <w:link w:val="FooterChar"/>
    <w:uiPriority w:val="99"/>
    <w:unhideWhenUsed/>
    <w:rsid w:val="00042BD8"/>
    <w:pPr>
      <w:tabs>
        <w:tab w:val="center" w:pos="4513"/>
        <w:tab w:val="right" w:pos="9026"/>
      </w:tabs>
      <w:spacing w:line="240" w:lineRule="auto"/>
    </w:pPr>
  </w:style>
  <w:style w:type="character" w:customStyle="1" w:styleId="FooterChar">
    <w:name w:val="Footer Char"/>
    <w:basedOn w:val="DefaultParagraphFont"/>
    <w:link w:val="Footer"/>
    <w:uiPriority w:val="99"/>
    <w:rsid w:val="00042B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0010-440X(88)90054-1"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7</Pages>
  <Words>1817</Words>
  <Characters>10362</Characters>
  <Application>Microsoft Office Word</Application>
  <DocSecurity>0</DocSecurity>
  <Lines>86</Lines>
  <Paragraphs>24</Paragraphs>
  <ScaleCrop>false</ScaleCrop>
  <Company/>
  <LinksUpToDate>false</LinksUpToDate>
  <CharactersWithSpaces>12155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Myron Bershadskyi</cp:lastModifiedBy>
  <cp:revision>33</cp:revision>
  <dcterms:created xsi:type="dcterms:W3CDTF">2025-12-08T23:13:00Z</dcterms:created>
  <dcterms:modified xsi:type="dcterms:W3CDTF">2025-12-09T14:32:00Z</dcterms:modified>
</cp:coreProperties>
</file>