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6B75357" w14:textId="27CDC3C6" w:rsidR="00064743" w:rsidRDefault="00F350B4" w:rsidP="00F350B4">
      <w:pPr>
        <w:tabs>
          <w:tab w:val="left" w:pos="4070"/>
        </w:tabs>
        <w:spacing w:before="2000"/>
      </w:pPr>
      <w:r w:rsidRPr="00F350B4">
        <w:rPr>
          <w:rFonts w:ascii="Times New Roman" w:eastAsia="Times New Roman" w:hAnsi="Times New Roman" w:cs="Times New Roman"/>
          <w:b/>
          <w:noProof/>
          <w:sz w:val="44"/>
          <w:szCs w:val="44"/>
          <w:lang w:val="en" w:eastAsia="en-US"/>
        </w:rPr>
        <w:drawing>
          <wp:anchor distT="0" distB="0" distL="114300" distR="114300" simplePos="0" relativeHeight="251658240" behindDoc="0" locked="0" layoutInCell="1" allowOverlap="1" wp14:anchorId="3A2B9656" wp14:editId="65547ABE">
            <wp:simplePos x="0" y="0"/>
            <wp:positionH relativeFrom="margin">
              <wp:align>center</wp:align>
            </wp:positionH>
            <wp:positionV relativeFrom="paragraph">
              <wp:posOffset>74930</wp:posOffset>
            </wp:positionV>
            <wp:extent cx="2154555" cy="826770"/>
            <wp:effectExtent l="0" t="0" r="0" b="0"/>
            <wp:wrapSquare wrapText="bothSides"/>
            <wp:docPr id="354270178"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extLst>
                        <a:ext uri="{28A0092B-C50C-407E-A947-70E740481C1C}">
                          <a14:useLocalDpi xmlns:a14="http://schemas.microsoft.com/office/drawing/2010/main" val="0"/>
                        </a:ext>
                      </a:extLst>
                    </a:blip>
                    <a:stretch>
                      <a:fillRect/>
                    </a:stretch>
                  </pic:blipFill>
                  <pic:spPr>
                    <a:xfrm>
                      <a:off x="0" y="0"/>
                      <a:ext cx="2154555" cy="826770"/>
                    </a:xfrm>
                    <a:prstGeom prst="rect">
                      <a:avLst/>
                    </a:prstGeom>
                  </pic:spPr>
                </pic:pic>
              </a:graphicData>
            </a:graphic>
            <wp14:sizeRelH relativeFrom="margin">
              <wp14:pctWidth>0</wp14:pctWidth>
            </wp14:sizeRelH>
            <wp14:sizeRelV relativeFrom="margin">
              <wp14:pctHeight>0</wp14:pctHeight>
            </wp14:sizeRelV>
          </wp:anchor>
        </w:drawing>
      </w:r>
      <w:r>
        <w:br w:type="textWrapping" w:clear="all"/>
      </w:r>
    </w:p>
    <w:p w14:paraId="7D3C0D1E" w14:textId="77777777" w:rsidR="00555670" w:rsidRPr="005B14F3" w:rsidRDefault="00555670" w:rsidP="00555670">
      <w:pPr>
        <w:spacing w:after="300"/>
        <w:jc w:val="center"/>
        <w:rPr>
          <w:b/>
          <w:bCs/>
          <w:color w:val="0A2F41" w:themeColor="accent1" w:themeShade="80"/>
          <w:sz w:val="36"/>
          <w:szCs w:val="36"/>
          <w:lang w:val="en"/>
        </w:rPr>
      </w:pPr>
      <w:r w:rsidRPr="005B14F3">
        <w:rPr>
          <w:b/>
          <w:bCs/>
          <w:color w:val="0A2F41" w:themeColor="accent1" w:themeShade="80"/>
          <w:sz w:val="36"/>
          <w:szCs w:val="36"/>
          <w:lang w:val="en"/>
        </w:rPr>
        <w:t>BA Business Management</w:t>
      </w:r>
    </w:p>
    <w:p w14:paraId="03D024B3" w14:textId="77777777" w:rsidR="00555670" w:rsidRPr="005B14F3" w:rsidRDefault="00555670" w:rsidP="00555670">
      <w:pPr>
        <w:spacing w:after="300"/>
        <w:jc w:val="center"/>
        <w:rPr>
          <w:b/>
          <w:bCs/>
          <w:color w:val="0A2F41" w:themeColor="accent1" w:themeShade="80"/>
          <w:sz w:val="36"/>
          <w:szCs w:val="36"/>
          <w:lang w:val="en"/>
        </w:rPr>
      </w:pPr>
      <w:r w:rsidRPr="005B14F3">
        <w:rPr>
          <w:b/>
          <w:bCs/>
          <w:color w:val="0A2F41" w:themeColor="accent1" w:themeShade="80"/>
          <w:sz w:val="36"/>
          <w:szCs w:val="36"/>
          <w:lang w:val="en"/>
        </w:rPr>
        <w:t>Module: Strategic Management and Sustainability</w:t>
      </w:r>
    </w:p>
    <w:p w14:paraId="631C909C" w14:textId="77777777" w:rsidR="00555670" w:rsidRPr="005B14F3" w:rsidRDefault="00555670" w:rsidP="00555670">
      <w:pPr>
        <w:spacing w:after="300"/>
        <w:jc w:val="center"/>
        <w:rPr>
          <w:b/>
          <w:bCs/>
          <w:color w:val="0A2F41" w:themeColor="accent1" w:themeShade="80"/>
          <w:sz w:val="36"/>
          <w:szCs w:val="36"/>
          <w:lang w:val="en"/>
        </w:rPr>
      </w:pPr>
      <w:r w:rsidRPr="005B14F3">
        <w:rPr>
          <w:b/>
          <w:bCs/>
          <w:color w:val="0A2F41" w:themeColor="accent1" w:themeShade="80"/>
          <w:sz w:val="36"/>
          <w:szCs w:val="36"/>
          <w:lang w:val="en"/>
        </w:rPr>
        <w:t>Module code: LCBB6015</w:t>
      </w:r>
    </w:p>
    <w:p w14:paraId="7790D3DF" w14:textId="77777777" w:rsidR="00555670" w:rsidRPr="005B14F3" w:rsidRDefault="00555670">
      <w:pPr>
        <w:spacing w:after="300"/>
        <w:jc w:val="center"/>
        <w:rPr>
          <w:b/>
          <w:bCs/>
          <w:color w:val="0A2F41" w:themeColor="accent1" w:themeShade="80"/>
          <w:sz w:val="36"/>
          <w:szCs w:val="36"/>
        </w:rPr>
      </w:pPr>
    </w:p>
    <w:p w14:paraId="62050A71" w14:textId="5E622E23" w:rsidR="00064743" w:rsidRPr="005B14F3" w:rsidRDefault="001E743A">
      <w:pPr>
        <w:spacing w:after="300"/>
        <w:jc w:val="center"/>
        <w:rPr>
          <w:color w:val="0A2F41" w:themeColor="accent1" w:themeShade="80"/>
        </w:rPr>
      </w:pPr>
      <w:r w:rsidRPr="005B14F3">
        <w:rPr>
          <w:b/>
          <w:bCs/>
          <w:color w:val="0A2F41" w:themeColor="accent1" w:themeShade="80"/>
          <w:sz w:val="36"/>
          <w:szCs w:val="36"/>
        </w:rPr>
        <w:t>Automotive Industry Trends and Strategy Formulation:</w:t>
      </w:r>
    </w:p>
    <w:p w14:paraId="766E8915" w14:textId="77777777" w:rsidR="00064743" w:rsidRPr="005B14F3" w:rsidRDefault="001E743A">
      <w:pPr>
        <w:spacing w:after="800"/>
        <w:jc w:val="center"/>
        <w:rPr>
          <w:color w:val="0A2F41" w:themeColor="accent1" w:themeShade="80"/>
        </w:rPr>
      </w:pPr>
      <w:r w:rsidRPr="005B14F3">
        <w:rPr>
          <w:b/>
          <w:bCs/>
          <w:color w:val="0A2F41" w:themeColor="accent1" w:themeShade="80"/>
          <w:sz w:val="36"/>
          <w:szCs w:val="36"/>
        </w:rPr>
        <w:t>BMW Group UK</w:t>
      </w:r>
    </w:p>
    <w:p w14:paraId="24657FE7" w14:textId="77777777" w:rsidR="00064743" w:rsidRDefault="00064743">
      <w:pPr>
        <w:spacing w:before="1600"/>
      </w:pPr>
    </w:p>
    <w:p w14:paraId="6ACC3339" w14:textId="77777777" w:rsidR="006B01BC" w:rsidRDefault="006B01BC" w:rsidP="006B01BC">
      <w:pPr>
        <w:jc w:val="center"/>
        <w:rPr>
          <w:b/>
          <w:color w:val="215E99" w:themeColor="text2" w:themeTint="BF"/>
          <w:sz w:val="28"/>
          <w:szCs w:val="28"/>
          <w:lang w:val="en"/>
        </w:rPr>
      </w:pPr>
    </w:p>
    <w:p w14:paraId="48FEFCEB" w14:textId="77777777" w:rsidR="006B01BC" w:rsidRDefault="006B01BC" w:rsidP="006B01BC">
      <w:pPr>
        <w:jc w:val="center"/>
        <w:rPr>
          <w:b/>
          <w:color w:val="215E99" w:themeColor="text2" w:themeTint="BF"/>
          <w:sz w:val="28"/>
          <w:szCs w:val="28"/>
          <w:lang w:val="en"/>
        </w:rPr>
      </w:pPr>
    </w:p>
    <w:p w14:paraId="31739C40" w14:textId="77777777" w:rsidR="006B01BC" w:rsidRDefault="006B01BC" w:rsidP="006B01BC">
      <w:pPr>
        <w:jc w:val="center"/>
        <w:rPr>
          <w:b/>
          <w:color w:val="215E99" w:themeColor="text2" w:themeTint="BF"/>
          <w:sz w:val="28"/>
          <w:szCs w:val="28"/>
          <w:lang w:val="en"/>
        </w:rPr>
      </w:pPr>
    </w:p>
    <w:p w14:paraId="54B03DE9" w14:textId="77777777" w:rsidR="006B01BC" w:rsidRDefault="006B01BC" w:rsidP="006B01BC">
      <w:pPr>
        <w:jc w:val="center"/>
        <w:rPr>
          <w:b/>
          <w:color w:val="215E99" w:themeColor="text2" w:themeTint="BF"/>
          <w:sz w:val="28"/>
          <w:szCs w:val="28"/>
          <w:lang w:val="en"/>
        </w:rPr>
      </w:pPr>
    </w:p>
    <w:p w14:paraId="34645868" w14:textId="77777777" w:rsidR="006B01BC" w:rsidRDefault="006B01BC" w:rsidP="006B01BC">
      <w:pPr>
        <w:jc w:val="center"/>
        <w:rPr>
          <w:b/>
          <w:color w:val="215E99" w:themeColor="text2" w:themeTint="BF"/>
          <w:sz w:val="28"/>
          <w:szCs w:val="28"/>
          <w:lang w:val="en"/>
        </w:rPr>
      </w:pPr>
    </w:p>
    <w:p w14:paraId="08DCFCAB" w14:textId="77777777" w:rsidR="006B01BC" w:rsidRDefault="006B01BC" w:rsidP="006B01BC">
      <w:pPr>
        <w:jc w:val="center"/>
        <w:rPr>
          <w:b/>
          <w:color w:val="215E99" w:themeColor="text2" w:themeTint="BF"/>
          <w:sz w:val="28"/>
          <w:szCs w:val="28"/>
          <w:lang w:val="en"/>
        </w:rPr>
      </w:pPr>
    </w:p>
    <w:p w14:paraId="465D545C" w14:textId="77777777" w:rsidR="006B01BC" w:rsidRDefault="006B01BC" w:rsidP="006B01BC">
      <w:pPr>
        <w:jc w:val="center"/>
        <w:rPr>
          <w:b/>
          <w:color w:val="215E99" w:themeColor="text2" w:themeTint="BF"/>
          <w:sz w:val="28"/>
          <w:szCs w:val="28"/>
          <w:lang w:val="en"/>
        </w:rPr>
      </w:pPr>
    </w:p>
    <w:p w14:paraId="3A694534" w14:textId="77777777" w:rsidR="006B01BC" w:rsidRDefault="006B01BC" w:rsidP="006B01BC">
      <w:pPr>
        <w:jc w:val="center"/>
        <w:rPr>
          <w:b/>
          <w:color w:val="215E99" w:themeColor="text2" w:themeTint="BF"/>
          <w:sz w:val="28"/>
          <w:szCs w:val="28"/>
          <w:lang w:val="en"/>
        </w:rPr>
      </w:pPr>
    </w:p>
    <w:p w14:paraId="0EA1BAC0" w14:textId="77777777" w:rsidR="006B01BC" w:rsidRDefault="006B01BC" w:rsidP="006B01BC">
      <w:pPr>
        <w:jc w:val="center"/>
        <w:rPr>
          <w:b/>
          <w:color w:val="215E99" w:themeColor="text2" w:themeTint="BF"/>
          <w:sz w:val="28"/>
          <w:szCs w:val="28"/>
          <w:lang w:val="en"/>
        </w:rPr>
      </w:pPr>
    </w:p>
    <w:p w14:paraId="7F9D6673" w14:textId="7390A1F2" w:rsidR="006B01BC" w:rsidRPr="006B01BC" w:rsidRDefault="006B01BC" w:rsidP="006B01BC">
      <w:pPr>
        <w:jc w:val="center"/>
        <w:rPr>
          <w:b/>
          <w:color w:val="215E99" w:themeColor="text2" w:themeTint="BF"/>
          <w:sz w:val="28"/>
          <w:szCs w:val="28"/>
          <w:lang w:val="en"/>
        </w:rPr>
      </w:pPr>
      <w:r w:rsidRPr="006B01BC">
        <w:rPr>
          <w:b/>
          <w:color w:val="215E99" w:themeColor="text2" w:themeTint="BF"/>
          <w:sz w:val="28"/>
          <w:szCs w:val="28"/>
          <w:lang w:val="en"/>
        </w:rPr>
        <w:t>Lecturer: Mr. Nadeem Mirza</w:t>
      </w:r>
    </w:p>
    <w:p w14:paraId="5470591D" w14:textId="77777777" w:rsidR="006B01BC" w:rsidRPr="006B01BC" w:rsidRDefault="006B01BC" w:rsidP="006B01BC">
      <w:pPr>
        <w:jc w:val="center"/>
        <w:rPr>
          <w:b/>
          <w:color w:val="215E99" w:themeColor="text2" w:themeTint="BF"/>
          <w:sz w:val="28"/>
          <w:szCs w:val="28"/>
          <w:lang w:val="en"/>
        </w:rPr>
      </w:pPr>
      <w:r w:rsidRPr="006B01BC">
        <w:rPr>
          <w:b/>
          <w:color w:val="215E99" w:themeColor="text2" w:themeTint="BF"/>
          <w:sz w:val="28"/>
          <w:szCs w:val="28"/>
          <w:lang w:val="en"/>
        </w:rPr>
        <w:t>Student name – Alexandra Volosciuc</w:t>
      </w:r>
    </w:p>
    <w:p w14:paraId="74340E20" w14:textId="751799CE" w:rsidR="00064743" w:rsidRDefault="006B01BC" w:rsidP="006B01BC">
      <w:pPr>
        <w:jc w:val="center"/>
      </w:pPr>
      <w:r w:rsidRPr="006B01BC">
        <w:rPr>
          <w:b/>
          <w:color w:val="215E99" w:themeColor="text2" w:themeTint="BF"/>
          <w:sz w:val="28"/>
          <w:szCs w:val="28"/>
          <w:lang w:val="en"/>
        </w:rPr>
        <w:t>Student ID - 2229637</w:t>
      </w:r>
      <w:r w:rsidR="001E743A">
        <w:br w:type="page"/>
      </w:r>
    </w:p>
    <w:p w14:paraId="0C0EC908" w14:textId="77777777" w:rsidR="00064743" w:rsidRPr="00A55638" w:rsidRDefault="001E743A" w:rsidP="003D3FB7">
      <w:pPr>
        <w:pStyle w:val="Heading1"/>
        <w:spacing w:before="400" w:after="200" w:line="360" w:lineRule="auto"/>
        <w:rPr>
          <w:rFonts w:ascii="Arial" w:hAnsi="Arial" w:cs="Arial"/>
        </w:rPr>
      </w:pPr>
      <w:bookmarkStart w:id="0" w:name="_Toc237529936"/>
      <w:r w:rsidRPr="00A55638">
        <w:rPr>
          <w:rFonts w:ascii="Arial" w:hAnsi="Arial" w:cs="Arial"/>
          <w:b/>
          <w:bCs/>
          <w:color w:val="1F3864"/>
          <w:sz w:val="30"/>
          <w:szCs w:val="30"/>
        </w:rPr>
        <w:lastRenderedPageBreak/>
        <w:t>Executive Summary</w:t>
      </w:r>
      <w:bookmarkEnd w:id="0"/>
    </w:p>
    <w:p w14:paraId="00F591A1" w14:textId="6BFCD37C" w:rsidR="00064743" w:rsidRPr="00A55638" w:rsidRDefault="005007DC" w:rsidP="003D3FB7">
      <w:pPr>
        <w:spacing w:line="360" w:lineRule="auto"/>
        <w:rPr>
          <w:rFonts w:ascii="Arial" w:hAnsi="Arial" w:cs="Arial"/>
        </w:rPr>
      </w:pPr>
      <w:r w:rsidRPr="005007DC">
        <w:rPr>
          <w:rFonts w:ascii="Arial" w:hAnsi="Arial" w:cs="Arial"/>
        </w:rPr>
        <w:t>BMW Group UK is commercially strong but financially strained: 170,051 vehicles registered in 2025, over a quarter battery-electric, remaining the UK's best-selling premium marque (BMW Group UK, 2026), yet Group EBT fell 6.7 per cent amid tariffs and a weakening Chinese market (BMW Group, 2026b). Three pressures dominate: Chinese manufacturers now hold 14–16 per cent of UK registrations (Global Banking and Finance, 2026); the ZEV Mandate outpaces organic demand, driving discounting the SMMT (2026) calls unsustainable; and BMW's Neue Klasse platform still needs to convert engineering achievement into commercial advantage. The proposed strategy combines faster Neue Klasse rollout, UK production investment, and digital/service differentiation, backed by an implementation plan to rebuild margin through 2030.</w:t>
      </w:r>
      <w:r w:rsidR="001E743A" w:rsidRPr="00A55638">
        <w:rPr>
          <w:rFonts w:ascii="Arial" w:hAnsi="Arial" w:cs="Arial"/>
        </w:rPr>
        <w:br w:type="page"/>
      </w:r>
    </w:p>
    <w:p w14:paraId="67E081A3" w14:textId="77777777" w:rsidR="00064743" w:rsidRPr="00A55638" w:rsidRDefault="001E743A" w:rsidP="003D3FB7">
      <w:pPr>
        <w:pStyle w:val="Heading1"/>
        <w:spacing w:before="400" w:after="200" w:line="360" w:lineRule="auto"/>
        <w:rPr>
          <w:rFonts w:ascii="Arial" w:hAnsi="Arial" w:cs="Arial"/>
          <w:b/>
          <w:bCs/>
          <w:color w:val="1F3864"/>
          <w:sz w:val="30"/>
          <w:szCs w:val="30"/>
        </w:rPr>
      </w:pPr>
      <w:bookmarkStart w:id="1" w:name="_Toc237529937"/>
      <w:r w:rsidRPr="00A55638">
        <w:rPr>
          <w:rFonts w:ascii="Arial" w:hAnsi="Arial" w:cs="Arial"/>
          <w:b/>
          <w:bCs/>
          <w:color w:val="1F3864"/>
          <w:sz w:val="30"/>
          <w:szCs w:val="30"/>
        </w:rPr>
        <w:lastRenderedPageBreak/>
        <w:t>Table of Contents</w:t>
      </w:r>
      <w:bookmarkEnd w:id="1"/>
    </w:p>
    <w:p w14:paraId="639C0DED" w14:textId="77777777" w:rsidR="00CD3A3E" w:rsidRPr="00A55638" w:rsidRDefault="00CD3A3E" w:rsidP="003D3FB7">
      <w:pPr>
        <w:pStyle w:val="Heading1"/>
        <w:spacing w:before="400" w:after="200" w:line="360" w:lineRule="auto"/>
        <w:rPr>
          <w:rFonts w:ascii="Arial" w:hAnsi="Arial" w:cs="Arial"/>
        </w:rPr>
      </w:pPr>
    </w:p>
    <w:sdt>
      <w:sdtPr>
        <w:rPr>
          <w:rFonts w:ascii="Arial" w:hAnsi="Arial" w:cs="Arial"/>
          <w:b w:val="0"/>
          <w:bCs w:val="0"/>
          <w:caps w:val="0"/>
          <w:sz w:val="22"/>
          <w:szCs w:val="22"/>
        </w:rPr>
        <w:alias w:val="Table of Contents"/>
        <w:id w:val="1128046484"/>
      </w:sdtPr>
      <w:sdtEndPr/>
      <w:sdtContent>
        <w:p w14:paraId="28A8D2EE" w14:textId="764A8134" w:rsidR="00376B7B" w:rsidRPr="00A55638" w:rsidRDefault="00376B7B" w:rsidP="003D3FB7">
          <w:pPr>
            <w:pStyle w:val="TOC1"/>
            <w:tabs>
              <w:tab w:val="right" w:leader="dot" w:pos="9628"/>
            </w:tabs>
            <w:spacing w:line="360" w:lineRule="auto"/>
            <w:rPr>
              <w:rFonts w:ascii="Arial" w:eastAsiaTheme="minorEastAsia" w:hAnsi="Arial" w:cs="Arial"/>
              <w:b w:val="0"/>
              <w:bCs w:val="0"/>
              <w:caps w:val="0"/>
              <w:noProof/>
              <w:kern w:val="2"/>
              <w:sz w:val="24"/>
              <w:szCs w:val="24"/>
              <w:lang w:val="en-US" w:eastAsia="en-US"/>
              <w14:ligatures w14:val="standardContextual"/>
            </w:rPr>
          </w:pPr>
          <w:r w:rsidRPr="00A55638">
            <w:rPr>
              <w:rFonts w:ascii="Arial" w:hAnsi="Arial" w:cs="Arial"/>
            </w:rPr>
            <w:fldChar w:fldCharType="begin"/>
          </w:r>
          <w:r w:rsidRPr="00A55638">
            <w:rPr>
              <w:rFonts w:ascii="Arial" w:hAnsi="Arial" w:cs="Arial"/>
            </w:rPr>
            <w:instrText xml:space="preserve"> TOC \o "1-1" \h \z \u </w:instrText>
          </w:r>
          <w:r w:rsidRPr="00A55638">
            <w:rPr>
              <w:rFonts w:ascii="Arial" w:hAnsi="Arial" w:cs="Arial"/>
            </w:rPr>
            <w:fldChar w:fldCharType="separate"/>
          </w:r>
        </w:p>
        <w:p w14:paraId="6FB0CE13" w14:textId="195DEFF5" w:rsidR="00376B7B" w:rsidRPr="00A55638" w:rsidRDefault="00376B7B" w:rsidP="003D3FB7">
          <w:pPr>
            <w:pStyle w:val="TOC1"/>
            <w:tabs>
              <w:tab w:val="right" w:leader="dot" w:pos="9628"/>
            </w:tabs>
            <w:spacing w:line="360" w:lineRule="auto"/>
            <w:rPr>
              <w:rFonts w:ascii="Arial" w:eastAsiaTheme="minorEastAsia" w:hAnsi="Arial" w:cs="Arial"/>
              <w:b w:val="0"/>
              <w:bCs w:val="0"/>
              <w:caps w:val="0"/>
              <w:noProof/>
              <w:kern w:val="2"/>
              <w:sz w:val="24"/>
              <w:szCs w:val="24"/>
              <w:lang w:val="en-US" w:eastAsia="en-US"/>
              <w14:ligatures w14:val="standardContextual"/>
            </w:rPr>
          </w:pPr>
          <w:hyperlink w:anchor="_Toc237529938" w:history="1">
            <w:r w:rsidRPr="00A55638">
              <w:rPr>
                <w:rStyle w:val="Hyperlink"/>
                <w:rFonts w:ascii="Arial" w:hAnsi="Arial" w:cs="Arial"/>
                <w:noProof/>
              </w:rPr>
              <w:t>1. Introduction</w:t>
            </w:r>
            <w:r w:rsidRPr="00A55638">
              <w:rPr>
                <w:rFonts w:ascii="Arial" w:hAnsi="Arial" w:cs="Arial"/>
                <w:noProof/>
                <w:webHidden/>
              </w:rPr>
              <w:tab/>
            </w:r>
            <w:r w:rsidRPr="00A55638">
              <w:rPr>
                <w:rFonts w:ascii="Arial" w:hAnsi="Arial" w:cs="Arial"/>
                <w:noProof/>
                <w:webHidden/>
              </w:rPr>
              <w:fldChar w:fldCharType="begin"/>
            </w:r>
            <w:r w:rsidRPr="00A55638">
              <w:rPr>
                <w:rFonts w:ascii="Arial" w:hAnsi="Arial" w:cs="Arial"/>
                <w:noProof/>
                <w:webHidden/>
              </w:rPr>
              <w:instrText xml:space="preserve"> PAGEREF _Toc237529938 \h </w:instrText>
            </w:r>
            <w:r w:rsidRPr="00A55638">
              <w:rPr>
                <w:rFonts w:ascii="Arial" w:hAnsi="Arial" w:cs="Arial"/>
                <w:noProof/>
                <w:webHidden/>
              </w:rPr>
            </w:r>
            <w:r w:rsidRPr="00A55638">
              <w:rPr>
                <w:rFonts w:ascii="Arial" w:hAnsi="Arial" w:cs="Arial"/>
                <w:noProof/>
                <w:webHidden/>
              </w:rPr>
              <w:fldChar w:fldCharType="separate"/>
            </w:r>
            <w:r w:rsidRPr="00A55638">
              <w:rPr>
                <w:rFonts w:ascii="Arial" w:hAnsi="Arial" w:cs="Arial"/>
                <w:noProof/>
                <w:webHidden/>
              </w:rPr>
              <w:t>4</w:t>
            </w:r>
            <w:r w:rsidRPr="00A55638">
              <w:rPr>
                <w:rFonts w:ascii="Arial" w:hAnsi="Arial" w:cs="Arial"/>
                <w:noProof/>
                <w:webHidden/>
              </w:rPr>
              <w:fldChar w:fldCharType="end"/>
            </w:r>
          </w:hyperlink>
        </w:p>
        <w:p w14:paraId="6CDE9208" w14:textId="68473ABD" w:rsidR="00376B7B" w:rsidRPr="00A55638" w:rsidRDefault="00376B7B" w:rsidP="003D3FB7">
          <w:pPr>
            <w:pStyle w:val="TOC1"/>
            <w:tabs>
              <w:tab w:val="right" w:leader="dot" w:pos="9628"/>
            </w:tabs>
            <w:spacing w:line="360" w:lineRule="auto"/>
            <w:rPr>
              <w:rFonts w:ascii="Arial" w:eastAsiaTheme="minorEastAsia" w:hAnsi="Arial" w:cs="Arial"/>
              <w:b w:val="0"/>
              <w:bCs w:val="0"/>
              <w:caps w:val="0"/>
              <w:noProof/>
              <w:kern w:val="2"/>
              <w:sz w:val="24"/>
              <w:szCs w:val="24"/>
              <w:lang w:val="en-US" w:eastAsia="en-US"/>
              <w14:ligatures w14:val="standardContextual"/>
            </w:rPr>
          </w:pPr>
          <w:hyperlink w:anchor="_Toc237529939" w:history="1">
            <w:r w:rsidRPr="00A55638">
              <w:rPr>
                <w:rStyle w:val="Hyperlink"/>
                <w:rFonts w:ascii="Arial" w:hAnsi="Arial" w:cs="Arial"/>
                <w:noProof/>
              </w:rPr>
              <w:t>2. Company Background</w:t>
            </w:r>
            <w:r w:rsidRPr="00A55638">
              <w:rPr>
                <w:rFonts w:ascii="Arial" w:hAnsi="Arial" w:cs="Arial"/>
                <w:noProof/>
                <w:webHidden/>
              </w:rPr>
              <w:tab/>
            </w:r>
            <w:r w:rsidRPr="00A55638">
              <w:rPr>
                <w:rFonts w:ascii="Arial" w:hAnsi="Arial" w:cs="Arial"/>
                <w:noProof/>
                <w:webHidden/>
              </w:rPr>
              <w:fldChar w:fldCharType="begin"/>
            </w:r>
            <w:r w:rsidRPr="00A55638">
              <w:rPr>
                <w:rFonts w:ascii="Arial" w:hAnsi="Arial" w:cs="Arial"/>
                <w:noProof/>
                <w:webHidden/>
              </w:rPr>
              <w:instrText xml:space="preserve"> PAGEREF _Toc237529939 \h </w:instrText>
            </w:r>
            <w:r w:rsidRPr="00A55638">
              <w:rPr>
                <w:rFonts w:ascii="Arial" w:hAnsi="Arial" w:cs="Arial"/>
                <w:noProof/>
                <w:webHidden/>
              </w:rPr>
            </w:r>
            <w:r w:rsidRPr="00A55638">
              <w:rPr>
                <w:rFonts w:ascii="Arial" w:hAnsi="Arial" w:cs="Arial"/>
                <w:noProof/>
                <w:webHidden/>
              </w:rPr>
              <w:fldChar w:fldCharType="separate"/>
            </w:r>
            <w:r w:rsidRPr="00A55638">
              <w:rPr>
                <w:rFonts w:ascii="Arial" w:hAnsi="Arial" w:cs="Arial"/>
                <w:noProof/>
                <w:webHidden/>
              </w:rPr>
              <w:t>4</w:t>
            </w:r>
            <w:r w:rsidRPr="00A55638">
              <w:rPr>
                <w:rFonts w:ascii="Arial" w:hAnsi="Arial" w:cs="Arial"/>
                <w:noProof/>
                <w:webHidden/>
              </w:rPr>
              <w:fldChar w:fldCharType="end"/>
            </w:r>
          </w:hyperlink>
        </w:p>
        <w:p w14:paraId="319522BC" w14:textId="563DEDEA" w:rsidR="00376B7B" w:rsidRPr="00A55638" w:rsidRDefault="00376B7B" w:rsidP="003D3FB7">
          <w:pPr>
            <w:pStyle w:val="TOC1"/>
            <w:tabs>
              <w:tab w:val="right" w:leader="dot" w:pos="9628"/>
            </w:tabs>
            <w:spacing w:line="360" w:lineRule="auto"/>
            <w:rPr>
              <w:rFonts w:ascii="Arial" w:eastAsiaTheme="minorEastAsia" w:hAnsi="Arial" w:cs="Arial"/>
              <w:b w:val="0"/>
              <w:bCs w:val="0"/>
              <w:caps w:val="0"/>
              <w:noProof/>
              <w:kern w:val="2"/>
              <w:sz w:val="24"/>
              <w:szCs w:val="24"/>
              <w:lang w:val="en-US" w:eastAsia="en-US"/>
              <w14:ligatures w14:val="standardContextual"/>
            </w:rPr>
          </w:pPr>
          <w:hyperlink w:anchor="_Toc237529940" w:history="1">
            <w:r w:rsidRPr="00A55638">
              <w:rPr>
                <w:rStyle w:val="Hyperlink"/>
                <w:rFonts w:ascii="Arial" w:hAnsi="Arial" w:cs="Arial"/>
                <w:noProof/>
              </w:rPr>
              <w:t>3. Strategic Intent</w:t>
            </w:r>
            <w:r w:rsidRPr="00A55638">
              <w:rPr>
                <w:rFonts w:ascii="Arial" w:hAnsi="Arial" w:cs="Arial"/>
                <w:noProof/>
                <w:webHidden/>
              </w:rPr>
              <w:tab/>
            </w:r>
            <w:r w:rsidRPr="00A55638">
              <w:rPr>
                <w:rFonts w:ascii="Arial" w:hAnsi="Arial" w:cs="Arial"/>
                <w:noProof/>
                <w:webHidden/>
              </w:rPr>
              <w:fldChar w:fldCharType="begin"/>
            </w:r>
            <w:r w:rsidRPr="00A55638">
              <w:rPr>
                <w:rFonts w:ascii="Arial" w:hAnsi="Arial" w:cs="Arial"/>
                <w:noProof/>
                <w:webHidden/>
              </w:rPr>
              <w:instrText xml:space="preserve"> PAGEREF _Toc237529940 \h </w:instrText>
            </w:r>
            <w:r w:rsidRPr="00A55638">
              <w:rPr>
                <w:rFonts w:ascii="Arial" w:hAnsi="Arial" w:cs="Arial"/>
                <w:noProof/>
                <w:webHidden/>
              </w:rPr>
            </w:r>
            <w:r w:rsidRPr="00A55638">
              <w:rPr>
                <w:rFonts w:ascii="Arial" w:hAnsi="Arial" w:cs="Arial"/>
                <w:noProof/>
                <w:webHidden/>
              </w:rPr>
              <w:fldChar w:fldCharType="separate"/>
            </w:r>
            <w:r w:rsidRPr="00A55638">
              <w:rPr>
                <w:rFonts w:ascii="Arial" w:hAnsi="Arial" w:cs="Arial"/>
                <w:noProof/>
                <w:webHidden/>
              </w:rPr>
              <w:t>4</w:t>
            </w:r>
            <w:r w:rsidRPr="00A55638">
              <w:rPr>
                <w:rFonts w:ascii="Arial" w:hAnsi="Arial" w:cs="Arial"/>
                <w:noProof/>
                <w:webHidden/>
              </w:rPr>
              <w:fldChar w:fldCharType="end"/>
            </w:r>
          </w:hyperlink>
        </w:p>
        <w:p w14:paraId="41625A71" w14:textId="5B67BC4D" w:rsidR="00376B7B" w:rsidRPr="00A55638" w:rsidRDefault="00376B7B" w:rsidP="003D3FB7">
          <w:pPr>
            <w:pStyle w:val="TOC1"/>
            <w:tabs>
              <w:tab w:val="right" w:leader="dot" w:pos="9628"/>
            </w:tabs>
            <w:spacing w:line="360" w:lineRule="auto"/>
            <w:rPr>
              <w:rFonts w:ascii="Arial" w:eastAsiaTheme="minorEastAsia" w:hAnsi="Arial" w:cs="Arial"/>
              <w:b w:val="0"/>
              <w:bCs w:val="0"/>
              <w:caps w:val="0"/>
              <w:noProof/>
              <w:kern w:val="2"/>
              <w:sz w:val="24"/>
              <w:szCs w:val="24"/>
              <w:lang w:val="en-US" w:eastAsia="en-US"/>
              <w14:ligatures w14:val="standardContextual"/>
            </w:rPr>
          </w:pPr>
          <w:hyperlink w:anchor="_Toc237529941" w:history="1">
            <w:r w:rsidRPr="00A55638">
              <w:rPr>
                <w:rStyle w:val="Hyperlink"/>
                <w:rFonts w:ascii="Arial" w:hAnsi="Arial" w:cs="Arial"/>
                <w:noProof/>
              </w:rPr>
              <w:t>4. Current Company Performance</w:t>
            </w:r>
            <w:r w:rsidRPr="00A55638">
              <w:rPr>
                <w:rFonts w:ascii="Arial" w:hAnsi="Arial" w:cs="Arial"/>
                <w:noProof/>
                <w:webHidden/>
              </w:rPr>
              <w:tab/>
            </w:r>
            <w:r w:rsidRPr="00A55638">
              <w:rPr>
                <w:rFonts w:ascii="Arial" w:hAnsi="Arial" w:cs="Arial"/>
                <w:noProof/>
                <w:webHidden/>
              </w:rPr>
              <w:fldChar w:fldCharType="begin"/>
            </w:r>
            <w:r w:rsidRPr="00A55638">
              <w:rPr>
                <w:rFonts w:ascii="Arial" w:hAnsi="Arial" w:cs="Arial"/>
                <w:noProof/>
                <w:webHidden/>
              </w:rPr>
              <w:instrText xml:space="preserve"> PAGEREF _Toc237529941 \h </w:instrText>
            </w:r>
            <w:r w:rsidRPr="00A55638">
              <w:rPr>
                <w:rFonts w:ascii="Arial" w:hAnsi="Arial" w:cs="Arial"/>
                <w:noProof/>
                <w:webHidden/>
              </w:rPr>
            </w:r>
            <w:r w:rsidRPr="00A55638">
              <w:rPr>
                <w:rFonts w:ascii="Arial" w:hAnsi="Arial" w:cs="Arial"/>
                <w:noProof/>
                <w:webHidden/>
              </w:rPr>
              <w:fldChar w:fldCharType="separate"/>
            </w:r>
            <w:r w:rsidRPr="00A55638">
              <w:rPr>
                <w:rFonts w:ascii="Arial" w:hAnsi="Arial" w:cs="Arial"/>
                <w:noProof/>
                <w:webHidden/>
              </w:rPr>
              <w:t>5</w:t>
            </w:r>
            <w:r w:rsidRPr="00A55638">
              <w:rPr>
                <w:rFonts w:ascii="Arial" w:hAnsi="Arial" w:cs="Arial"/>
                <w:noProof/>
                <w:webHidden/>
              </w:rPr>
              <w:fldChar w:fldCharType="end"/>
            </w:r>
          </w:hyperlink>
        </w:p>
        <w:p w14:paraId="75347A36" w14:textId="340081CF" w:rsidR="00376B7B" w:rsidRPr="00A55638" w:rsidRDefault="00376B7B" w:rsidP="003D3FB7">
          <w:pPr>
            <w:pStyle w:val="TOC1"/>
            <w:tabs>
              <w:tab w:val="right" w:leader="dot" w:pos="9628"/>
            </w:tabs>
            <w:spacing w:line="360" w:lineRule="auto"/>
            <w:rPr>
              <w:rFonts w:ascii="Arial" w:eastAsiaTheme="minorEastAsia" w:hAnsi="Arial" w:cs="Arial"/>
              <w:b w:val="0"/>
              <w:bCs w:val="0"/>
              <w:caps w:val="0"/>
              <w:noProof/>
              <w:kern w:val="2"/>
              <w:sz w:val="24"/>
              <w:szCs w:val="24"/>
              <w:lang w:val="en-US" w:eastAsia="en-US"/>
              <w14:ligatures w14:val="standardContextual"/>
            </w:rPr>
          </w:pPr>
          <w:hyperlink w:anchor="_Toc237529942" w:history="1">
            <w:r w:rsidRPr="00A55638">
              <w:rPr>
                <w:rStyle w:val="Hyperlink"/>
                <w:rFonts w:ascii="Arial" w:hAnsi="Arial" w:cs="Arial"/>
                <w:noProof/>
              </w:rPr>
              <w:t>5. Strategy Analysis</w:t>
            </w:r>
            <w:r w:rsidRPr="00A55638">
              <w:rPr>
                <w:rFonts w:ascii="Arial" w:hAnsi="Arial" w:cs="Arial"/>
                <w:noProof/>
                <w:webHidden/>
              </w:rPr>
              <w:tab/>
            </w:r>
            <w:r w:rsidRPr="00A55638">
              <w:rPr>
                <w:rFonts w:ascii="Arial" w:hAnsi="Arial" w:cs="Arial"/>
                <w:noProof/>
                <w:webHidden/>
              </w:rPr>
              <w:fldChar w:fldCharType="begin"/>
            </w:r>
            <w:r w:rsidRPr="00A55638">
              <w:rPr>
                <w:rFonts w:ascii="Arial" w:hAnsi="Arial" w:cs="Arial"/>
                <w:noProof/>
                <w:webHidden/>
              </w:rPr>
              <w:instrText xml:space="preserve"> PAGEREF _Toc237529942 \h </w:instrText>
            </w:r>
            <w:r w:rsidRPr="00A55638">
              <w:rPr>
                <w:rFonts w:ascii="Arial" w:hAnsi="Arial" w:cs="Arial"/>
                <w:noProof/>
                <w:webHidden/>
              </w:rPr>
            </w:r>
            <w:r w:rsidRPr="00A55638">
              <w:rPr>
                <w:rFonts w:ascii="Arial" w:hAnsi="Arial" w:cs="Arial"/>
                <w:noProof/>
                <w:webHidden/>
              </w:rPr>
              <w:fldChar w:fldCharType="separate"/>
            </w:r>
            <w:r w:rsidRPr="00A55638">
              <w:rPr>
                <w:rFonts w:ascii="Arial" w:hAnsi="Arial" w:cs="Arial"/>
                <w:noProof/>
                <w:webHidden/>
              </w:rPr>
              <w:t>6</w:t>
            </w:r>
            <w:r w:rsidRPr="00A55638">
              <w:rPr>
                <w:rFonts w:ascii="Arial" w:hAnsi="Arial" w:cs="Arial"/>
                <w:noProof/>
                <w:webHidden/>
              </w:rPr>
              <w:fldChar w:fldCharType="end"/>
            </w:r>
          </w:hyperlink>
        </w:p>
        <w:p w14:paraId="79416FA9" w14:textId="6C6AA374" w:rsidR="00376B7B" w:rsidRPr="00A55638" w:rsidRDefault="00376B7B" w:rsidP="003D3FB7">
          <w:pPr>
            <w:pStyle w:val="TOC1"/>
            <w:tabs>
              <w:tab w:val="right" w:leader="dot" w:pos="9628"/>
            </w:tabs>
            <w:spacing w:line="360" w:lineRule="auto"/>
            <w:rPr>
              <w:rFonts w:ascii="Arial" w:eastAsiaTheme="minorEastAsia" w:hAnsi="Arial" w:cs="Arial"/>
              <w:b w:val="0"/>
              <w:bCs w:val="0"/>
              <w:caps w:val="0"/>
              <w:noProof/>
              <w:kern w:val="2"/>
              <w:sz w:val="24"/>
              <w:szCs w:val="24"/>
              <w:lang w:val="en-US" w:eastAsia="en-US"/>
              <w14:ligatures w14:val="standardContextual"/>
            </w:rPr>
          </w:pPr>
          <w:hyperlink w:anchor="_Toc237529943" w:history="1">
            <w:r w:rsidRPr="00A55638">
              <w:rPr>
                <w:rStyle w:val="Hyperlink"/>
                <w:rFonts w:ascii="Arial" w:hAnsi="Arial" w:cs="Arial"/>
                <w:noProof/>
              </w:rPr>
              <w:t>6. Strategy Formulation</w:t>
            </w:r>
            <w:r w:rsidRPr="00A55638">
              <w:rPr>
                <w:rFonts w:ascii="Arial" w:hAnsi="Arial" w:cs="Arial"/>
                <w:noProof/>
                <w:webHidden/>
              </w:rPr>
              <w:tab/>
            </w:r>
            <w:r w:rsidRPr="00A55638">
              <w:rPr>
                <w:rFonts w:ascii="Arial" w:hAnsi="Arial" w:cs="Arial"/>
                <w:noProof/>
                <w:webHidden/>
              </w:rPr>
              <w:fldChar w:fldCharType="begin"/>
            </w:r>
            <w:r w:rsidRPr="00A55638">
              <w:rPr>
                <w:rFonts w:ascii="Arial" w:hAnsi="Arial" w:cs="Arial"/>
                <w:noProof/>
                <w:webHidden/>
              </w:rPr>
              <w:instrText xml:space="preserve"> PAGEREF _Toc237529943 \h </w:instrText>
            </w:r>
            <w:r w:rsidRPr="00A55638">
              <w:rPr>
                <w:rFonts w:ascii="Arial" w:hAnsi="Arial" w:cs="Arial"/>
                <w:noProof/>
                <w:webHidden/>
              </w:rPr>
            </w:r>
            <w:r w:rsidRPr="00A55638">
              <w:rPr>
                <w:rFonts w:ascii="Arial" w:hAnsi="Arial" w:cs="Arial"/>
                <w:noProof/>
                <w:webHidden/>
              </w:rPr>
              <w:fldChar w:fldCharType="separate"/>
            </w:r>
            <w:r w:rsidRPr="00A55638">
              <w:rPr>
                <w:rFonts w:ascii="Arial" w:hAnsi="Arial" w:cs="Arial"/>
                <w:noProof/>
                <w:webHidden/>
              </w:rPr>
              <w:t>8</w:t>
            </w:r>
            <w:r w:rsidRPr="00A55638">
              <w:rPr>
                <w:rFonts w:ascii="Arial" w:hAnsi="Arial" w:cs="Arial"/>
                <w:noProof/>
                <w:webHidden/>
              </w:rPr>
              <w:fldChar w:fldCharType="end"/>
            </w:r>
          </w:hyperlink>
        </w:p>
        <w:p w14:paraId="5E65A4F2" w14:textId="6CE64C20" w:rsidR="00376B7B" w:rsidRPr="00A55638" w:rsidRDefault="00376B7B" w:rsidP="003D3FB7">
          <w:pPr>
            <w:pStyle w:val="TOC1"/>
            <w:tabs>
              <w:tab w:val="right" w:leader="dot" w:pos="9628"/>
            </w:tabs>
            <w:spacing w:line="360" w:lineRule="auto"/>
            <w:rPr>
              <w:rFonts w:ascii="Arial" w:eastAsiaTheme="minorEastAsia" w:hAnsi="Arial" w:cs="Arial"/>
              <w:b w:val="0"/>
              <w:bCs w:val="0"/>
              <w:caps w:val="0"/>
              <w:noProof/>
              <w:kern w:val="2"/>
              <w:sz w:val="24"/>
              <w:szCs w:val="24"/>
              <w:lang w:val="en-US" w:eastAsia="en-US"/>
              <w14:ligatures w14:val="standardContextual"/>
            </w:rPr>
          </w:pPr>
          <w:hyperlink w:anchor="_Toc237529944" w:history="1">
            <w:r w:rsidRPr="00A55638">
              <w:rPr>
                <w:rStyle w:val="Hyperlink"/>
                <w:rFonts w:ascii="Arial" w:hAnsi="Arial" w:cs="Arial"/>
                <w:noProof/>
              </w:rPr>
              <w:t>7. Conclusion and Recommendations</w:t>
            </w:r>
            <w:r w:rsidRPr="00A55638">
              <w:rPr>
                <w:rFonts w:ascii="Arial" w:hAnsi="Arial" w:cs="Arial"/>
                <w:noProof/>
                <w:webHidden/>
              </w:rPr>
              <w:tab/>
            </w:r>
            <w:r w:rsidRPr="00A55638">
              <w:rPr>
                <w:rFonts w:ascii="Arial" w:hAnsi="Arial" w:cs="Arial"/>
                <w:noProof/>
                <w:webHidden/>
              </w:rPr>
              <w:fldChar w:fldCharType="begin"/>
            </w:r>
            <w:r w:rsidRPr="00A55638">
              <w:rPr>
                <w:rFonts w:ascii="Arial" w:hAnsi="Arial" w:cs="Arial"/>
                <w:noProof/>
                <w:webHidden/>
              </w:rPr>
              <w:instrText xml:space="preserve"> PAGEREF _Toc237529944 \h </w:instrText>
            </w:r>
            <w:r w:rsidRPr="00A55638">
              <w:rPr>
                <w:rFonts w:ascii="Arial" w:hAnsi="Arial" w:cs="Arial"/>
                <w:noProof/>
                <w:webHidden/>
              </w:rPr>
            </w:r>
            <w:r w:rsidRPr="00A55638">
              <w:rPr>
                <w:rFonts w:ascii="Arial" w:hAnsi="Arial" w:cs="Arial"/>
                <w:noProof/>
                <w:webHidden/>
              </w:rPr>
              <w:fldChar w:fldCharType="separate"/>
            </w:r>
            <w:r w:rsidRPr="00A55638">
              <w:rPr>
                <w:rFonts w:ascii="Arial" w:hAnsi="Arial" w:cs="Arial"/>
                <w:noProof/>
                <w:webHidden/>
              </w:rPr>
              <w:t>10</w:t>
            </w:r>
            <w:r w:rsidRPr="00A55638">
              <w:rPr>
                <w:rFonts w:ascii="Arial" w:hAnsi="Arial" w:cs="Arial"/>
                <w:noProof/>
                <w:webHidden/>
              </w:rPr>
              <w:fldChar w:fldCharType="end"/>
            </w:r>
          </w:hyperlink>
        </w:p>
        <w:p w14:paraId="7C75D02C" w14:textId="50231CCB" w:rsidR="00376B7B" w:rsidRPr="00A55638" w:rsidRDefault="00376B7B" w:rsidP="003D3FB7">
          <w:pPr>
            <w:pStyle w:val="TOC1"/>
            <w:tabs>
              <w:tab w:val="right" w:leader="dot" w:pos="9628"/>
            </w:tabs>
            <w:spacing w:line="360" w:lineRule="auto"/>
            <w:rPr>
              <w:rFonts w:ascii="Arial" w:eastAsiaTheme="minorEastAsia" w:hAnsi="Arial" w:cs="Arial"/>
              <w:b w:val="0"/>
              <w:bCs w:val="0"/>
              <w:caps w:val="0"/>
              <w:noProof/>
              <w:kern w:val="2"/>
              <w:sz w:val="24"/>
              <w:szCs w:val="24"/>
              <w:lang w:val="en-US" w:eastAsia="en-US"/>
              <w14:ligatures w14:val="standardContextual"/>
            </w:rPr>
          </w:pPr>
          <w:hyperlink w:anchor="_Toc237529945" w:history="1">
            <w:r w:rsidRPr="00A55638">
              <w:rPr>
                <w:rStyle w:val="Hyperlink"/>
                <w:rFonts w:ascii="Arial" w:hAnsi="Arial" w:cs="Arial"/>
                <w:noProof/>
              </w:rPr>
              <w:t>References</w:t>
            </w:r>
            <w:r w:rsidRPr="00A55638">
              <w:rPr>
                <w:rFonts w:ascii="Arial" w:hAnsi="Arial" w:cs="Arial"/>
                <w:noProof/>
                <w:webHidden/>
              </w:rPr>
              <w:tab/>
            </w:r>
            <w:r w:rsidRPr="00A55638">
              <w:rPr>
                <w:rFonts w:ascii="Arial" w:hAnsi="Arial" w:cs="Arial"/>
                <w:noProof/>
                <w:webHidden/>
              </w:rPr>
              <w:fldChar w:fldCharType="begin"/>
            </w:r>
            <w:r w:rsidRPr="00A55638">
              <w:rPr>
                <w:rFonts w:ascii="Arial" w:hAnsi="Arial" w:cs="Arial"/>
                <w:noProof/>
                <w:webHidden/>
              </w:rPr>
              <w:instrText xml:space="preserve"> PAGEREF _Toc237529945 \h </w:instrText>
            </w:r>
            <w:r w:rsidRPr="00A55638">
              <w:rPr>
                <w:rFonts w:ascii="Arial" w:hAnsi="Arial" w:cs="Arial"/>
                <w:noProof/>
                <w:webHidden/>
              </w:rPr>
            </w:r>
            <w:r w:rsidRPr="00A55638">
              <w:rPr>
                <w:rFonts w:ascii="Arial" w:hAnsi="Arial" w:cs="Arial"/>
                <w:noProof/>
                <w:webHidden/>
              </w:rPr>
              <w:fldChar w:fldCharType="separate"/>
            </w:r>
            <w:r w:rsidRPr="00A55638">
              <w:rPr>
                <w:rFonts w:ascii="Arial" w:hAnsi="Arial" w:cs="Arial"/>
                <w:noProof/>
                <w:webHidden/>
              </w:rPr>
              <w:t>12</w:t>
            </w:r>
            <w:r w:rsidRPr="00A55638">
              <w:rPr>
                <w:rFonts w:ascii="Arial" w:hAnsi="Arial" w:cs="Arial"/>
                <w:noProof/>
                <w:webHidden/>
              </w:rPr>
              <w:fldChar w:fldCharType="end"/>
            </w:r>
          </w:hyperlink>
        </w:p>
        <w:p w14:paraId="1012EE4A" w14:textId="4EC01647" w:rsidR="00064743" w:rsidRPr="00A55638" w:rsidRDefault="00376B7B" w:rsidP="003D3FB7">
          <w:pPr>
            <w:spacing w:line="360" w:lineRule="auto"/>
            <w:rPr>
              <w:rFonts w:ascii="Arial" w:hAnsi="Arial" w:cs="Arial"/>
            </w:rPr>
          </w:pPr>
          <w:r w:rsidRPr="00A55638">
            <w:rPr>
              <w:rFonts w:ascii="Arial" w:hAnsi="Arial" w:cs="Arial"/>
            </w:rPr>
            <w:fldChar w:fldCharType="end"/>
          </w:r>
        </w:p>
      </w:sdtContent>
    </w:sdt>
    <w:p w14:paraId="414C5676" w14:textId="77777777" w:rsidR="00064743" w:rsidRPr="00A55638" w:rsidRDefault="001E743A" w:rsidP="003D3FB7">
      <w:pPr>
        <w:spacing w:line="360" w:lineRule="auto"/>
        <w:rPr>
          <w:rFonts w:ascii="Arial" w:hAnsi="Arial" w:cs="Arial"/>
        </w:rPr>
      </w:pPr>
      <w:r w:rsidRPr="00A55638">
        <w:rPr>
          <w:rFonts w:ascii="Arial" w:hAnsi="Arial" w:cs="Arial"/>
        </w:rPr>
        <w:br w:type="page"/>
      </w:r>
    </w:p>
    <w:p w14:paraId="289DD4F2" w14:textId="77777777" w:rsidR="00064743" w:rsidRPr="00A55638" w:rsidRDefault="001E743A" w:rsidP="003D3FB7">
      <w:pPr>
        <w:pStyle w:val="Heading1"/>
        <w:spacing w:before="400" w:after="200" w:line="360" w:lineRule="auto"/>
        <w:rPr>
          <w:rFonts w:ascii="Arial" w:hAnsi="Arial" w:cs="Arial"/>
        </w:rPr>
      </w:pPr>
      <w:bookmarkStart w:id="2" w:name="_Toc237529938"/>
      <w:r w:rsidRPr="00A55638">
        <w:rPr>
          <w:rFonts w:ascii="Arial" w:hAnsi="Arial" w:cs="Arial"/>
          <w:b/>
          <w:bCs/>
          <w:color w:val="1F3864"/>
          <w:sz w:val="30"/>
          <w:szCs w:val="30"/>
        </w:rPr>
        <w:lastRenderedPageBreak/>
        <w:t>1. Introduction</w:t>
      </w:r>
      <w:bookmarkEnd w:id="2"/>
    </w:p>
    <w:p w14:paraId="220CE23D" w14:textId="723CB18E" w:rsidR="003F410A" w:rsidRDefault="00CD2B64" w:rsidP="003D3FB7">
      <w:pPr>
        <w:pStyle w:val="Heading1"/>
        <w:spacing w:before="400" w:after="200" w:line="360" w:lineRule="auto"/>
        <w:rPr>
          <w:rFonts w:ascii="Arial" w:hAnsi="Arial" w:cs="Arial"/>
          <w:color w:val="auto"/>
          <w:sz w:val="22"/>
          <w:szCs w:val="22"/>
        </w:rPr>
      </w:pPr>
      <w:bookmarkStart w:id="3" w:name="_Toc237529939"/>
      <w:r w:rsidRPr="00CD2B64">
        <w:rPr>
          <w:rFonts w:ascii="Arial" w:hAnsi="Arial" w:cs="Arial"/>
          <w:color w:val="auto"/>
          <w:sz w:val="22"/>
          <w:szCs w:val="22"/>
        </w:rPr>
        <w:t>Strategy, per Johnson, Scholes and Whittington (2017), is an organisation's long-term direction and resource configuration to build competitive advantage — a framing especially relevant in automotive manufacturing, where firms commit to platforms years ahead of market certainty. Grant (2021) argues structured planning helps close the gap between intent and actual resource allocation. But Mintzberg's (1978) deliberate/emergent distinction is a useful check: plans rarely survive contact with reality, and much of what counts as "strategy" is improvisation under pressure — a pattern visible in BMW's recent handling of regulatory and competitive shocks.</w:t>
      </w:r>
      <w:r w:rsidRPr="0008691C">
        <w:rPr>
          <w:rFonts w:ascii="Arial" w:hAnsi="Arial" w:cs="Arial"/>
          <w:color w:val="auto"/>
          <w:sz w:val="22"/>
          <w:szCs w:val="22"/>
        </w:rPr>
        <w:t xml:space="preserve"> The</w:t>
      </w:r>
      <w:r w:rsidR="0008691C" w:rsidRPr="0008691C">
        <w:rPr>
          <w:rFonts w:ascii="Arial" w:hAnsi="Arial" w:cs="Arial"/>
          <w:color w:val="auto"/>
          <w:sz w:val="22"/>
          <w:szCs w:val="22"/>
        </w:rPr>
        <w:t xml:space="preserve"> report </w:t>
      </w:r>
      <w:r w:rsidR="003F410A" w:rsidRPr="0008691C">
        <w:rPr>
          <w:rFonts w:ascii="Arial" w:hAnsi="Arial" w:cs="Arial"/>
          <w:color w:val="auto"/>
          <w:sz w:val="22"/>
          <w:szCs w:val="22"/>
        </w:rPr>
        <w:t>analyses</w:t>
      </w:r>
      <w:r w:rsidR="0008691C" w:rsidRPr="0008691C">
        <w:rPr>
          <w:rFonts w:ascii="Arial" w:hAnsi="Arial" w:cs="Arial"/>
          <w:color w:val="auto"/>
          <w:sz w:val="22"/>
          <w:szCs w:val="22"/>
        </w:rPr>
        <w:t xml:space="preserve"> BMW Group's position in the UK automotive industry, focusing on addressing electrification, digitalization, and competition, and concludes with a practical implementation plan. BMW Group, headquartered in Munich, manufactures premium brands like BMW, MINI, Rolls-Royce, and BMW Motorrad, with a substantial manufacturing presence in the UK.</w:t>
      </w:r>
    </w:p>
    <w:p w14:paraId="1A520BAA" w14:textId="663F3624" w:rsidR="00064743" w:rsidRPr="00A55638" w:rsidRDefault="001E743A" w:rsidP="003D3FB7">
      <w:pPr>
        <w:pStyle w:val="Heading1"/>
        <w:spacing w:before="400" w:after="200" w:line="360" w:lineRule="auto"/>
        <w:rPr>
          <w:rFonts w:ascii="Arial" w:hAnsi="Arial" w:cs="Arial"/>
        </w:rPr>
      </w:pPr>
      <w:r w:rsidRPr="00A55638">
        <w:rPr>
          <w:rFonts w:ascii="Arial" w:hAnsi="Arial" w:cs="Arial"/>
          <w:b/>
          <w:bCs/>
          <w:color w:val="1F3864"/>
          <w:sz w:val="30"/>
          <w:szCs w:val="30"/>
        </w:rPr>
        <w:t>2. Company Background</w:t>
      </w:r>
      <w:bookmarkEnd w:id="3"/>
    </w:p>
    <w:p w14:paraId="136F8541" w14:textId="470D5784" w:rsidR="00505741" w:rsidRPr="00505741" w:rsidRDefault="00505741" w:rsidP="00505741">
      <w:pPr>
        <w:spacing w:after="200" w:line="360" w:lineRule="auto"/>
        <w:jc w:val="both"/>
        <w:rPr>
          <w:rFonts w:ascii="Arial" w:hAnsi="Arial" w:cs="Arial"/>
          <w:lang w:val="en-US"/>
        </w:rPr>
      </w:pPr>
      <w:r w:rsidRPr="00505741">
        <w:rPr>
          <w:rFonts w:ascii="Arial" w:hAnsi="Arial" w:cs="Arial"/>
          <w:lang w:val="en-US"/>
        </w:rPr>
        <w:t>BMW began in 1916 as an aircraft-engine manufacturer, moving into motorcycles and then automobiles from 1928 (BMW Group, 2026a) a history that still underpins its engineering credibility. The modern Group spans four brands (BMW, MINI, Rolls-Royce, BMW Motorrad) across four segments, including Financial Services, which is now a genuine earnings driver: leasing made up 40 per cent of new business by mid-2025 (BMW Group, 2025; Forbes, 2026).</w:t>
      </w:r>
    </w:p>
    <w:p w14:paraId="41DBF293" w14:textId="479403F4" w:rsidR="00505741" w:rsidRPr="00A43169" w:rsidRDefault="00505741" w:rsidP="00A43169">
      <w:pPr>
        <w:spacing w:after="200" w:line="360" w:lineRule="auto"/>
        <w:jc w:val="both"/>
        <w:rPr>
          <w:rFonts w:ascii="Arial" w:hAnsi="Arial" w:cs="Arial"/>
          <w:lang w:val="en-US"/>
        </w:rPr>
      </w:pPr>
      <w:r w:rsidRPr="00505741">
        <w:rPr>
          <w:rFonts w:ascii="Arial" w:hAnsi="Arial" w:cs="Arial"/>
          <w:lang w:val="en-US"/>
        </w:rPr>
        <w:t>The four-brand structure lets BMW span multiple premium tiers while sharing platforms to control costs. In the UK, this is backed by over £3 billion invested since 2000 across Oxford, Swindon and Hams Hall, with Oxford converting to all-electric MINI production by 2030 (BMW Group, 2023). BMW was the UK's second best-selling marque and top premium brand in 2025, competing against Mercedes-Benz, Audi and Jaguar Land Rover, with newer pressure from Tesla and BYD.</w:t>
      </w:r>
      <w:bookmarkStart w:id="4" w:name="_Toc237529940"/>
    </w:p>
    <w:p w14:paraId="261E1D45" w14:textId="567782A6" w:rsidR="00064743" w:rsidRPr="00A55638" w:rsidRDefault="001E743A" w:rsidP="003D3FB7">
      <w:pPr>
        <w:pStyle w:val="Heading1"/>
        <w:spacing w:before="400" w:after="200" w:line="360" w:lineRule="auto"/>
        <w:rPr>
          <w:rFonts w:ascii="Arial" w:hAnsi="Arial" w:cs="Arial"/>
        </w:rPr>
      </w:pPr>
      <w:r w:rsidRPr="00A55638">
        <w:rPr>
          <w:rFonts w:ascii="Arial" w:hAnsi="Arial" w:cs="Arial"/>
          <w:b/>
          <w:bCs/>
          <w:color w:val="1F3864"/>
          <w:sz w:val="30"/>
          <w:szCs w:val="30"/>
        </w:rPr>
        <w:t>3. Strategic Intent</w:t>
      </w:r>
      <w:bookmarkEnd w:id="4"/>
    </w:p>
    <w:p w14:paraId="10571F3C" w14:textId="77777777" w:rsidR="00C534A7" w:rsidRPr="00C534A7" w:rsidRDefault="00C534A7" w:rsidP="00C534A7">
      <w:pPr>
        <w:spacing w:after="200" w:line="360" w:lineRule="auto"/>
        <w:jc w:val="both"/>
        <w:rPr>
          <w:rFonts w:ascii="Arial" w:hAnsi="Arial" w:cs="Arial"/>
          <w:lang w:val="en-US"/>
        </w:rPr>
      </w:pPr>
      <w:r w:rsidRPr="00C534A7">
        <w:rPr>
          <w:rFonts w:ascii="Arial" w:hAnsi="Arial" w:cs="Arial"/>
          <w:lang w:val="en-US"/>
        </w:rPr>
        <w:t>BMW's vision — mobility "more human, intelligent and responsible" — rests on three pillars: brands and electrification, technology, sustainability (BMW Group Investor Relations, 2026). The concrete target behind it is roughly 50 per cent EV sales by 2030, with MINI faster still (BMWBlog, 2026), but EV share actually dipped from 17.9 per cent (2025) to 17.7 per cent in H1 2026 (BMWBlog, 2026), with nothing suggesting the needed acceleration is underway. Sustainability runs alongside electrification: net zero by 2050, with 40 million tonnes of CO</w:t>
      </w:r>
      <w:r w:rsidRPr="00C534A7">
        <w:rPr>
          <w:rFonts w:ascii="Cambria Math" w:hAnsi="Cambria Math" w:cs="Cambria Math"/>
          <w:lang w:val="en-US"/>
        </w:rPr>
        <w:t>₂</w:t>
      </w:r>
      <w:r w:rsidRPr="00C534A7">
        <w:rPr>
          <w:rFonts w:ascii="Arial" w:hAnsi="Arial" w:cs="Arial"/>
          <w:lang w:val="en-US"/>
        </w:rPr>
        <w:t xml:space="preserve"> savings targeted by 2030 (BMW Group, 2026c), delivered via solid-state batteries and Neue Klasse.</w:t>
      </w:r>
    </w:p>
    <w:p w14:paraId="7955F924" w14:textId="77777777" w:rsidR="00C534A7" w:rsidRPr="00C534A7" w:rsidRDefault="00C534A7" w:rsidP="00C534A7">
      <w:pPr>
        <w:spacing w:after="200" w:line="360" w:lineRule="auto"/>
        <w:jc w:val="both"/>
        <w:rPr>
          <w:rFonts w:ascii="Arial" w:hAnsi="Arial" w:cs="Arial"/>
          <w:lang w:val="en-US"/>
        </w:rPr>
      </w:pPr>
      <w:r w:rsidRPr="00C534A7">
        <w:rPr>
          <w:rFonts w:ascii="Arial" w:hAnsi="Arial" w:cs="Arial"/>
          <w:lang w:val="en-US"/>
        </w:rPr>
        <w:lastRenderedPageBreak/>
        <w:t>Against the UK, the picture is more encouraging: the ZEV Mandate requires 33 per cent BEV sales in 2026 (SMMT, 2026), and BMW UK's 28.1 per cent 2025 share sits closer to that than the global average — though achieved through discounting SMMT calls unsustainable. The gap is being closed through margin sacrifice, not demand growth.</w:t>
      </w:r>
    </w:p>
    <w:p w14:paraId="7E3DD3DF" w14:textId="77777777" w:rsidR="00C534A7" w:rsidRPr="00C534A7" w:rsidRDefault="00C534A7" w:rsidP="003D3FB7">
      <w:pPr>
        <w:spacing w:after="200" w:line="360" w:lineRule="auto"/>
        <w:jc w:val="both"/>
        <w:rPr>
          <w:rFonts w:ascii="Arial" w:hAnsi="Arial" w:cs="Arial"/>
          <w:lang w:val="en-US"/>
        </w:rPr>
      </w:pPr>
    </w:p>
    <w:p w14:paraId="3F8E891D" w14:textId="77777777" w:rsidR="00064743" w:rsidRPr="00A55638" w:rsidRDefault="001E743A" w:rsidP="003D3FB7">
      <w:pPr>
        <w:pStyle w:val="Heading1"/>
        <w:spacing w:before="400" w:after="200" w:line="360" w:lineRule="auto"/>
        <w:rPr>
          <w:rFonts w:ascii="Arial" w:hAnsi="Arial" w:cs="Arial"/>
        </w:rPr>
      </w:pPr>
      <w:bookmarkStart w:id="5" w:name="_Toc237529941"/>
      <w:r w:rsidRPr="00A55638">
        <w:rPr>
          <w:rFonts w:ascii="Arial" w:hAnsi="Arial" w:cs="Arial"/>
          <w:b/>
          <w:bCs/>
          <w:color w:val="1F3864"/>
          <w:sz w:val="30"/>
          <w:szCs w:val="30"/>
        </w:rPr>
        <w:t>4. Current Company Performance</w:t>
      </w:r>
      <w:bookmarkEnd w:id="5"/>
    </w:p>
    <w:p w14:paraId="5A2EEEAE" w14:textId="77777777" w:rsidR="00064743" w:rsidRPr="00A55638" w:rsidRDefault="001E743A" w:rsidP="003D3FB7">
      <w:pPr>
        <w:spacing w:after="200" w:line="360" w:lineRule="auto"/>
        <w:jc w:val="both"/>
        <w:rPr>
          <w:rFonts w:ascii="Arial" w:hAnsi="Arial" w:cs="Arial"/>
        </w:rPr>
      </w:pPr>
      <w:r w:rsidRPr="00A55638">
        <w:rPr>
          <w:rFonts w:ascii="Arial" w:hAnsi="Arial" w:cs="Arial"/>
        </w:rPr>
        <w:t>BMW's 2025 results show resilience under strain rather than straightforward success. Group revenue was €133.5 billion, down 6.3 per cent; earnings before tax fell 6.7 per cent to €10.2 billion; net profit dropped 3.0 per cent to €7.45 billion (MarkLines, 2026). The Automotive segment's EBIT margin narrowed from 6.3 to 5.3 per cent — still within target, but only just — with tariffs and softer Chinese demand cited as the main causes (BMW Group, 2026b). Figure 1 sets the two years side by side.</w:t>
      </w:r>
    </w:p>
    <w:p w14:paraId="55877E8C" w14:textId="77777777" w:rsidR="00064743" w:rsidRPr="00A55638" w:rsidRDefault="001E743A" w:rsidP="003D3FB7">
      <w:pPr>
        <w:spacing w:before="200" w:after="80" w:line="360" w:lineRule="auto"/>
        <w:jc w:val="center"/>
        <w:rPr>
          <w:rFonts w:ascii="Arial" w:hAnsi="Arial" w:cs="Arial"/>
        </w:rPr>
      </w:pPr>
      <w:r w:rsidRPr="00A55638">
        <w:rPr>
          <w:rFonts w:ascii="Arial" w:hAnsi="Arial" w:cs="Arial"/>
          <w:noProof/>
        </w:rPr>
        <w:drawing>
          <wp:inline distT="0" distB="0" distL="0" distR="0" wp14:anchorId="5B9478E9" wp14:editId="69EF609B">
            <wp:extent cx="4572000" cy="274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572000" cy="2743200"/>
                    </a:xfrm>
                    <a:prstGeom prst="rect">
                      <a:avLst/>
                    </a:prstGeom>
                  </pic:spPr>
                </pic:pic>
              </a:graphicData>
            </a:graphic>
          </wp:inline>
        </w:drawing>
      </w:r>
    </w:p>
    <w:p w14:paraId="4A0EABEE" w14:textId="77777777" w:rsidR="00064743" w:rsidRPr="00A55638" w:rsidRDefault="001E743A" w:rsidP="003D3FB7">
      <w:pPr>
        <w:spacing w:before="100" w:after="300" w:line="360" w:lineRule="auto"/>
        <w:jc w:val="center"/>
        <w:rPr>
          <w:rFonts w:ascii="Arial" w:hAnsi="Arial" w:cs="Arial"/>
        </w:rPr>
      </w:pPr>
      <w:r w:rsidRPr="00A55638">
        <w:rPr>
          <w:rFonts w:ascii="Arial" w:hAnsi="Arial" w:cs="Arial"/>
          <w:i/>
          <w:iCs/>
          <w:color w:val="595959"/>
          <w:sz w:val="20"/>
          <w:szCs w:val="20"/>
        </w:rPr>
        <w:t>Figure 1: BMW Group financial performance, 2024 vs 2025. Source: compiled from MarkLines (2026) and BMW Group (2026b).</w:t>
      </w:r>
    </w:p>
    <w:p w14:paraId="7ACDB184" w14:textId="435CC4DA" w:rsidR="00000E83" w:rsidRPr="00000E83" w:rsidRDefault="00000E83" w:rsidP="00000E83">
      <w:pPr>
        <w:spacing w:after="200" w:line="360" w:lineRule="auto"/>
        <w:jc w:val="both"/>
        <w:rPr>
          <w:rFonts w:ascii="Arial" w:hAnsi="Arial" w:cs="Arial"/>
          <w:lang w:val="en-US"/>
        </w:rPr>
      </w:pPr>
      <w:r w:rsidRPr="00000E83">
        <w:rPr>
          <w:rFonts w:ascii="Arial" w:hAnsi="Arial" w:cs="Arial"/>
          <w:lang w:val="en-US"/>
        </w:rPr>
        <w:t xml:space="preserve">BMW Group UK recorded 170,051 registrations in 2025, remaining the second best-selling marque overall (BMW Group UK, 2026), though BMW-brand registrations fell slightly (125,265 to 122,723) — growth was carried by MINI. BMW and MINI reached 28.1 per cent BEV share, close to the ZEV Mandate's 33 per cent threshold, as BMW's global EV share slips. BMW holds its ground against Mercedes-Benz, Audi and JLR, but BYD overtook BMW and Tesla in UK EV sales, part of a surge pushing Chinese brands to 14–16 per cent of UK registrations (Regit, 2026). Sustainability progress is self-reported and warrants </w:t>
      </w:r>
      <w:r w:rsidR="00683C0A" w:rsidRPr="00000E83">
        <w:rPr>
          <w:rFonts w:ascii="Arial" w:hAnsi="Arial" w:cs="Arial"/>
          <w:lang w:val="en-US"/>
        </w:rPr>
        <w:t>skepticism</w:t>
      </w:r>
      <w:r w:rsidRPr="00000E83">
        <w:rPr>
          <w:rFonts w:ascii="Arial" w:hAnsi="Arial" w:cs="Arial"/>
          <w:lang w:val="en-US"/>
        </w:rPr>
        <w:t>.</w:t>
      </w:r>
    </w:p>
    <w:p w14:paraId="08DA368B" w14:textId="1D40D5E9" w:rsidR="00871CB2" w:rsidRDefault="00000E83" w:rsidP="00683C0A">
      <w:pPr>
        <w:spacing w:after="200" w:line="360" w:lineRule="auto"/>
        <w:jc w:val="both"/>
        <w:rPr>
          <w:rFonts w:ascii="Arial" w:hAnsi="Arial" w:cs="Arial"/>
          <w:lang w:val="en-US"/>
        </w:rPr>
      </w:pPr>
      <w:r w:rsidRPr="00000E83">
        <w:rPr>
          <w:rFonts w:ascii="Arial" w:hAnsi="Arial" w:cs="Arial"/>
          <w:lang w:val="en-US"/>
        </w:rPr>
        <w:lastRenderedPageBreak/>
        <w:t>Sector-wide, the ZEV Mandate forces average EV discounts of roughly £11,000 per vehicle (SMMT, 2026), and the 2025 JLR cyberattack cost the UK economy £1.9 billion (Infor, 2026), alongside high energy costs and persistent inflation. BMW UK's 2025 position looks solid on paper but structurally pressured.</w:t>
      </w:r>
      <w:bookmarkStart w:id="6" w:name="_Toc237529942"/>
    </w:p>
    <w:p w14:paraId="4F727D7B" w14:textId="77777777" w:rsidR="00683C0A" w:rsidRPr="00683C0A" w:rsidRDefault="00683C0A" w:rsidP="00683C0A">
      <w:pPr>
        <w:spacing w:after="200" w:line="360" w:lineRule="auto"/>
        <w:jc w:val="both"/>
        <w:rPr>
          <w:rFonts w:ascii="Arial" w:hAnsi="Arial" w:cs="Arial"/>
          <w:lang w:val="en-US"/>
        </w:rPr>
      </w:pPr>
    </w:p>
    <w:p w14:paraId="62E01EB4" w14:textId="09A7E3C8" w:rsidR="00064743" w:rsidRPr="00A55638" w:rsidRDefault="001E743A" w:rsidP="003D3FB7">
      <w:pPr>
        <w:pStyle w:val="Heading1"/>
        <w:spacing w:before="400" w:after="200" w:line="360" w:lineRule="auto"/>
        <w:rPr>
          <w:rFonts w:ascii="Arial" w:hAnsi="Arial" w:cs="Arial"/>
        </w:rPr>
      </w:pPr>
      <w:r w:rsidRPr="00A55638">
        <w:rPr>
          <w:rFonts w:ascii="Arial" w:hAnsi="Arial" w:cs="Arial"/>
          <w:b/>
          <w:bCs/>
          <w:color w:val="1F3864"/>
          <w:sz w:val="30"/>
          <w:szCs w:val="30"/>
        </w:rPr>
        <w:t>5. Strategy Analysis</w:t>
      </w:r>
      <w:bookmarkEnd w:id="6"/>
    </w:p>
    <w:p w14:paraId="4B06BD33" w14:textId="77777777" w:rsidR="00064743" w:rsidRPr="00A55638" w:rsidRDefault="001E743A" w:rsidP="003D3FB7">
      <w:pPr>
        <w:pStyle w:val="Heading2"/>
        <w:spacing w:before="300" w:after="150" w:line="360" w:lineRule="auto"/>
        <w:rPr>
          <w:rFonts w:ascii="Arial" w:hAnsi="Arial" w:cs="Arial"/>
        </w:rPr>
      </w:pPr>
      <w:r w:rsidRPr="00A55638">
        <w:rPr>
          <w:rFonts w:ascii="Arial" w:hAnsi="Arial" w:cs="Arial"/>
          <w:b/>
          <w:bCs/>
          <w:color w:val="2E5EAA"/>
          <w:sz w:val="25"/>
          <w:szCs w:val="25"/>
        </w:rPr>
        <w:t>External Analysis</w:t>
      </w:r>
    </w:p>
    <w:p w14:paraId="5C953740" w14:textId="77777777" w:rsidR="00064743" w:rsidRPr="00A55638" w:rsidRDefault="001E743A" w:rsidP="003D3FB7">
      <w:pPr>
        <w:spacing w:after="200" w:line="360" w:lineRule="auto"/>
        <w:jc w:val="both"/>
        <w:rPr>
          <w:rFonts w:ascii="Arial" w:hAnsi="Arial" w:cs="Arial"/>
        </w:rPr>
      </w:pPr>
      <w:r w:rsidRPr="00A55638">
        <w:rPr>
          <w:rFonts w:ascii="Arial" w:hAnsi="Arial" w:cs="Arial"/>
        </w:rPr>
        <w:t>A PESTEL review shows several forces converging on BMW UK at once, and it is worth noting upfront that political and legal factors overlap here almost entirely — the ZEV Mandate is simultaneously a piece of legislation and a political flashpoint, which is a fair criticism of PESTEL as a framework: its six categories are not always as distinct as the acronym implies. Figure 2 summarises the analysis.</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00"/>
        <w:gridCol w:w="4200"/>
        <w:gridCol w:w="3700"/>
      </w:tblGrid>
      <w:tr w:rsidR="00064743" w:rsidRPr="00A55638" w14:paraId="20E29EAB" w14:textId="77777777">
        <w:trPr>
          <w:tblHeader/>
        </w:trPr>
        <w:tc>
          <w:tcPr>
            <w:tcW w:w="1600" w:type="dxa"/>
            <w:shd w:val="clear" w:color="auto" w:fill="1F3864"/>
            <w:tcMar>
              <w:top w:w="80" w:type="dxa"/>
              <w:left w:w="100" w:type="dxa"/>
              <w:bottom w:w="80" w:type="dxa"/>
              <w:right w:w="100" w:type="dxa"/>
            </w:tcMar>
            <w:vAlign w:val="center"/>
          </w:tcPr>
          <w:p w14:paraId="63757767"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Factor</w:t>
            </w:r>
          </w:p>
        </w:tc>
        <w:tc>
          <w:tcPr>
            <w:tcW w:w="4200" w:type="dxa"/>
            <w:shd w:val="clear" w:color="auto" w:fill="1F3864"/>
            <w:tcMar>
              <w:top w:w="80" w:type="dxa"/>
              <w:left w:w="100" w:type="dxa"/>
              <w:bottom w:w="80" w:type="dxa"/>
              <w:right w:w="100" w:type="dxa"/>
            </w:tcMar>
            <w:vAlign w:val="center"/>
          </w:tcPr>
          <w:p w14:paraId="2C728C80"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Key evidence</w:t>
            </w:r>
          </w:p>
        </w:tc>
        <w:tc>
          <w:tcPr>
            <w:tcW w:w="3700" w:type="dxa"/>
            <w:shd w:val="clear" w:color="auto" w:fill="1F3864"/>
            <w:tcMar>
              <w:top w:w="80" w:type="dxa"/>
              <w:left w:w="100" w:type="dxa"/>
              <w:bottom w:w="80" w:type="dxa"/>
              <w:right w:w="100" w:type="dxa"/>
            </w:tcMar>
            <w:vAlign w:val="center"/>
          </w:tcPr>
          <w:p w14:paraId="4184DB6C"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Implication for BMW UK</w:t>
            </w:r>
          </w:p>
        </w:tc>
      </w:tr>
      <w:tr w:rsidR="00064743" w:rsidRPr="00A55638" w14:paraId="3FAC23AE" w14:textId="77777777">
        <w:tc>
          <w:tcPr>
            <w:tcW w:w="1600" w:type="dxa"/>
            <w:shd w:val="clear" w:color="auto" w:fill="F2F2F2"/>
            <w:tcMar>
              <w:top w:w="80" w:type="dxa"/>
              <w:left w:w="100" w:type="dxa"/>
              <w:bottom w:w="80" w:type="dxa"/>
              <w:right w:w="100" w:type="dxa"/>
            </w:tcMar>
            <w:vAlign w:val="center"/>
          </w:tcPr>
          <w:p w14:paraId="30EDD732"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9"/>
                <w:szCs w:val="19"/>
              </w:rPr>
              <w:t>Political / Legal</w:t>
            </w:r>
          </w:p>
        </w:tc>
        <w:tc>
          <w:tcPr>
            <w:tcW w:w="4200" w:type="dxa"/>
            <w:shd w:val="clear" w:color="auto" w:fill="F2F2F2"/>
            <w:tcMar>
              <w:top w:w="80" w:type="dxa"/>
              <w:left w:w="100" w:type="dxa"/>
              <w:bottom w:w="80" w:type="dxa"/>
              <w:right w:w="100" w:type="dxa"/>
            </w:tcMar>
            <w:vAlign w:val="center"/>
          </w:tcPr>
          <w:p w14:paraId="2F65612C"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ZEV Mandate requires 33% BEV sales in 2026, rising steeply; EU rules-of-origin changes threaten £1.4bn sector tariff exposure from 2027 (SMMT, 2026)</w:t>
            </w:r>
          </w:p>
        </w:tc>
        <w:tc>
          <w:tcPr>
            <w:tcW w:w="3700" w:type="dxa"/>
            <w:shd w:val="clear" w:color="auto" w:fill="F2F2F2"/>
            <w:tcMar>
              <w:top w:w="80" w:type="dxa"/>
              <w:left w:w="100" w:type="dxa"/>
              <w:bottom w:w="80" w:type="dxa"/>
              <w:right w:w="100" w:type="dxa"/>
            </w:tcMar>
            <w:vAlign w:val="center"/>
          </w:tcPr>
          <w:p w14:paraId="5F4D9DD0"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Forces continued EV investment and discounting; UK–EU trade terms remain a live risk</w:t>
            </w:r>
          </w:p>
        </w:tc>
      </w:tr>
      <w:tr w:rsidR="00064743" w:rsidRPr="00A55638" w14:paraId="58666E95" w14:textId="77777777">
        <w:tc>
          <w:tcPr>
            <w:tcW w:w="1600" w:type="dxa"/>
            <w:shd w:val="clear" w:color="auto" w:fill="FFFFFF"/>
            <w:tcMar>
              <w:top w:w="80" w:type="dxa"/>
              <w:left w:w="100" w:type="dxa"/>
              <w:bottom w:w="80" w:type="dxa"/>
              <w:right w:w="100" w:type="dxa"/>
            </w:tcMar>
            <w:vAlign w:val="center"/>
          </w:tcPr>
          <w:p w14:paraId="49E1B25C"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9"/>
                <w:szCs w:val="19"/>
              </w:rPr>
              <w:t>Economic</w:t>
            </w:r>
          </w:p>
        </w:tc>
        <w:tc>
          <w:tcPr>
            <w:tcW w:w="4200" w:type="dxa"/>
            <w:shd w:val="clear" w:color="auto" w:fill="FFFFFF"/>
            <w:tcMar>
              <w:top w:w="80" w:type="dxa"/>
              <w:left w:w="100" w:type="dxa"/>
              <w:bottom w:w="80" w:type="dxa"/>
              <w:right w:w="100" w:type="dxa"/>
            </w:tcMar>
            <w:vAlign w:val="center"/>
          </w:tcPr>
          <w:p w14:paraId="72845FB1"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Bank Rate held at 3.75%; GfK consumer confidence at –21, lowest in a year; yet 91% of buyers report stable affordability confidence (Trading Economics, 2026; Money4Cars, 2026)</w:t>
            </w:r>
          </w:p>
        </w:tc>
        <w:tc>
          <w:tcPr>
            <w:tcW w:w="3700" w:type="dxa"/>
            <w:shd w:val="clear" w:color="auto" w:fill="FFFFFF"/>
            <w:tcMar>
              <w:top w:w="80" w:type="dxa"/>
              <w:left w:w="100" w:type="dxa"/>
              <w:bottom w:w="80" w:type="dxa"/>
              <w:right w:w="100" w:type="dxa"/>
            </w:tcMar>
            <w:vAlign w:val="center"/>
          </w:tcPr>
          <w:p w14:paraId="5B57F532"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Mixed signals — macro sentiment weak, but purchase intent more resilient than headline confidence suggests</w:t>
            </w:r>
          </w:p>
        </w:tc>
      </w:tr>
      <w:tr w:rsidR="00064743" w:rsidRPr="00A55638" w14:paraId="274789A8" w14:textId="77777777">
        <w:tc>
          <w:tcPr>
            <w:tcW w:w="1600" w:type="dxa"/>
            <w:shd w:val="clear" w:color="auto" w:fill="F2F2F2"/>
            <w:tcMar>
              <w:top w:w="80" w:type="dxa"/>
              <w:left w:w="100" w:type="dxa"/>
              <w:bottom w:w="80" w:type="dxa"/>
              <w:right w:w="100" w:type="dxa"/>
            </w:tcMar>
            <w:vAlign w:val="center"/>
          </w:tcPr>
          <w:p w14:paraId="6CAD27C9"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9"/>
                <w:szCs w:val="19"/>
              </w:rPr>
              <w:t>Social</w:t>
            </w:r>
          </w:p>
        </w:tc>
        <w:tc>
          <w:tcPr>
            <w:tcW w:w="4200" w:type="dxa"/>
            <w:shd w:val="clear" w:color="auto" w:fill="F2F2F2"/>
            <w:tcMar>
              <w:top w:w="80" w:type="dxa"/>
              <w:left w:w="100" w:type="dxa"/>
              <w:bottom w:w="80" w:type="dxa"/>
              <w:right w:w="100" w:type="dxa"/>
            </w:tcMar>
            <w:vAlign w:val="center"/>
          </w:tcPr>
          <w:p w14:paraId="49DC4C2B"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Weakening brand loyalty; growing consumer acceptance of Chinese brands (Regit, 2026)</w:t>
            </w:r>
          </w:p>
        </w:tc>
        <w:tc>
          <w:tcPr>
            <w:tcW w:w="3700" w:type="dxa"/>
            <w:shd w:val="clear" w:color="auto" w:fill="F2F2F2"/>
            <w:tcMar>
              <w:top w:w="80" w:type="dxa"/>
              <w:left w:w="100" w:type="dxa"/>
              <w:bottom w:w="80" w:type="dxa"/>
              <w:right w:w="100" w:type="dxa"/>
            </w:tcMar>
            <w:vAlign w:val="center"/>
          </w:tcPr>
          <w:p w14:paraId="2362FB18"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Premium status alone no longer guarantees customer retention</w:t>
            </w:r>
          </w:p>
        </w:tc>
      </w:tr>
      <w:tr w:rsidR="00064743" w:rsidRPr="00A55638" w14:paraId="22C35ED0" w14:textId="77777777">
        <w:tc>
          <w:tcPr>
            <w:tcW w:w="1600" w:type="dxa"/>
            <w:shd w:val="clear" w:color="auto" w:fill="FFFFFF"/>
            <w:tcMar>
              <w:top w:w="80" w:type="dxa"/>
              <w:left w:w="100" w:type="dxa"/>
              <w:bottom w:w="80" w:type="dxa"/>
              <w:right w:w="100" w:type="dxa"/>
            </w:tcMar>
            <w:vAlign w:val="center"/>
          </w:tcPr>
          <w:p w14:paraId="7E78C5DF"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9"/>
                <w:szCs w:val="19"/>
              </w:rPr>
              <w:t>Technological</w:t>
            </w:r>
          </w:p>
        </w:tc>
        <w:tc>
          <w:tcPr>
            <w:tcW w:w="4200" w:type="dxa"/>
            <w:shd w:val="clear" w:color="auto" w:fill="FFFFFF"/>
            <w:tcMar>
              <w:top w:w="80" w:type="dxa"/>
              <w:left w:w="100" w:type="dxa"/>
              <w:bottom w:w="80" w:type="dxa"/>
              <w:right w:w="100" w:type="dxa"/>
            </w:tcMar>
            <w:vAlign w:val="center"/>
          </w:tcPr>
          <w:p w14:paraId="7A4C0607"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Software-defined vehicles; Neue Klasse E/E architecture; solid-state battery development from 2027 (BMW Group, 2026d)</w:t>
            </w:r>
          </w:p>
        </w:tc>
        <w:tc>
          <w:tcPr>
            <w:tcW w:w="3700" w:type="dxa"/>
            <w:shd w:val="clear" w:color="auto" w:fill="FFFFFF"/>
            <w:tcMar>
              <w:top w:w="80" w:type="dxa"/>
              <w:left w:w="100" w:type="dxa"/>
              <w:bottom w:w="80" w:type="dxa"/>
              <w:right w:w="100" w:type="dxa"/>
            </w:tcMar>
            <w:vAlign w:val="center"/>
          </w:tcPr>
          <w:p w14:paraId="51902AB6"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Genuine differentiation opportunity if delivered on schedule</w:t>
            </w:r>
          </w:p>
        </w:tc>
      </w:tr>
      <w:tr w:rsidR="00064743" w:rsidRPr="00A55638" w14:paraId="38FD8538" w14:textId="77777777">
        <w:tc>
          <w:tcPr>
            <w:tcW w:w="1600" w:type="dxa"/>
            <w:shd w:val="clear" w:color="auto" w:fill="F2F2F2"/>
            <w:tcMar>
              <w:top w:w="80" w:type="dxa"/>
              <w:left w:w="100" w:type="dxa"/>
              <w:bottom w:w="80" w:type="dxa"/>
              <w:right w:w="100" w:type="dxa"/>
            </w:tcMar>
            <w:vAlign w:val="center"/>
          </w:tcPr>
          <w:p w14:paraId="3C190B1C"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9"/>
                <w:szCs w:val="19"/>
              </w:rPr>
              <w:t>Environmental</w:t>
            </w:r>
          </w:p>
        </w:tc>
        <w:tc>
          <w:tcPr>
            <w:tcW w:w="4200" w:type="dxa"/>
            <w:shd w:val="clear" w:color="auto" w:fill="F2F2F2"/>
            <w:tcMar>
              <w:top w:w="80" w:type="dxa"/>
              <w:left w:w="100" w:type="dxa"/>
              <w:bottom w:w="80" w:type="dxa"/>
              <w:right w:w="100" w:type="dxa"/>
            </w:tcMar>
            <w:vAlign w:val="center"/>
          </w:tcPr>
          <w:p w14:paraId="27CBF7D5"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Net zero by 2050; interim CO</w:t>
            </w:r>
            <w:r w:rsidRPr="00A55638">
              <w:rPr>
                <w:rFonts w:ascii="Cambria Math" w:hAnsi="Cambria Math" w:cs="Cambria Math"/>
                <w:color w:val="000000"/>
                <w:sz w:val="19"/>
                <w:szCs w:val="19"/>
              </w:rPr>
              <w:t>₂</w:t>
            </w:r>
            <w:r w:rsidRPr="00A55638">
              <w:rPr>
                <w:rFonts w:ascii="Arial" w:hAnsi="Arial" w:cs="Arial"/>
                <w:color w:val="000000"/>
                <w:sz w:val="19"/>
                <w:szCs w:val="19"/>
              </w:rPr>
              <w:t xml:space="preserve"> targets; iX3 supply-chain CO</w:t>
            </w:r>
            <w:r w:rsidRPr="00A55638">
              <w:rPr>
                <w:rFonts w:ascii="Cambria Math" w:hAnsi="Cambria Math" w:cs="Cambria Math"/>
                <w:color w:val="000000"/>
                <w:sz w:val="19"/>
                <w:szCs w:val="19"/>
              </w:rPr>
              <w:t>₂</w:t>
            </w:r>
            <w:r w:rsidRPr="00A55638">
              <w:rPr>
                <w:rFonts w:ascii="Arial" w:hAnsi="Arial" w:cs="Arial"/>
                <w:color w:val="000000"/>
                <w:sz w:val="19"/>
                <w:szCs w:val="19"/>
              </w:rPr>
              <w:t>e cut of 35% (BMW Group, 2026c)</w:t>
            </w:r>
          </w:p>
        </w:tc>
        <w:tc>
          <w:tcPr>
            <w:tcW w:w="3700" w:type="dxa"/>
            <w:shd w:val="clear" w:color="auto" w:fill="F2F2F2"/>
            <w:tcMar>
              <w:top w:w="80" w:type="dxa"/>
              <w:left w:w="100" w:type="dxa"/>
              <w:bottom w:w="80" w:type="dxa"/>
              <w:right w:w="100" w:type="dxa"/>
            </w:tcMar>
            <w:vAlign w:val="center"/>
          </w:tcPr>
          <w:p w14:paraId="56EF64DE"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Supports brand positioning but invites scrutiny of self-reported progress</w:t>
            </w:r>
          </w:p>
        </w:tc>
      </w:tr>
      <w:tr w:rsidR="00064743" w:rsidRPr="00A55638" w14:paraId="5F8443DE" w14:textId="77777777">
        <w:tc>
          <w:tcPr>
            <w:tcW w:w="1600" w:type="dxa"/>
            <w:shd w:val="clear" w:color="auto" w:fill="FFFFFF"/>
            <w:tcMar>
              <w:top w:w="80" w:type="dxa"/>
              <w:left w:w="100" w:type="dxa"/>
              <w:bottom w:w="80" w:type="dxa"/>
              <w:right w:w="100" w:type="dxa"/>
            </w:tcMar>
            <w:vAlign w:val="center"/>
          </w:tcPr>
          <w:p w14:paraId="70EC96BF"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9"/>
                <w:szCs w:val="19"/>
              </w:rPr>
              <w:t>Legal</w:t>
            </w:r>
          </w:p>
        </w:tc>
        <w:tc>
          <w:tcPr>
            <w:tcW w:w="4200" w:type="dxa"/>
            <w:shd w:val="clear" w:color="auto" w:fill="FFFFFF"/>
            <w:tcMar>
              <w:top w:w="80" w:type="dxa"/>
              <w:left w:w="100" w:type="dxa"/>
              <w:bottom w:w="80" w:type="dxa"/>
              <w:right w:w="100" w:type="dxa"/>
            </w:tcMar>
            <w:vAlign w:val="center"/>
          </w:tcPr>
          <w:p w14:paraId="3F6022AF"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Substantially overlaps with Political factors above</w:t>
            </w:r>
          </w:p>
        </w:tc>
        <w:tc>
          <w:tcPr>
            <w:tcW w:w="3700" w:type="dxa"/>
            <w:shd w:val="clear" w:color="auto" w:fill="FFFFFF"/>
            <w:tcMar>
              <w:top w:w="80" w:type="dxa"/>
              <w:left w:w="100" w:type="dxa"/>
              <w:bottom w:w="80" w:type="dxa"/>
              <w:right w:w="100" w:type="dxa"/>
            </w:tcMar>
            <w:vAlign w:val="center"/>
          </w:tcPr>
          <w:p w14:paraId="661F72CE"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w:t>
            </w:r>
          </w:p>
        </w:tc>
      </w:tr>
    </w:tbl>
    <w:p w14:paraId="702C7F3A" w14:textId="77777777" w:rsidR="00064743" w:rsidRPr="00A55638" w:rsidRDefault="001E743A" w:rsidP="003D3FB7">
      <w:pPr>
        <w:spacing w:before="100" w:after="300" w:line="360" w:lineRule="auto"/>
        <w:jc w:val="center"/>
        <w:rPr>
          <w:rFonts w:ascii="Arial" w:hAnsi="Arial" w:cs="Arial"/>
        </w:rPr>
      </w:pPr>
      <w:r w:rsidRPr="00A55638">
        <w:rPr>
          <w:rFonts w:ascii="Arial" w:hAnsi="Arial" w:cs="Arial"/>
          <w:i/>
          <w:iCs/>
          <w:color w:val="595959"/>
          <w:sz w:val="20"/>
          <w:szCs w:val="20"/>
        </w:rPr>
        <w:t>Figure 2: PESTEL summary — BMW Group UK. Source: compiled from SMMT (2026), BMW Group (2026c, 2026d), Trading Economics (2026), Money4Cars (2026), Regit (2026).</w:t>
      </w:r>
    </w:p>
    <w:p w14:paraId="7619BD44" w14:textId="5F240AA6" w:rsidR="00064743" w:rsidRPr="00A55638" w:rsidRDefault="00920FC1" w:rsidP="003D3FB7">
      <w:pPr>
        <w:spacing w:after="200" w:line="360" w:lineRule="auto"/>
        <w:jc w:val="both"/>
        <w:rPr>
          <w:rFonts w:ascii="Arial" w:hAnsi="Arial" w:cs="Arial"/>
        </w:rPr>
      </w:pPr>
      <w:r w:rsidRPr="00920FC1">
        <w:rPr>
          <w:rFonts w:ascii="Arial" w:hAnsi="Arial" w:cs="Arial"/>
        </w:rPr>
        <w:lastRenderedPageBreak/>
        <w:t>Porter's Five Forces (Figure 3) shows BMW UK under intense pressure across all five dimensions: rivalry is very high (Mercedes, Audi, JLR, Tesla and BYD all contesting overlapping segments); new-entrant threat is high, since Chinese manufacturers built UK distribution networks in roughly two years rather than the traditional decade; buyer power is rising, driven by price-transparency platforms and ZEV Mandate-fuelled discounting; supplier power is moderate-to-high, concentrated in battery and semiconductor supply; and substitute threat is moderate via a resurgent used-car market. The framework captures this competitive intensity well but says less about the pace of disruption — a limitation worth noting.</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1600"/>
        <w:gridCol w:w="5300"/>
      </w:tblGrid>
      <w:tr w:rsidR="00064743" w:rsidRPr="00A55638" w14:paraId="26F6E975" w14:textId="77777777">
        <w:trPr>
          <w:tblHeader/>
        </w:trPr>
        <w:tc>
          <w:tcPr>
            <w:tcW w:w="2600" w:type="dxa"/>
            <w:shd w:val="clear" w:color="auto" w:fill="1F3864"/>
            <w:tcMar>
              <w:top w:w="80" w:type="dxa"/>
              <w:left w:w="100" w:type="dxa"/>
              <w:bottom w:w="80" w:type="dxa"/>
              <w:right w:w="100" w:type="dxa"/>
            </w:tcMar>
            <w:vAlign w:val="center"/>
          </w:tcPr>
          <w:p w14:paraId="547EDACE"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Force</w:t>
            </w:r>
          </w:p>
        </w:tc>
        <w:tc>
          <w:tcPr>
            <w:tcW w:w="1600" w:type="dxa"/>
            <w:shd w:val="clear" w:color="auto" w:fill="1F3864"/>
            <w:tcMar>
              <w:top w:w="80" w:type="dxa"/>
              <w:left w:w="100" w:type="dxa"/>
              <w:bottom w:w="80" w:type="dxa"/>
              <w:right w:w="100" w:type="dxa"/>
            </w:tcMar>
            <w:vAlign w:val="center"/>
          </w:tcPr>
          <w:p w14:paraId="219CE97A"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Intensity</w:t>
            </w:r>
          </w:p>
        </w:tc>
        <w:tc>
          <w:tcPr>
            <w:tcW w:w="5300" w:type="dxa"/>
            <w:shd w:val="clear" w:color="auto" w:fill="1F3864"/>
            <w:tcMar>
              <w:top w:w="80" w:type="dxa"/>
              <w:left w:w="100" w:type="dxa"/>
              <w:bottom w:w="80" w:type="dxa"/>
              <w:right w:w="100" w:type="dxa"/>
            </w:tcMar>
            <w:vAlign w:val="center"/>
          </w:tcPr>
          <w:p w14:paraId="1BB5C297"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Rationale</w:t>
            </w:r>
          </w:p>
        </w:tc>
      </w:tr>
      <w:tr w:rsidR="00064743" w:rsidRPr="00A55638" w14:paraId="096780AC" w14:textId="77777777">
        <w:tc>
          <w:tcPr>
            <w:tcW w:w="2600" w:type="dxa"/>
            <w:shd w:val="clear" w:color="auto" w:fill="F2F2F2"/>
            <w:tcMar>
              <w:top w:w="80" w:type="dxa"/>
              <w:left w:w="100" w:type="dxa"/>
              <w:bottom w:w="80" w:type="dxa"/>
              <w:right w:w="100" w:type="dxa"/>
            </w:tcMar>
            <w:vAlign w:val="center"/>
          </w:tcPr>
          <w:p w14:paraId="6966F5BC"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9"/>
                <w:szCs w:val="19"/>
              </w:rPr>
              <w:t>Threat of new entrants</w:t>
            </w:r>
          </w:p>
        </w:tc>
        <w:tc>
          <w:tcPr>
            <w:tcW w:w="1600" w:type="dxa"/>
            <w:shd w:val="clear" w:color="auto" w:fill="F2F2F2"/>
            <w:tcMar>
              <w:top w:w="80" w:type="dxa"/>
              <w:left w:w="100" w:type="dxa"/>
              <w:bottom w:w="80" w:type="dxa"/>
              <w:right w:w="100" w:type="dxa"/>
            </w:tcMar>
            <w:vAlign w:val="center"/>
          </w:tcPr>
          <w:p w14:paraId="2DEE0B09"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9"/>
                <w:szCs w:val="19"/>
              </w:rPr>
              <w:t>High</w:t>
            </w:r>
          </w:p>
        </w:tc>
        <w:tc>
          <w:tcPr>
            <w:tcW w:w="5300" w:type="dxa"/>
            <w:shd w:val="clear" w:color="auto" w:fill="F2F2F2"/>
            <w:tcMar>
              <w:top w:w="80" w:type="dxa"/>
              <w:left w:w="100" w:type="dxa"/>
              <w:bottom w:w="80" w:type="dxa"/>
              <w:right w:w="100" w:type="dxa"/>
            </w:tcMar>
            <w:vAlign w:val="center"/>
          </w:tcPr>
          <w:p w14:paraId="202A14AA"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Chinese manufacturers (BYD, MG, Chery) have built UK distribution networks within c. 2 years</w:t>
            </w:r>
          </w:p>
        </w:tc>
      </w:tr>
      <w:tr w:rsidR="00064743" w:rsidRPr="00A55638" w14:paraId="274432B2" w14:textId="77777777">
        <w:tc>
          <w:tcPr>
            <w:tcW w:w="2600" w:type="dxa"/>
            <w:shd w:val="clear" w:color="auto" w:fill="FFFFFF"/>
            <w:tcMar>
              <w:top w:w="80" w:type="dxa"/>
              <w:left w:w="100" w:type="dxa"/>
              <w:bottom w:w="80" w:type="dxa"/>
              <w:right w:w="100" w:type="dxa"/>
            </w:tcMar>
            <w:vAlign w:val="center"/>
          </w:tcPr>
          <w:p w14:paraId="62C001D3"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9"/>
                <w:szCs w:val="19"/>
              </w:rPr>
              <w:t>Bargaining power of buyers</w:t>
            </w:r>
          </w:p>
        </w:tc>
        <w:tc>
          <w:tcPr>
            <w:tcW w:w="1600" w:type="dxa"/>
            <w:shd w:val="clear" w:color="auto" w:fill="FFFFFF"/>
            <w:tcMar>
              <w:top w:w="80" w:type="dxa"/>
              <w:left w:w="100" w:type="dxa"/>
              <w:bottom w:w="80" w:type="dxa"/>
              <w:right w:w="100" w:type="dxa"/>
            </w:tcMar>
            <w:vAlign w:val="center"/>
          </w:tcPr>
          <w:p w14:paraId="7B12F675"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9"/>
                <w:szCs w:val="19"/>
              </w:rPr>
              <w:t>Rising</w:t>
            </w:r>
          </w:p>
        </w:tc>
        <w:tc>
          <w:tcPr>
            <w:tcW w:w="5300" w:type="dxa"/>
            <w:shd w:val="clear" w:color="auto" w:fill="FFFFFF"/>
            <w:tcMar>
              <w:top w:w="80" w:type="dxa"/>
              <w:left w:w="100" w:type="dxa"/>
              <w:bottom w:w="80" w:type="dxa"/>
              <w:right w:w="100" w:type="dxa"/>
            </w:tcMar>
            <w:vAlign w:val="center"/>
          </w:tcPr>
          <w:p w14:paraId="2185DB8B"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Price-comparison platforms and ZEV Mandate-driven discounting shift leverage to buyers</w:t>
            </w:r>
          </w:p>
        </w:tc>
      </w:tr>
      <w:tr w:rsidR="00064743" w:rsidRPr="00A55638" w14:paraId="5C436561" w14:textId="77777777">
        <w:tc>
          <w:tcPr>
            <w:tcW w:w="2600" w:type="dxa"/>
            <w:shd w:val="clear" w:color="auto" w:fill="F2F2F2"/>
            <w:tcMar>
              <w:top w:w="80" w:type="dxa"/>
              <w:left w:w="100" w:type="dxa"/>
              <w:bottom w:w="80" w:type="dxa"/>
              <w:right w:w="100" w:type="dxa"/>
            </w:tcMar>
            <w:vAlign w:val="center"/>
          </w:tcPr>
          <w:p w14:paraId="7E59B046"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9"/>
                <w:szCs w:val="19"/>
              </w:rPr>
              <w:t>Bargaining power of suppliers</w:t>
            </w:r>
          </w:p>
        </w:tc>
        <w:tc>
          <w:tcPr>
            <w:tcW w:w="1600" w:type="dxa"/>
            <w:shd w:val="clear" w:color="auto" w:fill="F2F2F2"/>
            <w:tcMar>
              <w:top w:w="80" w:type="dxa"/>
              <w:left w:w="100" w:type="dxa"/>
              <w:bottom w:w="80" w:type="dxa"/>
              <w:right w:w="100" w:type="dxa"/>
            </w:tcMar>
            <w:vAlign w:val="center"/>
          </w:tcPr>
          <w:p w14:paraId="51CC76EC"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9"/>
                <w:szCs w:val="19"/>
              </w:rPr>
              <w:t>Moderate–High</w:t>
            </w:r>
          </w:p>
        </w:tc>
        <w:tc>
          <w:tcPr>
            <w:tcW w:w="5300" w:type="dxa"/>
            <w:shd w:val="clear" w:color="auto" w:fill="F2F2F2"/>
            <w:tcMar>
              <w:top w:w="80" w:type="dxa"/>
              <w:left w:w="100" w:type="dxa"/>
              <w:bottom w:w="80" w:type="dxa"/>
              <w:right w:w="100" w:type="dxa"/>
            </w:tcMar>
            <w:vAlign w:val="center"/>
          </w:tcPr>
          <w:p w14:paraId="2BFB2190"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Battery and semiconductor supply concentrated among a small number of global suppliers</w:t>
            </w:r>
          </w:p>
        </w:tc>
      </w:tr>
      <w:tr w:rsidR="00064743" w:rsidRPr="00A55638" w14:paraId="357AB320" w14:textId="77777777">
        <w:tc>
          <w:tcPr>
            <w:tcW w:w="2600" w:type="dxa"/>
            <w:shd w:val="clear" w:color="auto" w:fill="FFFFFF"/>
            <w:tcMar>
              <w:top w:w="80" w:type="dxa"/>
              <w:left w:w="100" w:type="dxa"/>
              <w:bottom w:w="80" w:type="dxa"/>
              <w:right w:w="100" w:type="dxa"/>
            </w:tcMar>
            <w:vAlign w:val="center"/>
          </w:tcPr>
          <w:p w14:paraId="209532CD"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9"/>
                <w:szCs w:val="19"/>
              </w:rPr>
              <w:t>Threat of substitutes</w:t>
            </w:r>
          </w:p>
        </w:tc>
        <w:tc>
          <w:tcPr>
            <w:tcW w:w="1600" w:type="dxa"/>
            <w:shd w:val="clear" w:color="auto" w:fill="FFFFFF"/>
            <w:tcMar>
              <w:top w:w="80" w:type="dxa"/>
              <w:left w:w="100" w:type="dxa"/>
              <w:bottom w:w="80" w:type="dxa"/>
              <w:right w:w="100" w:type="dxa"/>
            </w:tcMar>
            <w:vAlign w:val="center"/>
          </w:tcPr>
          <w:p w14:paraId="16CA9FEB"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9"/>
                <w:szCs w:val="19"/>
              </w:rPr>
              <w:t>Moderate</w:t>
            </w:r>
          </w:p>
        </w:tc>
        <w:tc>
          <w:tcPr>
            <w:tcW w:w="5300" w:type="dxa"/>
            <w:shd w:val="clear" w:color="auto" w:fill="FFFFFF"/>
            <w:tcMar>
              <w:top w:w="80" w:type="dxa"/>
              <w:left w:w="100" w:type="dxa"/>
              <w:bottom w:w="80" w:type="dxa"/>
              <w:right w:w="100" w:type="dxa"/>
            </w:tcMar>
            <w:vAlign w:val="center"/>
          </w:tcPr>
          <w:p w14:paraId="7665ABBF"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Resurgent used-car market (c. 8m UK transactions forecast for 2026) offers a lower-cost alternative</w:t>
            </w:r>
          </w:p>
        </w:tc>
      </w:tr>
      <w:tr w:rsidR="00064743" w:rsidRPr="00A55638" w14:paraId="7C77F184" w14:textId="77777777">
        <w:tc>
          <w:tcPr>
            <w:tcW w:w="2600" w:type="dxa"/>
            <w:shd w:val="clear" w:color="auto" w:fill="F2F2F2"/>
            <w:tcMar>
              <w:top w:w="80" w:type="dxa"/>
              <w:left w:w="100" w:type="dxa"/>
              <w:bottom w:w="80" w:type="dxa"/>
              <w:right w:w="100" w:type="dxa"/>
            </w:tcMar>
            <w:vAlign w:val="center"/>
          </w:tcPr>
          <w:p w14:paraId="3F36AC51"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9"/>
                <w:szCs w:val="19"/>
              </w:rPr>
              <w:t>Competitive rivalry</w:t>
            </w:r>
          </w:p>
        </w:tc>
        <w:tc>
          <w:tcPr>
            <w:tcW w:w="1600" w:type="dxa"/>
            <w:shd w:val="clear" w:color="auto" w:fill="F2F2F2"/>
            <w:tcMar>
              <w:top w:w="80" w:type="dxa"/>
              <w:left w:w="100" w:type="dxa"/>
              <w:bottom w:w="80" w:type="dxa"/>
              <w:right w:w="100" w:type="dxa"/>
            </w:tcMar>
            <w:vAlign w:val="center"/>
          </w:tcPr>
          <w:p w14:paraId="2F7D632A"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9"/>
                <w:szCs w:val="19"/>
              </w:rPr>
              <w:t>Very High</w:t>
            </w:r>
          </w:p>
        </w:tc>
        <w:tc>
          <w:tcPr>
            <w:tcW w:w="5300" w:type="dxa"/>
            <w:shd w:val="clear" w:color="auto" w:fill="F2F2F2"/>
            <w:tcMar>
              <w:top w:w="80" w:type="dxa"/>
              <w:left w:w="100" w:type="dxa"/>
              <w:bottom w:w="80" w:type="dxa"/>
              <w:right w:w="100" w:type="dxa"/>
            </w:tcMar>
            <w:vAlign w:val="center"/>
          </w:tcPr>
          <w:p w14:paraId="7851FD86"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Mercedes, Audi, JLR, Tesla and BYD all contest overlapping premium/EV customer segments</w:t>
            </w:r>
          </w:p>
        </w:tc>
      </w:tr>
    </w:tbl>
    <w:p w14:paraId="20794E1D" w14:textId="77777777" w:rsidR="00064743" w:rsidRPr="00A55638" w:rsidRDefault="001E743A" w:rsidP="003D3FB7">
      <w:pPr>
        <w:spacing w:before="100" w:after="300" w:line="360" w:lineRule="auto"/>
        <w:jc w:val="center"/>
        <w:rPr>
          <w:rFonts w:ascii="Arial" w:hAnsi="Arial" w:cs="Arial"/>
        </w:rPr>
      </w:pPr>
      <w:r w:rsidRPr="00A55638">
        <w:rPr>
          <w:rFonts w:ascii="Arial" w:hAnsi="Arial" w:cs="Arial"/>
          <w:i/>
          <w:iCs/>
          <w:color w:val="595959"/>
          <w:sz w:val="20"/>
          <w:szCs w:val="20"/>
        </w:rPr>
        <w:t>Figure 3: Porter’s Five Forces — BMW Group UK. Source: compiled from SMMT (2026), Regit (2026), Autotrader (2026).</w:t>
      </w:r>
    </w:p>
    <w:p w14:paraId="68B67D6F" w14:textId="77777777" w:rsidR="00064743" w:rsidRPr="00A55638" w:rsidRDefault="001E743A" w:rsidP="003D3FB7">
      <w:pPr>
        <w:pStyle w:val="Heading2"/>
        <w:spacing w:before="300" w:after="150" w:line="360" w:lineRule="auto"/>
        <w:rPr>
          <w:rFonts w:ascii="Arial" w:hAnsi="Arial" w:cs="Arial"/>
        </w:rPr>
      </w:pPr>
      <w:r w:rsidRPr="00A55638">
        <w:rPr>
          <w:rFonts w:ascii="Arial" w:hAnsi="Arial" w:cs="Arial"/>
          <w:b/>
          <w:bCs/>
          <w:color w:val="2E5EAA"/>
          <w:sz w:val="25"/>
          <w:szCs w:val="25"/>
        </w:rPr>
        <w:t>Internal Analysis</w:t>
      </w:r>
    </w:p>
    <w:p w14:paraId="3BF6EF6E" w14:textId="77777777" w:rsidR="00064743" w:rsidRPr="00A55638" w:rsidRDefault="001E743A" w:rsidP="003D3FB7">
      <w:pPr>
        <w:spacing w:after="200" w:line="360" w:lineRule="auto"/>
        <w:jc w:val="both"/>
        <w:rPr>
          <w:rFonts w:ascii="Arial" w:hAnsi="Arial" w:cs="Arial"/>
        </w:rPr>
      </w:pPr>
      <w:r w:rsidRPr="00A55638">
        <w:rPr>
          <w:rFonts w:ascii="Arial" w:hAnsi="Arial" w:cs="Arial"/>
        </w:rPr>
        <w:t>A SWOT analysis (Figure 4) sets BMW UK's internal position against the external pressures identified above.</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750"/>
        <w:gridCol w:w="4750"/>
      </w:tblGrid>
      <w:tr w:rsidR="00064743" w:rsidRPr="00A55638" w14:paraId="027D7134" w14:textId="77777777">
        <w:trPr>
          <w:tblHeader/>
        </w:trPr>
        <w:tc>
          <w:tcPr>
            <w:tcW w:w="4750" w:type="dxa"/>
            <w:shd w:val="clear" w:color="auto" w:fill="1F3864"/>
            <w:tcMar>
              <w:top w:w="80" w:type="dxa"/>
              <w:left w:w="100" w:type="dxa"/>
              <w:bottom w:w="80" w:type="dxa"/>
              <w:right w:w="100" w:type="dxa"/>
            </w:tcMar>
            <w:vAlign w:val="center"/>
          </w:tcPr>
          <w:p w14:paraId="0B4C1C37"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Strengths</w:t>
            </w:r>
          </w:p>
        </w:tc>
        <w:tc>
          <w:tcPr>
            <w:tcW w:w="4750" w:type="dxa"/>
            <w:shd w:val="clear" w:color="auto" w:fill="1F3864"/>
            <w:tcMar>
              <w:top w:w="80" w:type="dxa"/>
              <w:left w:w="100" w:type="dxa"/>
              <w:bottom w:w="80" w:type="dxa"/>
              <w:right w:w="100" w:type="dxa"/>
            </w:tcMar>
            <w:vAlign w:val="center"/>
          </w:tcPr>
          <w:p w14:paraId="01E327E0"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Weaknesses</w:t>
            </w:r>
          </w:p>
        </w:tc>
      </w:tr>
      <w:tr w:rsidR="00064743" w:rsidRPr="00A55638" w14:paraId="0980A8CD" w14:textId="77777777">
        <w:tc>
          <w:tcPr>
            <w:tcW w:w="4750" w:type="dxa"/>
            <w:shd w:val="clear" w:color="auto" w:fill="F2F2F2"/>
            <w:tcMar>
              <w:top w:w="80" w:type="dxa"/>
              <w:left w:w="100" w:type="dxa"/>
              <w:bottom w:w="80" w:type="dxa"/>
              <w:right w:w="100" w:type="dxa"/>
            </w:tcMar>
            <w:vAlign w:val="center"/>
          </w:tcPr>
          <w:p w14:paraId="216C8D8B"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Strong brand equity; established UK manufacturing base; Financial Services as a genuine profit pillar (40% of new business is leasing)</w:t>
            </w:r>
          </w:p>
        </w:tc>
        <w:tc>
          <w:tcPr>
            <w:tcW w:w="4750" w:type="dxa"/>
            <w:shd w:val="clear" w:color="auto" w:fill="F2F2F2"/>
            <w:tcMar>
              <w:top w:w="80" w:type="dxa"/>
              <w:left w:w="100" w:type="dxa"/>
              <w:bottom w:w="80" w:type="dxa"/>
              <w:right w:w="100" w:type="dxa"/>
            </w:tcMar>
            <w:vAlign w:val="center"/>
          </w:tcPr>
          <w:p w14:paraId="5C7EDA11"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Core BMW brand registrations declined in 2025; Automotive EBIT margin under pressure; EV share behind global 2030 target</w:t>
            </w:r>
          </w:p>
        </w:tc>
      </w:tr>
      <w:tr w:rsidR="00064743" w:rsidRPr="00A55638" w14:paraId="5A858119" w14:textId="77777777">
        <w:trPr>
          <w:tblHeader/>
        </w:trPr>
        <w:tc>
          <w:tcPr>
            <w:tcW w:w="4750" w:type="dxa"/>
            <w:shd w:val="clear" w:color="auto" w:fill="2E5EAA"/>
            <w:tcMar>
              <w:top w:w="80" w:type="dxa"/>
              <w:left w:w="100" w:type="dxa"/>
              <w:bottom w:w="80" w:type="dxa"/>
              <w:right w:w="100" w:type="dxa"/>
            </w:tcMar>
            <w:vAlign w:val="center"/>
          </w:tcPr>
          <w:p w14:paraId="27D88628"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Opportunities</w:t>
            </w:r>
          </w:p>
        </w:tc>
        <w:tc>
          <w:tcPr>
            <w:tcW w:w="4750" w:type="dxa"/>
            <w:shd w:val="clear" w:color="auto" w:fill="2E5EAA"/>
            <w:tcMar>
              <w:top w:w="80" w:type="dxa"/>
              <w:left w:w="100" w:type="dxa"/>
              <w:bottom w:w="80" w:type="dxa"/>
              <w:right w:w="100" w:type="dxa"/>
            </w:tcMar>
            <w:vAlign w:val="center"/>
          </w:tcPr>
          <w:p w14:paraId="389F8386"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Threats</w:t>
            </w:r>
          </w:p>
        </w:tc>
      </w:tr>
      <w:tr w:rsidR="00064743" w:rsidRPr="00A55638" w14:paraId="7121433B" w14:textId="77777777">
        <w:tc>
          <w:tcPr>
            <w:tcW w:w="4750" w:type="dxa"/>
            <w:shd w:val="clear" w:color="auto" w:fill="FFFFFF"/>
            <w:tcMar>
              <w:top w:w="80" w:type="dxa"/>
              <w:left w:w="100" w:type="dxa"/>
              <w:bottom w:w="80" w:type="dxa"/>
              <w:right w:w="100" w:type="dxa"/>
            </w:tcMar>
            <w:vAlign w:val="center"/>
          </w:tcPr>
          <w:p w14:paraId="4EB6789E"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Neue Klasse-led differentiation through software and digital services; UK BEV share already close to ZEV Mandate threshold</w:t>
            </w:r>
          </w:p>
        </w:tc>
        <w:tc>
          <w:tcPr>
            <w:tcW w:w="4750" w:type="dxa"/>
            <w:shd w:val="clear" w:color="auto" w:fill="FFFFFF"/>
            <w:tcMar>
              <w:top w:w="80" w:type="dxa"/>
              <w:left w:w="100" w:type="dxa"/>
              <w:bottom w:w="80" w:type="dxa"/>
              <w:right w:w="100" w:type="dxa"/>
            </w:tcMar>
            <w:vAlign w:val="center"/>
          </w:tcPr>
          <w:p w14:paraId="493E2BC0"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Chinese price competition (BYD, MG); post-2027 UK–EU tariff exposure; softening UK consumer confidence</w:t>
            </w:r>
          </w:p>
        </w:tc>
      </w:tr>
    </w:tbl>
    <w:p w14:paraId="241D3083" w14:textId="77777777" w:rsidR="00064743" w:rsidRPr="00A55638" w:rsidRDefault="001E743A" w:rsidP="003D3FB7">
      <w:pPr>
        <w:spacing w:before="100" w:after="300" w:line="360" w:lineRule="auto"/>
        <w:jc w:val="center"/>
        <w:rPr>
          <w:rFonts w:ascii="Arial" w:hAnsi="Arial" w:cs="Arial"/>
        </w:rPr>
      </w:pPr>
      <w:r w:rsidRPr="00A55638">
        <w:rPr>
          <w:rFonts w:ascii="Arial" w:hAnsi="Arial" w:cs="Arial"/>
          <w:i/>
          <w:iCs/>
          <w:color w:val="595959"/>
          <w:sz w:val="20"/>
          <w:szCs w:val="20"/>
        </w:rPr>
        <w:t>Figure 4: SWOT analysis — BMW Group UK. Source: compiled from BMW Group (2025, 2026b), SMMT (2026).</w:t>
      </w:r>
    </w:p>
    <w:p w14:paraId="0EDAD1A8" w14:textId="77777777" w:rsidR="00064743" w:rsidRPr="00A55638" w:rsidRDefault="001E743A" w:rsidP="003D3FB7">
      <w:pPr>
        <w:spacing w:after="200" w:line="360" w:lineRule="auto"/>
        <w:jc w:val="both"/>
        <w:rPr>
          <w:rFonts w:ascii="Arial" w:hAnsi="Arial" w:cs="Arial"/>
        </w:rPr>
      </w:pPr>
      <w:r w:rsidRPr="00A55638">
        <w:rPr>
          <w:rFonts w:ascii="Arial" w:hAnsi="Arial" w:cs="Arial"/>
        </w:rPr>
        <w:lastRenderedPageBreak/>
        <w:t>A VRIO assessment (Figure 5) helps distinguish which of these strengths actually sustain advantage rather than merely existing. Brand equity is valuable, rare and difficult to imitate, and BMW is organised to exploit it — a genuinely sustained advantage. Financial Services capability is valuable and reasonably rare but not especially hard for well-resourced rivals to replicate, making it more of a temporary edge. The Neue Klasse software architecture is valuable and currently rare, but whether it proves durably hard to imitate is simply not yet knowable — competitors are pursuing comparable architectures, and the honest answer is that this advantage remains unconfirmed rather than secured.</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71"/>
        <w:gridCol w:w="1198"/>
        <w:gridCol w:w="1191"/>
        <w:gridCol w:w="1690"/>
        <w:gridCol w:w="1256"/>
        <w:gridCol w:w="1594"/>
      </w:tblGrid>
      <w:tr w:rsidR="00064743" w:rsidRPr="00A55638" w14:paraId="1F1CE941" w14:textId="77777777">
        <w:trPr>
          <w:tblHeader/>
        </w:trPr>
        <w:tc>
          <w:tcPr>
            <w:tcW w:w="2600" w:type="dxa"/>
            <w:shd w:val="clear" w:color="auto" w:fill="1F3864"/>
            <w:tcMar>
              <w:top w:w="80" w:type="dxa"/>
              <w:left w:w="100" w:type="dxa"/>
              <w:bottom w:w="80" w:type="dxa"/>
              <w:right w:w="100" w:type="dxa"/>
            </w:tcMar>
            <w:vAlign w:val="center"/>
          </w:tcPr>
          <w:p w14:paraId="7BA9D91E"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Resource / Capability</w:t>
            </w:r>
          </w:p>
        </w:tc>
        <w:tc>
          <w:tcPr>
            <w:tcW w:w="1200" w:type="dxa"/>
            <w:shd w:val="clear" w:color="auto" w:fill="1F3864"/>
            <w:tcMar>
              <w:top w:w="80" w:type="dxa"/>
              <w:left w:w="100" w:type="dxa"/>
              <w:bottom w:w="80" w:type="dxa"/>
              <w:right w:w="100" w:type="dxa"/>
            </w:tcMar>
            <w:vAlign w:val="center"/>
          </w:tcPr>
          <w:p w14:paraId="3DFB51DA"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Valuable?</w:t>
            </w:r>
          </w:p>
        </w:tc>
        <w:tc>
          <w:tcPr>
            <w:tcW w:w="1200" w:type="dxa"/>
            <w:shd w:val="clear" w:color="auto" w:fill="1F3864"/>
            <w:tcMar>
              <w:top w:w="80" w:type="dxa"/>
              <w:left w:w="100" w:type="dxa"/>
              <w:bottom w:w="80" w:type="dxa"/>
              <w:right w:w="100" w:type="dxa"/>
            </w:tcMar>
            <w:vAlign w:val="center"/>
          </w:tcPr>
          <w:p w14:paraId="6D7FFF12"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Rare?</w:t>
            </w:r>
          </w:p>
        </w:tc>
        <w:tc>
          <w:tcPr>
            <w:tcW w:w="1700" w:type="dxa"/>
            <w:shd w:val="clear" w:color="auto" w:fill="1F3864"/>
            <w:tcMar>
              <w:top w:w="80" w:type="dxa"/>
              <w:left w:w="100" w:type="dxa"/>
              <w:bottom w:w="80" w:type="dxa"/>
              <w:right w:w="100" w:type="dxa"/>
            </w:tcMar>
            <w:vAlign w:val="center"/>
          </w:tcPr>
          <w:p w14:paraId="62693E70"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Costly to imitate?</w:t>
            </w:r>
          </w:p>
        </w:tc>
        <w:tc>
          <w:tcPr>
            <w:tcW w:w="1200" w:type="dxa"/>
            <w:shd w:val="clear" w:color="auto" w:fill="1F3864"/>
            <w:tcMar>
              <w:top w:w="80" w:type="dxa"/>
              <w:left w:w="100" w:type="dxa"/>
              <w:bottom w:w="80" w:type="dxa"/>
              <w:right w:w="100" w:type="dxa"/>
            </w:tcMar>
            <w:vAlign w:val="center"/>
          </w:tcPr>
          <w:p w14:paraId="7A8D33EA"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Organised?</w:t>
            </w:r>
          </w:p>
        </w:tc>
        <w:tc>
          <w:tcPr>
            <w:tcW w:w="1600" w:type="dxa"/>
            <w:shd w:val="clear" w:color="auto" w:fill="1F3864"/>
            <w:tcMar>
              <w:top w:w="80" w:type="dxa"/>
              <w:left w:w="100" w:type="dxa"/>
              <w:bottom w:w="80" w:type="dxa"/>
              <w:right w:w="100" w:type="dxa"/>
            </w:tcMar>
            <w:vAlign w:val="center"/>
          </w:tcPr>
          <w:p w14:paraId="160D810F"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Competitive implication</w:t>
            </w:r>
          </w:p>
        </w:tc>
      </w:tr>
      <w:tr w:rsidR="00064743" w:rsidRPr="00A55638" w14:paraId="51A9AEEE" w14:textId="77777777">
        <w:tc>
          <w:tcPr>
            <w:tcW w:w="2600" w:type="dxa"/>
            <w:shd w:val="clear" w:color="auto" w:fill="F2F2F2"/>
            <w:tcMar>
              <w:top w:w="80" w:type="dxa"/>
              <w:left w:w="100" w:type="dxa"/>
              <w:bottom w:w="80" w:type="dxa"/>
              <w:right w:w="100" w:type="dxa"/>
            </w:tcMar>
            <w:vAlign w:val="center"/>
          </w:tcPr>
          <w:p w14:paraId="332D1D0F"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8"/>
                <w:szCs w:val="18"/>
              </w:rPr>
              <w:t>Premium brand equity</w:t>
            </w:r>
          </w:p>
        </w:tc>
        <w:tc>
          <w:tcPr>
            <w:tcW w:w="1200" w:type="dxa"/>
            <w:shd w:val="clear" w:color="auto" w:fill="F2F2F2"/>
            <w:tcMar>
              <w:top w:w="80" w:type="dxa"/>
              <w:left w:w="100" w:type="dxa"/>
              <w:bottom w:w="80" w:type="dxa"/>
              <w:right w:w="100" w:type="dxa"/>
            </w:tcMar>
            <w:vAlign w:val="center"/>
          </w:tcPr>
          <w:p w14:paraId="64C09600"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8"/>
                <w:szCs w:val="18"/>
              </w:rPr>
              <w:t>Yes</w:t>
            </w:r>
          </w:p>
        </w:tc>
        <w:tc>
          <w:tcPr>
            <w:tcW w:w="1200" w:type="dxa"/>
            <w:shd w:val="clear" w:color="auto" w:fill="F2F2F2"/>
            <w:tcMar>
              <w:top w:w="80" w:type="dxa"/>
              <w:left w:w="100" w:type="dxa"/>
              <w:bottom w:w="80" w:type="dxa"/>
              <w:right w:w="100" w:type="dxa"/>
            </w:tcMar>
            <w:vAlign w:val="center"/>
          </w:tcPr>
          <w:p w14:paraId="4B4757C4"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8"/>
                <w:szCs w:val="18"/>
              </w:rPr>
              <w:t>Yes</w:t>
            </w:r>
          </w:p>
        </w:tc>
        <w:tc>
          <w:tcPr>
            <w:tcW w:w="1700" w:type="dxa"/>
            <w:shd w:val="clear" w:color="auto" w:fill="F2F2F2"/>
            <w:tcMar>
              <w:top w:w="80" w:type="dxa"/>
              <w:left w:w="100" w:type="dxa"/>
              <w:bottom w:w="80" w:type="dxa"/>
              <w:right w:w="100" w:type="dxa"/>
            </w:tcMar>
            <w:vAlign w:val="center"/>
          </w:tcPr>
          <w:p w14:paraId="0AFEC4E9"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8"/>
                <w:szCs w:val="18"/>
              </w:rPr>
              <w:t>Yes</w:t>
            </w:r>
          </w:p>
        </w:tc>
        <w:tc>
          <w:tcPr>
            <w:tcW w:w="1200" w:type="dxa"/>
            <w:shd w:val="clear" w:color="auto" w:fill="F2F2F2"/>
            <w:tcMar>
              <w:top w:w="80" w:type="dxa"/>
              <w:left w:w="100" w:type="dxa"/>
              <w:bottom w:w="80" w:type="dxa"/>
              <w:right w:w="100" w:type="dxa"/>
            </w:tcMar>
            <w:vAlign w:val="center"/>
          </w:tcPr>
          <w:p w14:paraId="6AD4D5CA"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8"/>
                <w:szCs w:val="18"/>
              </w:rPr>
              <w:t>Yes</w:t>
            </w:r>
          </w:p>
        </w:tc>
        <w:tc>
          <w:tcPr>
            <w:tcW w:w="1600" w:type="dxa"/>
            <w:shd w:val="clear" w:color="auto" w:fill="F2F2F2"/>
            <w:tcMar>
              <w:top w:w="80" w:type="dxa"/>
              <w:left w:w="100" w:type="dxa"/>
              <w:bottom w:w="80" w:type="dxa"/>
              <w:right w:w="100" w:type="dxa"/>
            </w:tcMar>
            <w:vAlign w:val="center"/>
          </w:tcPr>
          <w:p w14:paraId="021A9A9A" w14:textId="77777777" w:rsidR="00064743" w:rsidRPr="00A55638" w:rsidRDefault="001E743A" w:rsidP="003D3FB7">
            <w:pPr>
              <w:spacing w:line="360" w:lineRule="auto"/>
              <w:rPr>
                <w:rFonts w:ascii="Arial" w:hAnsi="Arial" w:cs="Arial"/>
              </w:rPr>
            </w:pPr>
            <w:r w:rsidRPr="00A55638">
              <w:rPr>
                <w:rFonts w:ascii="Arial" w:hAnsi="Arial" w:cs="Arial"/>
                <w:color w:val="000000"/>
                <w:sz w:val="18"/>
                <w:szCs w:val="18"/>
              </w:rPr>
              <w:t>Sustained advantage</w:t>
            </w:r>
          </w:p>
        </w:tc>
      </w:tr>
      <w:tr w:rsidR="00064743" w:rsidRPr="00A55638" w14:paraId="3524624F" w14:textId="77777777">
        <w:tc>
          <w:tcPr>
            <w:tcW w:w="2600" w:type="dxa"/>
            <w:shd w:val="clear" w:color="auto" w:fill="FFFFFF"/>
            <w:tcMar>
              <w:top w:w="80" w:type="dxa"/>
              <w:left w:w="100" w:type="dxa"/>
              <w:bottom w:w="80" w:type="dxa"/>
              <w:right w:w="100" w:type="dxa"/>
            </w:tcMar>
            <w:vAlign w:val="center"/>
          </w:tcPr>
          <w:p w14:paraId="75A8C803"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8"/>
                <w:szCs w:val="18"/>
              </w:rPr>
              <w:t>Financial Services / leasing platform</w:t>
            </w:r>
          </w:p>
        </w:tc>
        <w:tc>
          <w:tcPr>
            <w:tcW w:w="1200" w:type="dxa"/>
            <w:shd w:val="clear" w:color="auto" w:fill="FFFFFF"/>
            <w:tcMar>
              <w:top w:w="80" w:type="dxa"/>
              <w:left w:w="100" w:type="dxa"/>
              <w:bottom w:w="80" w:type="dxa"/>
              <w:right w:w="100" w:type="dxa"/>
            </w:tcMar>
            <w:vAlign w:val="center"/>
          </w:tcPr>
          <w:p w14:paraId="670E0CFB"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8"/>
                <w:szCs w:val="18"/>
              </w:rPr>
              <w:t>Yes</w:t>
            </w:r>
          </w:p>
        </w:tc>
        <w:tc>
          <w:tcPr>
            <w:tcW w:w="1200" w:type="dxa"/>
            <w:shd w:val="clear" w:color="auto" w:fill="FFFFFF"/>
            <w:tcMar>
              <w:top w:w="80" w:type="dxa"/>
              <w:left w:w="100" w:type="dxa"/>
              <w:bottom w:w="80" w:type="dxa"/>
              <w:right w:w="100" w:type="dxa"/>
            </w:tcMar>
            <w:vAlign w:val="center"/>
          </w:tcPr>
          <w:p w14:paraId="2114D69F"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8"/>
                <w:szCs w:val="18"/>
              </w:rPr>
              <w:t>Yes</w:t>
            </w:r>
          </w:p>
        </w:tc>
        <w:tc>
          <w:tcPr>
            <w:tcW w:w="1700" w:type="dxa"/>
            <w:shd w:val="clear" w:color="auto" w:fill="FFFFFF"/>
            <w:tcMar>
              <w:top w:w="80" w:type="dxa"/>
              <w:left w:w="100" w:type="dxa"/>
              <w:bottom w:w="80" w:type="dxa"/>
              <w:right w:w="100" w:type="dxa"/>
            </w:tcMar>
            <w:vAlign w:val="center"/>
          </w:tcPr>
          <w:p w14:paraId="377A58A5"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8"/>
                <w:szCs w:val="18"/>
              </w:rPr>
              <w:t>No</w:t>
            </w:r>
          </w:p>
        </w:tc>
        <w:tc>
          <w:tcPr>
            <w:tcW w:w="1200" w:type="dxa"/>
            <w:shd w:val="clear" w:color="auto" w:fill="FFFFFF"/>
            <w:tcMar>
              <w:top w:w="80" w:type="dxa"/>
              <w:left w:w="100" w:type="dxa"/>
              <w:bottom w:w="80" w:type="dxa"/>
              <w:right w:w="100" w:type="dxa"/>
            </w:tcMar>
            <w:vAlign w:val="center"/>
          </w:tcPr>
          <w:p w14:paraId="6BA78556"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8"/>
                <w:szCs w:val="18"/>
              </w:rPr>
              <w:t>Yes</w:t>
            </w:r>
          </w:p>
        </w:tc>
        <w:tc>
          <w:tcPr>
            <w:tcW w:w="1600" w:type="dxa"/>
            <w:shd w:val="clear" w:color="auto" w:fill="FFFFFF"/>
            <w:tcMar>
              <w:top w:w="80" w:type="dxa"/>
              <w:left w:w="100" w:type="dxa"/>
              <w:bottom w:w="80" w:type="dxa"/>
              <w:right w:w="100" w:type="dxa"/>
            </w:tcMar>
            <w:vAlign w:val="center"/>
          </w:tcPr>
          <w:p w14:paraId="14B31474" w14:textId="77777777" w:rsidR="00064743" w:rsidRPr="00A55638" w:rsidRDefault="001E743A" w:rsidP="003D3FB7">
            <w:pPr>
              <w:spacing w:line="360" w:lineRule="auto"/>
              <w:rPr>
                <w:rFonts w:ascii="Arial" w:hAnsi="Arial" w:cs="Arial"/>
              </w:rPr>
            </w:pPr>
            <w:r w:rsidRPr="00A55638">
              <w:rPr>
                <w:rFonts w:ascii="Arial" w:hAnsi="Arial" w:cs="Arial"/>
                <w:color w:val="000000"/>
                <w:sz w:val="18"/>
                <w:szCs w:val="18"/>
              </w:rPr>
              <w:t>Temporary advantage</w:t>
            </w:r>
          </w:p>
        </w:tc>
      </w:tr>
      <w:tr w:rsidR="00064743" w:rsidRPr="00A55638" w14:paraId="0DADA473" w14:textId="77777777">
        <w:tc>
          <w:tcPr>
            <w:tcW w:w="2600" w:type="dxa"/>
            <w:shd w:val="clear" w:color="auto" w:fill="F2F2F2"/>
            <w:tcMar>
              <w:top w:w="80" w:type="dxa"/>
              <w:left w:w="100" w:type="dxa"/>
              <w:bottom w:w="80" w:type="dxa"/>
              <w:right w:w="100" w:type="dxa"/>
            </w:tcMar>
            <w:vAlign w:val="center"/>
          </w:tcPr>
          <w:p w14:paraId="4FDC4511"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8"/>
                <w:szCs w:val="18"/>
              </w:rPr>
              <w:t>Neue Klasse software architecture</w:t>
            </w:r>
          </w:p>
        </w:tc>
        <w:tc>
          <w:tcPr>
            <w:tcW w:w="1200" w:type="dxa"/>
            <w:shd w:val="clear" w:color="auto" w:fill="F2F2F2"/>
            <w:tcMar>
              <w:top w:w="80" w:type="dxa"/>
              <w:left w:w="100" w:type="dxa"/>
              <w:bottom w:w="80" w:type="dxa"/>
              <w:right w:w="100" w:type="dxa"/>
            </w:tcMar>
            <w:vAlign w:val="center"/>
          </w:tcPr>
          <w:p w14:paraId="50528B3F"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8"/>
                <w:szCs w:val="18"/>
              </w:rPr>
              <w:t>Yes</w:t>
            </w:r>
          </w:p>
        </w:tc>
        <w:tc>
          <w:tcPr>
            <w:tcW w:w="1200" w:type="dxa"/>
            <w:shd w:val="clear" w:color="auto" w:fill="F2F2F2"/>
            <w:tcMar>
              <w:top w:w="80" w:type="dxa"/>
              <w:left w:w="100" w:type="dxa"/>
              <w:bottom w:w="80" w:type="dxa"/>
              <w:right w:w="100" w:type="dxa"/>
            </w:tcMar>
            <w:vAlign w:val="center"/>
          </w:tcPr>
          <w:p w14:paraId="09B4C336"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8"/>
                <w:szCs w:val="18"/>
              </w:rPr>
              <w:t>Yes</w:t>
            </w:r>
          </w:p>
        </w:tc>
        <w:tc>
          <w:tcPr>
            <w:tcW w:w="1700" w:type="dxa"/>
            <w:shd w:val="clear" w:color="auto" w:fill="F2F2F2"/>
            <w:tcMar>
              <w:top w:w="80" w:type="dxa"/>
              <w:left w:w="100" w:type="dxa"/>
              <w:bottom w:w="80" w:type="dxa"/>
              <w:right w:w="100" w:type="dxa"/>
            </w:tcMar>
            <w:vAlign w:val="center"/>
          </w:tcPr>
          <w:p w14:paraId="76B1A17E"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8"/>
                <w:szCs w:val="18"/>
              </w:rPr>
              <w:t>Unconfirmed</w:t>
            </w:r>
          </w:p>
        </w:tc>
        <w:tc>
          <w:tcPr>
            <w:tcW w:w="1200" w:type="dxa"/>
            <w:shd w:val="clear" w:color="auto" w:fill="F2F2F2"/>
            <w:tcMar>
              <w:top w:w="80" w:type="dxa"/>
              <w:left w:w="100" w:type="dxa"/>
              <w:bottom w:w="80" w:type="dxa"/>
              <w:right w:w="100" w:type="dxa"/>
            </w:tcMar>
            <w:vAlign w:val="center"/>
          </w:tcPr>
          <w:p w14:paraId="178D456E"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8"/>
                <w:szCs w:val="18"/>
              </w:rPr>
              <w:t>Yes</w:t>
            </w:r>
          </w:p>
        </w:tc>
        <w:tc>
          <w:tcPr>
            <w:tcW w:w="1600" w:type="dxa"/>
            <w:shd w:val="clear" w:color="auto" w:fill="F2F2F2"/>
            <w:tcMar>
              <w:top w:w="80" w:type="dxa"/>
              <w:left w:w="100" w:type="dxa"/>
              <w:bottom w:w="80" w:type="dxa"/>
              <w:right w:w="100" w:type="dxa"/>
            </w:tcMar>
            <w:vAlign w:val="center"/>
          </w:tcPr>
          <w:p w14:paraId="21AD3A98" w14:textId="77777777" w:rsidR="00064743" w:rsidRPr="00A55638" w:rsidRDefault="001E743A" w:rsidP="003D3FB7">
            <w:pPr>
              <w:spacing w:line="360" w:lineRule="auto"/>
              <w:rPr>
                <w:rFonts w:ascii="Arial" w:hAnsi="Arial" w:cs="Arial"/>
              </w:rPr>
            </w:pPr>
            <w:r w:rsidRPr="00A55638">
              <w:rPr>
                <w:rFonts w:ascii="Arial" w:hAnsi="Arial" w:cs="Arial"/>
                <w:color w:val="000000"/>
                <w:sz w:val="18"/>
                <w:szCs w:val="18"/>
              </w:rPr>
              <w:t>Potential, unproven advantage</w:t>
            </w:r>
          </w:p>
        </w:tc>
      </w:tr>
    </w:tbl>
    <w:p w14:paraId="598A9157" w14:textId="77777777" w:rsidR="00064743" w:rsidRPr="00A55638" w:rsidRDefault="001E743A" w:rsidP="003D3FB7">
      <w:pPr>
        <w:spacing w:before="100" w:after="300" w:line="360" w:lineRule="auto"/>
        <w:jc w:val="center"/>
        <w:rPr>
          <w:rFonts w:ascii="Arial" w:hAnsi="Arial" w:cs="Arial"/>
        </w:rPr>
      </w:pPr>
      <w:r w:rsidRPr="00A55638">
        <w:rPr>
          <w:rFonts w:ascii="Arial" w:hAnsi="Arial" w:cs="Arial"/>
          <w:i/>
          <w:iCs/>
          <w:color w:val="595959"/>
          <w:sz w:val="20"/>
          <w:szCs w:val="20"/>
        </w:rPr>
        <w:t>Figure 5: VRIO analysis — BMW Group key resources and capabilities. Source: author’s analysis, compiled from BMW Group (2025, 2026d).</w:t>
      </w:r>
    </w:p>
    <w:p w14:paraId="33F68DF9" w14:textId="77777777" w:rsidR="00064743" w:rsidRPr="00A55638" w:rsidRDefault="001E743A" w:rsidP="003D3FB7">
      <w:pPr>
        <w:spacing w:after="200" w:line="360" w:lineRule="auto"/>
        <w:jc w:val="both"/>
        <w:rPr>
          <w:rFonts w:ascii="Arial" w:hAnsi="Arial" w:cs="Arial"/>
        </w:rPr>
      </w:pPr>
      <w:r w:rsidRPr="00A55638">
        <w:rPr>
          <w:rFonts w:ascii="Arial" w:hAnsi="Arial" w:cs="Arial"/>
        </w:rPr>
        <w:t>Value Chain analysis adds relatively little beyond what the UK manufacturing discussion in Section 2 already covers, so it is not repeated in full here. A BCG Matrix is deliberately omitted too: without segment-level market share and growth data that BMW does not disclose publicly for BMW, MINI and Rolls-Royce individually, plotting them would involve more assumption than analysis — a scope decision rather than an oversight.</w:t>
      </w:r>
    </w:p>
    <w:p w14:paraId="14B15B5B" w14:textId="77777777" w:rsidR="00064743" w:rsidRPr="00A55638" w:rsidRDefault="001E743A" w:rsidP="003D3FB7">
      <w:pPr>
        <w:pStyle w:val="Heading1"/>
        <w:spacing w:before="400" w:after="200" w:line="360" w:lineRule="auto"/>
        <w:rPr>
          <w:rFonts w:ascii="Arial" w:hAnsi="Arial" w:cs="Arial"/>
        </w:rPr>
      </w:pPr>
      <w:bookmarkStart w:id="7" w:name="_Toc237529943"/>
      <w:r w:rsidRPr="00A55638">
        <w:rPr>
          <w:rFonts w:ascii="Arial" w:hAnsi="Arial" w:cs="Arial"/>
          <w:b/>
          <w:bCs/>
          <w:color w:val="1F3864"/>
          <w:sz w:val="30"/>
          <w:szCs w:val="30"/>
        </w:rPr>
        <w:t>6. Strategy Formulation</w:t>
      </w:r>
      <w:bookmarkEnd w:id="7"/>
    </w:p>
    <w:p w14:paraId="2980666A" w14:textId="77777777" w:rsidR="00B231FF" w:rsidRPr="00B231FF" w:rsidRDefault="00B231FF" w:rsidP="00B231FF">
      <w:pPr>
        <w:spacing w:before="200" w:after="80" w:line="360" w:lineRule="auto"/>
        <w:rPr>
          <w:rFonts w:ascii="Arial" w:hAnsi="Arial" w:cs="Arial"/>
          <w:lang w:val="en-US"/>
        </w:rPr>
      </w:pPr>
      <w:r w:rsidRPr="00B231FF">
        <w:rPr>
          <w:rFonts w:ascii="Arial" w:hAnsi="Arial" w:cs="Arial"/>
          <w:lang w:val="en-US"/>
        </w:rPr>
        <w:t>Rather than a generic "continue developing EVs" recommendation, the strategy rests on three pillars built on existing BMW capability. First, tie Neue Klasse's software-defined architecture to revenue by selling software — driver-assistance upgrades, connected features — through BMW's existing Financial Services leasing infrastructure rather than building a separate digital business.</w:t>
      </w:r>
    </w:p>
    <w:p w14:paraId="3DE5B8E4" w14:textId="494D3EF7" w:rsidR="00B231FF" w:rsidRPr="00B231FF" w:rsidRDefault="00B231FF" w:rsidP="00B231FF">
      <w:pPr>
        <w:spacing w:before="200" w:after="80" w:line="360" w:lineRule="auto"/>
        <w:rPr>
          <w:rFonts w:ascii="Arial" w:hAnsi="Arial" w:cs="Arial"/>
          <w:lang w:val="en-US"/>
        </w:rPr>
      </w:pPr>
      <w:r w:rsidRPr="00B231FF">
        <w:rPr>
          <w:rFonts w:ascii="Arial" w:hAnsi="Arial" w:cs="Arial"/>
          <w:lang w:val="en-US"/>
        </w:rPr>
        <w:t>Second, deepen the battery ecosystem BMW has built over a decade: the CATL relationship (since</w:t>
      </w:r>
      <w:r>
        <w:rPr>
          <w:rFonts w:ascii="Arial" w:hAnsi="Arial" w:cs="Arial"/>
          <w:lang w:val="en-US"/>
        </w:rPr>
        <w:t xml:space="preserve"> </w:t>
      </w:r>
      <w:r w:rsidRPr="00B231FF">
        <w:rPr>
          <w:rFonts w:ascii="Arial" w:hAnsi="Arial" w:cs="Arial"/>
          <w:lang w:val="en-US"/>
        </w:rPr>
        <w:t xml:space="preserve">2012) is extending into decarbonisation and traceability via Battery Passport and Catena-X (Electric Cars Report, 2026); Solid Power gives BMW input on solid-state development (Solid Power, Inc., 2026); and AI-driven testing with the University of Zagreb is cutting production cycles </w:t>
      </w:r>
      <w:r w:rsidRPr="00B231FF">
        <w:rPr>
          <w:rFonts w:ascii="Arial" w:hAnsi="Arial" w:cs="Arial"/>
          <w:lang w:val="en-US"/>
        </w:rPr>
        <w:lastRenderedPageBreak/>
        <w:t>(Electrive, 2026). Extending this into UK operations strengthens supply chain resilience using relationships that already exist.</w:t>
      </w:r>
    </w:p>
    <w:p w14:paraId="081A480C" w14:textId="122C03D6" w:rsidR="00064743" w:rsidRPr="00A55638" w:rsidRDefault="00FE77C9" w:rsidP="00B231FF">
      <w:pPr>
        <w:spacing w:before="200" w:after="80" w:line="360" w:lineRule="auto"/>
        <w:rPr>
          <w:rFonts w:ascii="Arial" w:hAnsi="Arial" w:cs="Arial"/>
        </w:rPr>
      </w:pPr>
      <w:r w:rsidRPr="00FE77C9">
        <w:rPr>
          <w:rFonts w:ascii="Arial" w:hAnsi="Arial" w:cs="Arial"/>
        </w:rPr>
        <w:t>BMW acknowledges its limitation in competing in a price war against BYD or MG due to their cost structures but aims to focus on enhancing ownership experience through software longevity, brand</w:t>
      </w:r>
      <w:r>
        <w:rPr>
          <w:rFonts w:ascii="Arial" w:hAnsi="Arial" w:cs="Arial"/>
        </w:rPr>
        <w:t xml:space="preserve"> </w:t>
      </w:r>
      <w:r w:rsidRPr="00FE77C9">
        <w:rPr>
          <w:rFonts w:ascii="Arial" w:hAnsi="Arial" w:cs="Arial"/>
        </w:rPr>
        <w:t>heritage, and financial service packages to close the gap in the UK BEV market share.</w:t>
      </w:r>
      <w:r w:rsidR="001E743A" w:rsidRPr="00A55638">
        <w:rPr>
          <w:rFonts w:ascii="Arial" w:hAnsi="Arial" w:cs="Arial"/>
          <w:noProof/>
        </w:rPr>
        <w:drawing>
          <wp:inline distT="0" distB="0" distL="0" distR="0" wp14:anchorId="1F5A029C" wp14:editId="5B22EE84">
            <wp:extent cx="4572000" cy="2743200"/>
            <wp:effectExtent l="0" t="0" r="0" b="0"/>
            <wp:docPr id="1611102333" name="Picture 161110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572000" cy="2743200"/>
                    </a:xfrm>
                    <a:prstGeom prst="rect">
                      <a:avLst/>
                    </a:prstGeom>
                  </pic:spPr>
                </pic:pic>
              </a:graphicData>
            </a:graphic>
          </wp:inline>
        </w:drawing>
      </w:r>
    </w:p>
    <w:p w14:paraId="734AA463" w14:textId="77777777" w:rsidR="00064743" w:rsidRPr="00A55638" w:rsidRDefault="001E743A" w:rsidP="003D3FB7">
      <w:pPr>
        <w:spacing w:before="100" w:after="300" w:line="360" w:lineRule="auto"/>
        <w:jc w:val="center"/>
        <w:rPr>
          <w:rFonts w:ascii="Arial" w:hAnsi="Arial" w:cs="Arial"/>
        </w:rPr>
      </w:pPr>
      <w:r w:rsidRPr="00A55638">
        <w:rPr>
          <w:rFonts w:ascii="Arial" w:hAnsi="Arial" w:cs="Arial"/>
          <w:i/>
          <w:iCs/>
          <w:color w:val="595959"/>
          <w:sz w:val="20"/>
          <w:szCs w:val="20"/>
        </w:rPr>
        <w:t>Figure 6: BMW/MINI UK BEV share (2025) against ZEV Mandate targets, 2026–2028. Source: compiled from BMW Group UK (2026) and SMMT (2026).</w:t>
      </w:r>
    </w:p>
    <w:p w14:paraId="1191545E" w14:textId="77777777" w:rsidR="00064743" w:rsidRPr="00A55638" w:rsidRDefault="001E743A" w:rsidP="003D3FB7">
      <w:pPr>
        <w:pStyle w:val="Heading2"/>
        <w:spacing w:before="300" w:after="150" w:line="360" w:lineRule="auto"/>
        <w:rPr>
          <w:rFonts w:ascii="Arial" w:hAnsi="Arial" w:cs="Arial"/>
        </w:rPr>
      </w:pPr>
      <w:r w:rsidRPr="00A55638">
        <w:rPr>
          <w:rFonts w:ascii="Arial" w:hAnsi="Arial" w:cs="Arial"/>
          <w:b/>
          <w:bCs/>
          <w:color w:val="2E5EAA"/>
          <w:sz w:val="25"/>
          <w:szCs w:val="25"/>
        </w:rPr>
        <w:t>Implementation Plan</w:t>
      </w:r>
    </w:p>
    <w:p w14:paraId="0F5E4AEE" w14:textId="77777777" w:rsidR="00064743" w:rsidRPr="00A55638" w:rsidRDefault="001E743A" w:rsidP="003D3FB7">
      <w:pPr>
        <w:spacing w:after="200" w:line="360" w:lineRule="auto"/>
        <w:jc w:val="both"/>
        <w:rPr>
          <w:rFonts w:ascii="Arial" w:hAnsi="Arial" w:cs="Arial"/>
        </w:rPr>
      </w:pPr>
      <w:r w:rsidRPr="00A55638">
        <w:rPr>
          <w:rFonts w:ascii="Arial" w:hAnsi="Arial" w:cs="Arial"/>
        </w:rPr>
        <w:t>Turning these three pillars into practice requires a phased approach, summarised in Figure 7: foundation-building in 2026–2027, production and sourcing scale-up in 2027–2028, and consolidation of the experience-based positioning from 2028 to 2030.</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67"/>
        <w:gridCol w:w="1393"/>
        <w:gridCol w:w="4156"/>
        <w:gridCol w:w="2484"/>
      </w:tblGrid>
      <w:tr w:rsidR="00064743" w:rsidRPr="00A55638" w14:paraId="0D09E980" w14:textId="77777777">
        <w:trPr>
          <w:tblHeader/>
        </w:trPr>
        <w:tc>
          <w:tcPr>
            <w:tcW w:w="1400" w:type="dxa"/>
            <w:shd w:val="clear" w:color="auto" w:fill="1F3864"/>
            <w:tcMar>
              <w:top w:w="80" w:type="dxa"/>
              <w:left w:w="100" w:type="dxa"/>
              <w:bottom w:w="80" w:type="dxa"/>
              <w:right w:w="100" w:type="dxa"/>
            </w:tcMar>
            <w:vAlign w:val="center"/>
          </w:tcPr>
          <w:p w14:paraId="2F6D4974"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Phase</w:t>
            </w:r>
          </w:p>
        </w:tc>
        <w:tc>
          <w:tcPr>
            <w:tcW w:w="1400" w:type="dxa"/>
            <w:shd w:val="clear" w:color="auto" w:fill="1F3864"/>
            <w:tcMar>
              <w:top w:w="80" w:type="dxa"/>
              <w:left w:w="100" w:type="dxa"/>
              <w:bottom w:w="80" w:type="dxa"/>
              <w:right w:w="100" w:type="dxa"/>
            </w:tcMar>
            <w:vAlign w:val="center"/>
          </w:tcPr>
          <w:p w14:paraId="0EA7BB70"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Timeline</w:t>
            </w:r>
          </w:p>
        </w:tc>
        <w:tc>
          <w:tcPr>
            <w:tcW w:w="4200" w:type="dxa"/>
            <w:shd w:val="clear" w:color="auto" w:fill="1F3864"/>
            <w:tcMar>
              <w:top w:w="80" w:type="dxa"/>
              <w:left w:w="100" w:type="dxa"/>
              <w:bottom w:w="80" w:type="dxa"/>
              <w:right w:w="100" w:type="dxa"/>
            </w:tcMar>
            <w:vAlign w:val="center"/>
          </w:tcPr>
          <w:p w14:paraId="53CE786D"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Key actions</w:t>
            </w:r>
          </w:p>
        </w:tc>
        <w:tc>
          <w:tcPr>
            <w:tcW w:w="2500" w:type="dxa"/>
            <w:shd w:val="clear" w:color="auto" w:fill="1F3864"/>
            <w:tcMar>
              <w:top w:w="80" w:type="dxa"/>
              <w:left w:w="100" w:type="dxa"/>
              <w:bottom w:w="80" w:type="dxa"/>
              <w:right w:w="100" w:type="dxa"/>
            </w:tcMar>
            <w:vAlign w:val="center"/>
          </w:tcPr>
          <w:p w14:paraId="32EEC50A"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Lead responsibility</w:t>
            </w:r>
          </w:p>
        </w:tc>
      </w:tr>
      <w:tr w:rsidR="00064743" w:rsidRPr="00A55638" w14:paraId="21C77D3E" w14:textId="77777777">
        <w:tc>
          <w:tcPr>
            <w:tcW w:w="1400" w:type="dxa"/>
            <w:shd w:val="clear" w:color="auto" w:fill="F2F2F2"/>
            <w:tcMar>
              <w:top w:w="80" w:type="dxa"/>
              <w:left w:w="100" w:type="dxa"/>
              <w:bottom w:w="80" w:type="dxa"/>
              <w:right w:w="100" w:type="dxa"/>
            </w:tcMar>
            <w:vAlign w:val="center"/>
          </w:tcPr>
          <w:p w14:paraId="504F974F"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9"/>
                <w:szCs w:val="19"/>
              </w:rPr>
              <w:t>Phase 1: Foundation</w:t>
            </w:r>
          </w:p>
        </w:tc>
        <w:tc>
          <w:tcPr>
            <w:tcW w:w="1400" w:type="dxa"/>
            <w:shd w:val="clear" w:color="auto" w:fill="F2F2F2"/>
            <w:tcMar>
              <w:top w:w="80" w:type="dxa"/>
              <w:left w:w="100" w:type="dxa"/>
              <w:bottom w:w="80" w:type="dxa"/>
              <w:right w:w="100" w:type="dxa"/>
            </w:tcMar>
            <w:vAlign w:val="center"/>
          </w:tcPr>
          <w:p w14:paraId="186C9A4D"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9"/>
                <w:szCs w:val="19"/>
              </w:rPr>
              <w:t>2026–2027</w:t>
            </w:r>
          </w:p>
        </w:tc>
        <w:tc>
          <w:tcPr>
            <w:tcW w:w="4200" w:type="dxa"/>
            <w:shd w:val="clear" w:color="auto" w:fill="F2F2F2"/>
            <w:tcMar>
              <w:top w:w="80" w:type="dxa"/>
              <w:left w:w="100" w:type="dxa"/>
              <w:bottom w:w="80" w:type="dxa"/>
              <w:right w:w="100" w:type="dxa"/>
            </w:tcMar>
            <w:vAlign w:val="center"/>
          </w:tcPr>
          <w:p w14:paraId="19684555"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Embed digital-service subscriptions into leasing contracts; extend CATL/Solid Power collaboration to UK battery sourcing</w:t>
            </w:r>
          </w:p>
        </w:tc>
        <w:tc>
          <w:tcPr>
            <w:tcW w:w="2500" w:type="dxa"/>
            <w:shd w:val="clear" w:color="auto" w:fill="F2F2F2"/>
            <w:tcMar>
              <w:top w:w="80" w:type="dxa"/>
              <w:left w:w="100" w:type="dxa"/>
              <w:bottom w:w="80" w:type="dxa"/>
              <w:right w:w="100" w:type="dxa"/>
            </w:tcMar>
            <w:vAlign w:val="center"/>
          </w:tcPr>
          <w:p w14:paraId="50387AAF"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BMW UK commercial team; Financial Services</w:t>
            </w:r>
          </w:p>
        </w:tc>
      </w:tr>
      <w:tr w:rsidR="00064743" w:rsidRPr="00A55638" w14:paraId="46C83647" w14:textId="77777777">
        <w:tc>
          <w:tcPr>
            <w:tcW w:w="1400" w:type="dxa"/>
            <w:shd w:val="clear" w:color="auto" w:fill="FFFFFF"/>
            <w:tcMar>
              <w:top w:w="80" w:type="dxa"/>
              <w:left w:w="100" w:type="dxa"/>
              <w:bottom w:w="80" w:type="dxa"/>
              <w:right w:w="100" w:type="dxa"/>
            </w:tcMar>
            <w:vAlign w:val="center"/>
          </w:tcPr>
          <w:p w14:paraId="7D1C7C0D"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9"/>
                <w:szCs w:val="19"/>
              </w:rPr>
              <w:t>Phase 2: Scale-up</w:t>
            </w:r>
          </w:p>
        </w:tc>
        <w:tc>
          <w:tcPr>
            <w:tcW w:w="1400" w:type="dxa"/>
            <w:shd w:val="clear" w:color="auto" w:fill="FFFFFF"/>
            <w:tcMar>
              <w:top w:w="80" w:type="dxa"/>
              <w:left w:w="100" w:type="dxa"/>
              <w:bottom w:w="80" w:type="dxa"/>
              <w:right w:w="100" w:type="dxa"/>
            </w:tcMar>
            <w:vAlign w:val="center"/>
          </w:tcPr>
          <w:p w14:paraId="48CFF855"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9"/>
                <w:szCs w:val="19"/>
              </w:rPr>
              <w:t>2027–2028</w:t>
            </w:r>
          </w:p>
        </w:tc>
        <w:tc>
          <w:tcPr>
            <w:tcW w:w="4200" w:type="dxa"/>
            <w:shd w:val="clear" w:color="auto" w:fill="FFFFFF"/>
            <w:tcMar>
              <w:top w:w="80" w:type="dxa"/>
              <w:left w:w="100" w:type="dxa"/>
              <w:bottom w:w="80" w:type="dxa"/>
              <w:right w:w="100" w:type="dxa"/>
            </w:tcMar>
            <w:vAlign w:val="center"/>
          </w:tcPr>
          <w:p w14:paraId="6D76A739"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Scale Neue Klasse production at UK-adjacent sites; roll out decarbonised battery framework across Oxford conversion</w:t>
            </w:r>
          </w:p>
        </w:tc>
        <w:tc>
          <w:tcPr>
            <w:tcW w:w="2500" w:type="dxa"/>
            <w:shd w:val="clear" w:color="auto" w:fill="FFFFFF"/>
            <w:tcMar>
              <w:top w:w="80" w:type="dxa"/>
              <w:left w:w="100" w:type="dxa"/>
              <w:bottom w:w="80" w:type="dxa"/>
              <w:right w:w="100" w:type="dxa"/>
            </w:tcMar>
            <w:vAlign w:val="center"/>
          </w:tcPr>
          <w:p w14:paraId="7BFA2772"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BMW Group Production; Oxford plant leadership</w:t>
            </w:r>
          </w:p>
        </w:tc>
      </w:tr>
      <w:tr w:rsidR="00064743" w:rsidRPr="00A55638" w14:paraId="7D18958E" w14:textId="77777777">
        <w:tc>
          <w:tcPr>
            <w:tcW w:w="1400" w:type="dxa"/>
            <w:shd w:val="clear" w:color="auto" w:fill="F2F2F2"/>
            <w:tcMar>
              <w:top w:w="80" w:type="dxa"/>
              <w:left w:w="100" w:type="dxa"/>
              <w:bottom w:w="80" w:type="dxa"/>
              <w:right w:w="100" w:type="dxa"/>
            </w:tcMar>
            <w:vAlign w:val="center"/>
          </w:tcPr>
          <w:p w14:paraId="09D710FF"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9"/>
                <w:szCs w:val="19"/>
              </w:rPr>
              <w:t>Phase 3: Consolidation</w:t>
            </w:r>
          </w:p>
        </w:tc>
        <w:tc>
          <w:tcPr>
            <w:tcW w:w="1400" w:type="dxa"/>
            <w:shd w:val="clear" w:color="auto" w:fill="F2F2F2"/>
            <w:tcMar>
              <w:top w:w="80" w:type="dxa"/>
              <w:left w:w="100" w:type="dxa"/>
              <w:bottom w:w="80" w:type="dxa"/>
              <w:right w:w="100" w:type="dxa"/>
            </w:tcMar>
            <w:vAlign w:val="center"/>
          </w:tcPr>
          <w:p w14:paraId="1AB3B9E4" w14:textId="77777777" w:rsidR="00064743" w:rsidRPr="00A55638" w:rsidRDefault="001E743A" w:rsidP="003D3FB7">
            <w:pPr>
              <w:spacing w:line="360" w:lineRule="auto"/>
              <w:jc w:val="center"/>
              <w:rPr>
                <w:rFonts w:ascii="Arial" w:hAnsi="Arial" w:cs="Arial"/>
              </w:rPr>
            </w:pPr>
            <w:r w:rsidRPr="00A55638">
              <w:rPr>
                <w:rFonts w:ascii="Arial" w:hAnsi="Arial" w:cs="Arial"/>
                <w:color w:val="000000"/>
                <w:sz w:val="19"/>
                <w:szCs w:val="19"/>
              </w:rPr>
              <w:t>2028–2030</w:t>
            </w:r>
          </w:p>
        </w:tc>
        <w:tc>
          <w:tcPr>
            <w:tcW w:w="4200" w:type="dxa"/>
            <w:shd w:val="clear" w:color="auto" w:fill="F2F2F2"/>
            <w:tcMar>
              <w:top w:w="80" w:type="dxa"/>
              <w:left w:w="100" w:type="dxa"/>
              <w:bottom w:w="80" w:type="dxa"/>
              <w:right w:w="100" w:type="dxa"/>
            </w:tcMar>
            <w:vAlign w:val="center"/>
          </w:tcPr>
          <w:p w14:paraId="7BEF1C97"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Embed experience-based positioning; track retention and residual-value outcomes against Chinese competitors</w:t>
            </w:r>
          </w:p>
        </w:tc>
        <w:tc>
          <w:tcPr>
            <w:tcW w:w="2500" w:type="dxa"/>
            <w:shd w:val="clear" w:color="auto" w:fill="F2F2F2"/>
            <w:tcMar>
              <w:top w:w="80" w:type="dxa"/>
              <w:left w:w="100" w:type="dxa"/>
              <w:bottom w:w="80" w:type="dxa"/>
              <w:right w:w="100" w:type="dxa"/>
            </w:tcMar>
            <w:vAlign w:val="center"/>
          </w:tcPr>
          <w:p w14:paraId="1F28D8F9"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BMW UK marketing and customer experience teams</w:t>
            </w:r>
          </w:p>
        </w:tc>
      </w:tr>
    </w:tbl>
    <w:p w14:paraId="332E6545" w14:textId="77777777" w:rsidR="00064743" w:rsidRPr="00A55638" w:rsidRDefault="001E743A" w:rsidP="003D3FB7">
      <w:pPr>
        <w:spacing w:before="100" w:after="300" w:line="360" w:lineRule="auto"/>
        <w:jc w:val="center"/>
        <w:rPr>
          <w:rFonts w:ascii="Arial" w:hAnsi="Arial" w:cs="Arial"/>
        </w:rPr>
      </w:pPr>
      <w:r w:rsidRPr="00A55638">
        <w:rPr>
          <w:rFonts w:ascii="Arial" w:hAnsi="Arial" w:cs="Arial"/>
          <w:i/>
          <w:iCs/>
          <w:color w:val="595959"/>
          <w:sz w:val="20"/>
          <w:szCs w:val="20"/>
        </w:rPr>
        <w:t>Figure 7: Implementation roadmap — BMW Group UK strategy, 2026–2030. Source: author’s analysis.</w:t>
      </w:r>
    </w:p>
    <w:p w14:paraId="15EFC523" w14:textId="77777777" w:rsidR="00064743" w:rsidRPr="00A55638" w:rsidRDefault="001E743A" w:rsidP="003D3FB7">
      <w:pPr>
        <w:spacing w:after="200" w:line="360" w:lineRule="auto"/>
        <w:jc w:val="both"/>
        <w:rPr>
          <w:rFonts w:ascii="Arial" w:hAnsi="Arial" w:cs="Arial"/>
        </w:rPr>
      </w:pPr>
      <w:r w:rsidRPr="00A55638">
        <w:rPr>
          <w:rFonts w:ascii="Arial" w:hAnsi="Arial" w:cs="Arial"/>
        </w:rPr>
        <w:lastRenderedPageBreak/>
        <w:t>Resourcing draws on BMW's existing capex allocation toward Neue Klasse and battery capacity rather than new capital, with the software-services layer led by a small cross-functional unit spanning BMW UK, Financial Services, and the group's existing digital hubs. Leadership sits with BMW Group UK's commercial team for market execution, coordinating with Munich on platform decisions. Figure 8 sets out the KPIs against which progress should be judged.</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00"/>
        <w:gridCol w:w="2800"/>
        <w:gridCol w:w="3300"/>
      </w:tblGrid>
      <w:tr w:rsidR="00064743" w:rsidRPr="00A55638" w14:paraId="0CCD076A" w14:textId="77777777">
        <w:trPr>
          <w:tblHeader/>
        </w:trPr>
        <w:tc>
          <w:tcPr>
            <w:tcW w:w="3400" w:type="dxa"/>
            <w:shd w:val="clear" w:color="auto" w:fill="1F3864"/>
            <w:tcMar>
              <w:top w:w="80" w:type="dxa"/>
              <w:left w:w="100" w:type="dxa"/>
              <w:bottom w:w="80" w:type="dxa"/>
              <w:right w:w="100" w:type="dxa"/>
            </w:tcMar>
            <w:vAlign w:val="center"/>
          </w:tcPr>
          <w:p w14:paraId="2A6A849E"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KPI</w:t>
            </w:r>
          </w:p>
        </w:tc>
        <w:tc>
          <w:tcPr>
            <w:tcW w:w="2800" w:type="dxa"/>
            <w:shd w:val="clear" w:color="auto" w:fill="1F3864"/>
            <w:tcMar>
              <w:top w:w="80" w:type="dxa"/>
              <w:left w:w="100" w:type="dxa"/>
              <w:bottom w:w="80" w:type="dxa"/>
              <w:right w:w="100" w:type="dxa"/>
            </w:tcMar>
            <w:vAlign w:val="center"/>
          </w:tcPr>
          <w:p w14:paraId="536E5E04"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Target</w:t>
            </w:r>
          </w:p>
        </w:tc>
        <w:tc>
          <w:tcPr>
            <w:tcW w:w="3300" w:type="dxa"/>
            <w:shd w:val="clear" w:color="auto" w:fill="1F3864"/>
            <w:tcMar>
              <w:top w:w="80" w:type="dxa"/>
              <w:left w:w="100" w:type="dxa"/>
              <w:bottom w:w="80" w:type="dxa"/>
              <w:right w:w="100" w:type="dxa"/>
            </w:tcMar>
            <w:vAlign w:val="center"/>
          </w:tcPr>
          <w:p w14:paraId="4C199745" w14:textId="77777777" w:rsidR="00064743" w:rsidRPr="00A55638" w:rsidRDefault="001E743A" w:rsidP="003D3FB7">
            <w:pPr>
              <w:spacing w:line="360" w:lineRule="auto"/>
              <w:rPr>
                <w:rFonts w:ascii="Arial" w:hAnsi="Arial" w:cs="Arial"/>
              </w:rPr>
            </w:pPr>
            <w:r w:rsidRPr="00A55638">
              <w:rPr>
                <w:rFonts w:ascii="Arial" w:hAnsi="Arial" w:cs="Arial"/>
                <w:b/>
                <w:bCs/>
                <w:color w:val="FFFFFF"/>
                <w:sz w:val="19"/>
                <w:szCs w:val="19"/>
              </w:rPr>
              <w:t>Measurement point</w:t>
            </w:r>
          </w:p>
        </w:tc>
      </w:tr>
      <w:tr w:rsidR="00064743" w:rsidRPr="00A55638" w14:paraId="36D2E4F7" w14:textId="77777777">
        <w:tc>
          <w:tcPr>
            <w:tcW w:w="3400" w:type="dxa"/>
            <w:shd w:val="clear" w:color="auto" w:fill="F2F2F2"/>
            <w:tcMar>
              <w:top w:w="80" w:type="dxa"/>
              <w:left w:w="100" w:type="dxa"/>
              <w:bottom w:w="80" w:type="dxa"/>
              <w:right w:w="100" w:type="dxa"/>
            </w:tcMar>
            <w:vAlign w:val="center"/>
          </w:tcPr>
          <w:p w14:paraId="30A21CB7"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9"/>
                <w:szCs w:val="19"/>
              </w:rPr>
              <w:t>Digital-service attach rate on new leases</w:t>
            </w:r>
          </w:p>
        </w:tc>
        <w:tc>
          <w:tcPr>
            <w:tcW w:w="2800" w:type="dxa"/>
            <w:shd w:val="clear" w:color="auto" w:fill="F2F2F2"/>
            <w:tcMar>
              <w:top w:w="80" w:type="dxa"/>
              <w:left w:w="100" w:type="dxa"/>
              <w:bottom w:w="80" w:type="dxa"/>
              <w:right w:w="100" w:type="dxa"/>
            </w:tcMar>
            <w:vAlign w:val="center"/>
          </w:tcPr>
          <w:p w14:paraId="56345C97"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25% by end of Phase 1</w:t>
            </w:r>
          </w:p>
        </w:tc>
        <w:tc>
          <w:tcPr>
            <w:tcW w:w="3300" w:type="dxa"/>
            <w:shd w:val="clear" w:color="auto" w:fill="F2F2F2"/>
            <w:tcMar>
              <w:top w:w="80" w:type="dxa"/>
              <w:left w:w="100" w:type="dxa"/>
              <w:bottom w:w="80" w:type="dxa"/>
              <w:right w:w="100" w:type="dxa"/>
            </w:tcMar>
            <w:vAlign w:val="center"/>
          </w:tcPr>
          <w:p w14:paraId="31D0EAF7"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Quarterly, BMW Financial Services reporting</w:t>
            </w:r>
          </w:p>
        </w:tc>
      </w:tr>
      <w:tr w:rsidR="00064743" w:rsidRPr="00A55638" w14:paraId="02ED2577" w14:textId="77777777">
        <w:tc>
          <w:tcPr>
            <w:tcW w:w="3400" w:type="dxa"/>
            <w:shd w:val="clear" w:color="auto" w:fill="FFFFFF"/>
            <w:tcMar>
              <w:top w:w="80" w:type="dxa"/>
              <w:left w:w="100" w:type="dxa"/>
              <w:bottom w:w="80" w:type="dxa"/>
              <w:right w:w="100" w:type="dxa"/>
            </w:tcMar>
            <w:vAlign w:val="center"/>
          </w:tcPr>
          <w:p w14:paraId="53A6AC66"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9"/>
                <w:szCs w:val="19"/>
              </w:rPr>
              <w:t>UK BEV share vs ZEV Mandate threshold</w:t>
            </w:r>
          </w:p>
        </w:tc>
        <w:tc>
          <w:tcPr>
            <w:tcW w:w="2800" w:type="dxa"/>
            <w:shd w:val="clear" w:color="auto" w:fill="FFFFFF"/>
            <w:tcMar>
              <w:top w:w="80" w:type="dxa"/>
              <w:left w:w="100" w:type="dxa"/>
              <w:bottom w:w="80" w:type="dxa"/>
              <w:right w:w="100" w:type="dxa"/>
            </w:tcMar>
            <w:vAlign w:val="center"/>
          </w:tcPr>
          <w:p w14:paraId="3C30A8A3"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At or above mandate level each year</w:t>
            </w:r>
          </w:p>
        </w:tc>
        <w:tc>
          <w:tcPr>
            <w:tcW w:w="3300" w:type="dxa"/>
            <w:shd w:val="clear" w:color="auto" w:fill="FFFFFF"/>
            <w:tcMar>
              <w:top w:w="80" w:type="dxa"/>
              <w:left w:w="100" w:type="dxa"/>
              <w:bottom w:w="80" w:type="dxa"/>
              <w:right w:w="100" w:type="dxa"/>
            </w:tcMar>
            <w:vAlign w:val="center"/>
          </w:tcPr>
          <w:p w14:paraId="31C2380D"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Annual, against SMMT registration data</w:t>
            </w:r>
          </w:p>
        </w:tc>
      </w:tr>
      <w:tr w:rsidR="00064743" w:rsidRPr="00A55638" w14:paraId="1AA1A910" w14:textId="77777777">
        <w:tc>
          <w:tcPr>
            <w:tcW w:w="3400" w:type="dxa"/>
            <w:shd w:val="clear" w:color="auto" w:fill="F2F2F2"/>
            <w:tcMar>
              <w:top w:w="80" w:type="dxa"/>
              <w:left w:w="100" w:type="dxa"/>
              <w:bottom w:w="80" w:type="dxa"/>
              <w:right w:w="100" w:type="dxa"/>
            </w:tcMar>
            <w:vAlign w:val="center"/>
          </w:tcPr>
          <w:p w14:paraId="5EC2F86E"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9"/>
                <w:szCs w:val="19"/>
              </w:rPr>
              <w:t>Proportion of EV sales reliant on discounting</w:t>
            </w:r>
          </w:p>
        </w:tc>
        <w:tc>
          <w:tcPr>
            <w:tcW w:w="2800" w:type="dxa"/>
            <w:shd w:val="clear" w:color="auto" w:fill="F2F2F2"/>
            <w:tcMar>
              <w:top w:w="80" w:type="dxa"/>
              <w:left w:w="100" w:type="dxa"/>
              <w:bottom w:w="80" w:type="dxa"/>
              <w:right w:w="100" w:type="dxa"/>
            </w:tcMar>
            <w:vAlign w:val="center"/>
          </w:tcPr>
          <w:p w14:paraId="78C188A0"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Year-on-year reduction</w:t>
            </w:r>
          </w:p>
        </w:tc>
        <w:tc>
          <w:tcPr>
            <w:tcW w:w="3300" w:type="dxa"/>
            <w:shd w:val="clear" w:color="auto" w:fill="F2F2F2"/>
            <w:tcMar>
              <w:top w:w="80" w:type="dxa"/>
              <w:left w:w="100" w:type="dxa"/>
              <w:bottom w:w="80" w:type="dxa"/>
              <w:right w:w="100" w:type="dxa"/>
            </w:tcMar>
            <w:vAlign w:val="center"/>
          </w:tcPr>
          <w:p w14:paraId="33A34BDA"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Annual, internal sales data vs SMMT benchmark</w:t>
            </w:r>
          </w:p>
        </w:tc>
      </w:tr>
      <w:tr w:rsidR="00064743" w:rsidRPr="00A55638" w14:paraId="7FB61C34" w14:textId="77777777">
        <w:tc>
          <w:tcPr>
            <w:tcW w:w="3400" w:type="dxa"/>
            <w:shd w:val="clear" w:color="auto" w:fill="FFFFFF"/>
            <w:tcMar>
              <w:top w:w="80" w:type="dxa"/>
              <w:left w:w="100" w:type="dxa"/>
              <w:bottom w:w="80" w:type="dxa"/>
              <w:right w:w="100" w:type="dxa"/>
            </w:tcMar>
            <w:vAlign w:val="center"/>
          </w:tcPr>
          <w:p w14:paraId="46DF8D80" w14:textId="77777777" w:rsidR="00064743" w:rsidRPr="00A55638" w:rsidRDefault="001E743A" w:rsidP="003D3FB7">
            <w:pPr>
              <w:spacing w:line="360" w:lineRule="auto"/>
              <w:rPr>
                <w:rFonts w:ascii="Arial" w:hAnsi="Arial" w:cs="Arial"/>
              </w:rPr>
            </w:pPr>
            <w:r w:rsidRPr="00A55638">
              <w:rPr>
                <w:rFonts w:ascii="Arial" w:hAnsi="Arial" w:cs="Arial"/>
                <w:b/>
                <w:bCs/>
                <w:color w:val="000000"/>
                <w:sz w:val="19"/>
                <w:szCs w:val="19"/>
              </w:rPr>
              <w:t>UK residual value retention vs Chinese competitors</w:t>
            </w:r>
          </w:p>
        </w:tc>
        <w:tc>
          <w:tcPr>
            <w:tcW w:w="2800" w:type="dxa"/>
            <w:shd w:val="clear" w:color="auto" w:fill="FFFFFF"/>
            <w:tcMar>
              <w:top w:w="80" w:type="dxa"/>
              <w:left w:w="100" w:type="dxa"/>
              <w:bottom w:w="80" w:type="dxa"/>
              <w:right w:w="100" w:type="dxa"/>
            </w:tcMar>
            <w:vAlign w:val="center"/>
          </w:tcPr>
          <w:p w14:paraId="0944344E"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Outperform sector average</w:t>
            </w:r>
          </w:p>
        </w:tc>
        <w:tc>
          <w:tcPr>
            <w:tcW w:w="3300" w:type="dxa"/>
            <w:shd w:val="clear" w:color="auto" w:fill="FFFFFF"/>
            <w:tcMar>
              <w:top w:w="80" w:type="dxa"/>
              <w:left w:w="100" w:type="dxa"/>
              <w:bottom w:w="80" w:type="dxa"/>
              <w:right w:w="100" w:type="dxa"/>
            </w:tcMar>
            <w:vAlign w:val="center"/>
          </w:tcPr>
          <w:p w14:paraId="18974EC8" w14:textId="77777777" w:rsidR="00064743" w:rsidRPr="00A55638" w:rsidRDefault="001E743A" w:rsidP="003D3FB7">
            <w:pPr>
              <w:spacing w:line="360" w:lineRule="auto"/>
              <w:rPr>
                <w:rFonts w:ascii="Arial" w:hAnsi="Arial" w:cs="Arial"/>
              </w:rPr>
            </w:pPr>
            <w:r w:rsidRPr="00A55638">
              <w:rPr>
                <w:rFonts w:ascii="Arial" w:hAnsi="Arial" w:cs="Arial"/>
                <w:color w:val="000000"/>
                <w:sz w:val="19"/>
                <w:szCs w:val="19"/>
              </w:rPr>
              <w:t>Annual, third-party residual value indices</w:t>
            </w:r>
          </w:p>
        </w:tc>
      </w:tr>
    </w:tbl>
    <w:p w14:paraId="0864F706" w14:textId="77777777" w:rsidR="00064743" w:rsidRPr="00A55638" w:rsidRDefault="001E743A" w:rsidP="003D3FB7">
      <w:pPr>
        <w:spacing w:before="100" w:after="300" w:line="360" w:lineRule="auto"/>
        <w:jc w:val="center"/>
        <w:rPr>
          <w:rFonts w:ascii="Arial" w:hAnsi="Arial" w:cs="Arial"/>
        </w:rPr>
      </w:pPr>
      <w:r w:rsidRPr="00A55638">
        <w:rPr>
          <w:rFonts w:ascii="Arial" w:hAnsi="Arial" w:cs="Arial"/>
          <w:i/>
          <w:iCs/>
          <w:color w:val="595959"/>
          <w:sz w:val="20"/>
          <w:szCs w:val="20"/>
        </w:rPr>
        <w:t>Figure 8: KPI dashboard — strategic implementation. Source: author’s analysis.</w:t>
      </w:r>
    </w:p>
    <w:p w14:paraId="24654586" w14:textId="77777777" w:rsidR="00064743" w:rsidRPr="00A55638" w:rsidRDefault="001E743A" w:rsidP="003D3FB7">
      <w:pPr>
        <w:spacing w:after="200" w:line="360" w:lineRule="auto"/>
        <w:jc w:val="both"/>
        <w:rPr>
          <w:rFonts w:ascii="Arial" w:hAnsi="Arial" w:cs="Arial"/>
        </w:rPr>
      </w:pPr>
      <w:r w:rsidRPr="00A55638">
        <w:rPr>
          <w:rFonts w:ascii="Arial" w:hAnsi="Arial" w:cs="Arial"/>
        </w:rPr>
        <w:t>The main risks are execution risk on the solid-state battery timeline, continued softness in Chinese demand, and the possibility that UK–EU tariff negotiations fail to resolve before January 2027. Figure 9 plots these by likelihood and impact: Chinese price competition and ZEV Mandate discount pressure sit in the highest-priority quadrant, already materialising rather than merely anticipated.</w:t>
      </w:r>
    </w:p>
    <w:p w14:paraId="5C28DCD3" w14:textId="77777777" w:rsidR="00064743" w:rsidRPr="00A55638" w:rsidRDefault="001E743A" w:rsidP="003D3FB7">
      <w:pPr>
        <w:spacing w:before="200" w:after="80" w:line="360" w:lineRule="auto"/>
        <w:jc w:val="center"/>
        <w:rPr>
          <w:rFonts w:ascii="Arial" w:hAnsi="Arial" w:cs="Arial"/>
        </w:rPr>
      </w:pPr>
      <w:r w:rsidRPr="00A55638">
        <w:rPr>
          <w:rFonts w:ascii="Arial" w:hAnsi="Arial" w:cs="Arial"/>
          <w:noProof/>
        </w:rPr>
        <w:drawing>
          <wp:inline distT="0" distB="0" distL="0" distR="0" wp14:anchorId="6625219B" wp14:editId="3987277A">
            <wp:extent cx="4191000" cy="3333750"/>
            <wp:effectExtent l="0" t="0" r="0" b="0"/>
            <wp:docPr id="1196118785" name="Picture 1196118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191000" cy="3333750"/>
                    </a:xfrm>
                    <a:prstGeom prst="rect">
                      <a:avLst/>
                    </a:prstGeom>
                  </pic:spPr>
                </pic:pic>
              </a:graphicData>
            </a:graphic>
          </wp:inline>
        </w:drawing>
      </w:r>
    </w:p>
    <w:p w14:paraId="26AC7EDE" w14:textId="77777777" w:rsidR="00064743" w:rsidRPr="00A55638" w:rsidRDefault="001E743A" w:rsidP="003D3FB7">
      <w:pPr>
        <w:spacing w:before="100" w:after="300" w:line="360" w:lineRule="auto"/>
        <w:jc w:val="center"/>
        <w:rPr>
          <w:rFonts w:ascii="Arial" w:hAnsi="Arial" w:cs="Arial"/>
        </w:rPr>
      </w:pPr>
      <w:r w:rsidRPr="00A55638">
        <w:rPr>
          <w:rFonts w:ascii="Arial" w:hAnsi="Arial" w:cs="Arial"/>
          <w:i/>
          <w:iCs/>
          <w:color w:val="595959"/>
          <w:sz w:val="20"/>
          <w:szCs w:val="20"/>
        </w:rPr>
        <w:t>Figure 9: Strategic risk matrix — BMW Group UK implementation. Source: author’s analysis, informed by SMMT (2026) and Global Banking and Finance (2026).</w:t>
      </w:r>
    </w:p>
    <w:p w14:paraId="428BD9EC" w14:textId="77777777" w:rsidR="00064743" w:rsidRPr="00A55638" w:rsidRDefault="001E743A" w:rsidP="003D3FB7">
      <w:pPr>
        <w:spacing w:after="200" w:line="360" w:lineRule="auto"/>
        <w:jc w:val="both"/>
        <w:rPr>
          <w:rFonts w:ascii="Arial" w:hAnsi="Arial" w:cs="Arial"/>
        </w:rPr>
      </w:pPr>
      <w:r w:rsidRPr="00A55638">
        <w:rPr>
          <w:rFonts w:ascii="Arial" w:hAnsi="Arial" w:cs="Arial"/>
        </w:rPr>
        <w:lastRenderedPageBreak/>
        <w:t>Kotter's (1996) change model offers a reasonable structure for building organisational buy-in around the digital-services shift, though its linear, staged assumptions sit awkwardly with an industry moving as fast as this one — a limitation worth acknowledging rather than ignoring.</w:t>
      </w:r>
    </w:p>
    <w:p w14:paraId="0A341352" w14:textId="77777777" w:rsidR="00064743" w:rsidRPr="00A55638" w:rsidRDefault="001E743A" w:rsidP="003D3FB7">
      <w:pPr>
        <w:pStyle w:val="Heading1"/>
        <w:spacing w:before="400" w:after="200" w:line="360" w:lineRule="auto"/>
        <w:rPr>
          <w:rFonts w:ascii="Arial" w:hAnsi="Arial" w:cs="Arial"/>
        </w:rPr>
      </w:pPr>
      <w:bookmarkStart w:id="8" w:name="_Toc237529944"/>
      <w:r w:rsidRPr="00A55638">
        <w:rPr>
          <w:rFonts w:ascii="Arial" w:hAnsi="Arial" w:cs="Arial"/>
          <w:b/>
          <w:bCs/>
          <w:color w:val="1F3864"/>
          <w:sz w:val="30"/>
          <w:szCs w:val="30"/>
        </w:rPr>
        <w:t>7. Conclusion and Recommendations</w:t>
      </w:r>
      <w:bookmarkEnd w:id="8"/>
    </w:p>
    <w:p w14:paraId="5E4D6EEB" w14:textId="645A5971" w:rsidR="00064743" w:rsidRPr="00A55638" w:rsidRDefault="00773B44" w:rsidP="003D3FB7">
      <w:pPr>
        <w:spacing w:line="360" w:lineRule="auto"/>
        <w:rPr>
          <w:rFonts w:ascii="Arial" w:hAnsi="Arial" w:cs="Arial"/>
        </w:rPr>
      </w:pPr>
      <w:r w:rsidRPr="00773B44">
        <w:rPr>
          <w:rFonts w:ascii="Arial" w:hAnsi="Arial" w:cs="Arial"/>
        </w:rPr>
        <w:t>Despite its strong position in the UK market, BMW Group faces challenges such as narrowing margins, lagging EV market share targets, and unsustainable discounting practices to meet ZEV Mandate thresholds. The company's strategy is suggested to focus on leveraging existing capabilities like financial services infrastructure, battery partnerships, and software-defined vehicle architecture to compete on ownership experience and software longevity rather than price. Recommendations include embedding digital-service subscriptions into leasing contracts, incorporating UK manufacturing into BMW's decarbonized battery traceability program, and shifting focus from chasing EV volume through discounting to sustaining a premium position through value. While execution risks remain, this strategy aims to provide BMW with a defensible path forward.</w:t>
      </w:r>
      <w:r w:rsidR="001E743A" w:rsidRPr="00A55638">
        <w:rPr>
          <w:rFonts w:ascii="Arial" w:hAnsi="Arial" w:cs="Arial"/>
        </w:rPr>
        <w:br w:type="page"/>
      </w:r>
    </w:p>
    <w:p w14:paraId="5BA512AC" w14:textId="77777777" w:rsidR="00064743" w:rsidRPr="00A55638" w:rsidRDefault="001E743A" w:rsidP="003D3FB7">
      <w:pPr>
        <w:pStyle w:val="Heading1"/>
        <w:spacing w:before="400" w:after="200" w:line="360" w:lineRule="auto"/>
        <w:rPr>
          <w:rFonts w:ascii="Arial" w:hAnsi="Arial" w:cs="Arial"/>
        </w:rPr>
      </w:pPr>
      <w:bookmarkStart w:id="9" w:name="_Toc237529945"/>
      <w:r w:rsidRPr="00A55638">
        <w:rPr>
          <w:rFonts w:ascii="Arial" w:hAnsi="Arial" w:cs="Arial"/>
          <w:b/>
          <w:bCs/>
          <w:color w:val="1F3864"/>
          <w:sz w:val="30"/>
          <w:szCs w:val="30"/>
        </w:rPr>
        <w:lastRenderedPageBreak/>
        <w:t>References</w:t>
      </w:r>
      <w:bookmarkEnd w:id="9"/>
    </w:p>
    <w:p w14:paraId="66CA4080" w14:textId="09126A92"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BMW Group (2023) MINI Plant Oxford goes electric: £600m investment for all-electric MINI production in the UK. Press release, 11 September. Available at:</w:t>
      </w:r>
      <w:r w:rsidR="00175353">
        <w:rPr>
          <w:rFonts w:ascii="Arial" w:hAnsi="Arial" w:cs="Arial"/>
          <w:sz w:val="21"/>
          <w:szCs w:val="21"/>
        </w:rPr>
        <w:t xml:space="preserve"> </w:t>
      </w:r>
      <w:hyperlink r:id="rId11" w:history="1">
        <w:r w:rsidR="007374DB" w:rsidRPr="00207EAF">
          <w:rPr>
            <w:rStyle w:val="Hyperlink"/>
            <w:rFonts w:ascii="Arial" w:hAnsi="Arial" w:cs="Arial"/>
            <w:sz w:val="21"/>
            <w:szCs w:val="21"/>
          </w:rPr>
          <w:t>https://www.press.bmwgroup.com/united-kingdom/article/detail/T0436869EN_GB</w:t>
        </w:r>
      </w:hyperlink>
      <w:r w:rsidR="007374DB">
        <w:rPr>
          <w:rFonts w:ascii="Arial" w:hAnsi="Arial" w:cs="Arial"/>
          <w:sz w:val="21"/>
          <w:szCs w:val="21"/>
        </w:rPr>
        <w:t xml:space="preserve"> </w:t>
      </w:r>
      <w:r w:rsidRPr="00A55638">
        <w:rPr>
          <w:rFonts w:ascii="Arial" w:hAnsi="Arial" w:cs="Arial"/>
          <w:sz w:val="21"/>
          <w:szCs w:val="21"/>
        </w:rPr>
        <w:t xml:space="preserve"> (Accessed: 9 August 2026).</w:t>
      </w:r>
    </w:p>
    <w:p w14:paraId="78195D8A" w14:textId="34E17D32"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 xml:space="preserve">BMW Group (2025) Robust business model – resilient performance: BMW Group on track to meet full-year targets. Press release, 31 July. Available at: </w:t>
      </w:r>
      <w:hyperlink r:id="rId12" w:history="1">
        <w:r w:rsidR="007374DB" w:rsidRPr="00207EAF">
          <w:rPr>
            <w:rStyle w:val="Hyperlink"/>
            <w:rFonts w:ascii="Arial" w:hAnsi="Arial" w:cs="Arial"/>
            <w:sz w:val="21"/>
            <w:szCs w:val="21"/>
          </w:rPr>
          <w:t>https://www.press.bmwgroup.com/global/article/detail/T0451620EN</w:t>
        </w:r>
      </w:hyperlink>
      <w:r w:rsidR="007374DB">
        <w:rPr>
          <w:rFonts w:ascii="Arial" w:hAnsi="Arial" w:cs="Arial"/>
          <w:sz w:val="21"/>
          <w:szCs w:val="21"/>
        </w:rPr>
        <w:t xml:space="preserve"> </w:t>
      </w:r>
      <w:r w:rsidRPr="00A55638">
        <w:rPr>
          <w:rFonts w:ascii="Arial" w:hAnsi="Arial" w:cs="Arial"/>
          <w:sz w:val="21"/>
          <w:szCs w:val="21"/>
        </w:rPr>
        <w:t>(Accessed: 9 August 2026).</w:t>
      </w:r>
    </w:p>
    <w:p w14:paraId="00267EAF" w14:textId="4C25F4B6"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 xml:space="preserve">BMW Group (2026a) BMW Group History. Available at: </w:t>
      </w:r>
      <w:hyperlink r:id="rId13" w:history="1">
        <w:r w:rsidR="007374DB" w:rsidRPr="00207EAF">
          <w:rPr>
            <w:rStyle w:val="Hyperlink"/>
            <w:rFonts w:ascii="Arial" w:hAnsi="Arial" w:cs="Arial"/>
            <w:sz w:val="21"/>
            <w:szCs w:val="21"/>
          </w:rPr>
          <w:t>https://www.bmwgroup.com/en/company/history.html</w:t>
        </w:r>
      </w:hyperlink>
      <w:r w:rsidR="007374DB">
        <w:rPr>
          <w:rFonts w:ascii="Arial" w:hAnsi="Arial" w:cs="Arial"/>
          <w:sz w:val="21"/>
          <w:szCs w:val="21"/>
        </w:rPr>
        <w:t xml:space="preserve"> </w:t>
      </w:r>
      <w:r w:rsidRPr="00A55638">
        <w:rPr>
          <w:rFonts w:ascii="Arial" w:hAnsi="Arial" w:cs="Arial"/>
          <w:sz w:val="21"/>
          <w:szCs w:val="21"/>
        </w:rPr>
        <w:t xml:space="preserve"> (Accessed: 9 August 2026).</w:t>
      </w:r>
    </w:p>
    <w:p w14:paraId="5FD6A350" w14:textId="15DEAC5B"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 xml:space="preserve">BMW Group (2026b) Stable Group earnings thanks to consistent strategy: BMW Group on track. Press release, 12 March. Available at: </w:t>
      </w:r>
      <w:hyperlink r:id="rId14" w:history="1">
        <w:r w:rsidR="007374DB" w:rsidRPr="00207EAF">
          <w:rPr>
            <w:rStyle w:val="Hyperlink"/>
            <w:rFonts w:ascii="Arial" w:hAnsi="Arial" w:cs="Arial"/>
            <w:sz w:val="21"/>
            <w:szCs w:val="21"/>
          </w:rPr>
          <w:t>https://www.press.bmwgroup.com/global/article/detail/T0456175EN</w:t>
        </w:r>
      </w:hyperlink>
      <w:r w:rsidR="007374DB">
        <w:rPr>
          <w:rFonts w:ascii="Arial" w:hAnsi="Arial" w:cs="Arial"/>
          <w:sz w:val="21"/>
          <w:szCs w:val="21"/>
        </w:rPr>
        <w:t xml:space="preserve"> </w:t>
      </w:r>
      <w:r w:rsidRPr="00A55638">
        <w:rPr>
          <w:rFonts w:ascii="Arial" w:hAnsi="Arial" w:cs="Arial"/>
          <w:sz w:val="21"/>
          <w:szCs w:val="21"/>
        </w:rPr>
        <w:t xml:space="preserve"> (Accessed: 9 August 2026).</w:t>
      </w:r>
    </w:p>
    <w:p w14:paraId="4844268E" w14:textId="1D6F165A"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 xml:space="preserve">BMW Group (2026c) BMW Group Strategy. Available at: </w:t>
      </w:r>
      <w:hyperlink r:id="rId15" w:history="1">
        <w:r w:rsidR="007374DB" w:rsidRPr="00207EAF">
          <w:rPr>
            <w:rStyle w:val="Hyperlink"/>
            <w:rFonts w:ascii="Arial" w:hAnsi="Arial" w:cs="Arial"/>
            <w:sz w:val="21"/>
            <w:szCs w:val="21"/>
          </w:rPr>
          <w:t>https://www.bmwgroup.com/en/company/strategy.html</w:t>
        </w:r>
      </w:hyperlink>
      <w:r w:rsidR="007374DB">
        <w:rPr>
          <w:rFonts w:ascii="Arial" w:hAnsi="Arial" w:cs="Arial"/>
          <w:sz w:val="21"/>
          <w:szCs w:val="21"/>
        </w:rPr>
        <w:t xml:space="preserve"> </w:t>
      </w:r>
      <w:r w:rsidRPr="00A55638">
        <w:rPr>
          <w:rFonts w:ascii="Arial" w:hAnsi="Arial" w:cs="Arial"/>
          <w:sz w:val="21"/>
          <w:szCs w:val="21"/>
        </w:rPr>
        <w:t xml:space="preserve"> (Accessed: 9 August 2026).</w:t>
      </w:r>
    </w:p>
    <w:p w14:paraId="7987EC6D" w14:textId="5803F363"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 xml:space="preserve">BMW Group (2026d) The Neue Klasse: The BMW Group enters a new era. Available at: </w:t>
      </w:r>
      <w:hyperlink r:id="rId16" w:history="1">
        <w:r w:rsidR="007374DB" w:rsidRPr="00207EAF">
          <w:rPr>
            <w:rStyle w:val="Hyperlink"/>
            <w:rFonts w:ascii="Arial" w:hAnsi="Arial" w:cs="Arial"/>
            <w:sz w:val="21"/>
            <w:szCs w:val="21"/>
          </w:rPr>
          <w:t>https://www.bmwgroup.com/en/company/neue-klasse.html</w:t>
        </w:r>
      </w:hyperlink>
      <w:r w:rsidR="007374DB">
        <w:rPr>
          <w:rFonts w:ascii="Arial" w:hAnsi="Arial" w:cs="Arial"/>
          <w:sz w:val="21"/>
          <w:szCs w:val="21"/>
        </w:rPr>
        <w:t xml:space="preserve"> </w:t>
      </w:r>
      <w:r w:rsidRPr="00A55638">
        <w:rPr>
          <w:rFonts w:ascii="Arial" w:hAnsi="Arial" w:cs="Arial"/>
          <w:sz w:val="21"/>
          <w:szCs w:val="21"/>
        </w:rPr>
        <w:t xml:space="preserve"> (Accessed: 9 August 2026).</w:t>
      </w:r>
    </w:p>
    <w:p w14:paraId="6E85FF71" w14:textId="3C0989DD"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 xml:space="preserve">BMW Group Investor Relations (2026) BMW Group Investor Relations Presentation, January 2026. Available at: </w:t>
      </w:r>
      <w:hyperlink r:id="rId17" w:history="1">
        <w:r w:rsidR="007374DB" w:rsidRPr="00207EAF">
          <w:rPr>
            <w:rStyle w:val="Hyperlink"/>
            <w:rFonts w:ascii="Arial" w:hAnsi="Arial" w:cs="Arial"/>
            <w:sz w:val="21"/>
            <w:szCs w:val="21"/>
          </w:rPr>
          <w:t>https://www.bmwgroup.com/content/dam/grpw/websites/bmwgroup_com/ir/downloads/en/2025/investor-presentation/BMW_Investor_Presentation_2025.pdf</w:t>
        </w:r>
      </w:hyperlink>
      <w:r w:rsidR="007374DB">
        <w:rPr>
          <w:rFonts w:ascii="Arial" w:hAnsi="Arial" w:cs="Arial"/>
          <w:sz w:val="21"/>
          <w:szCs w:val="21"/>
        </w:rPr>
        <w:t xml:space="preserve"> </w:t>
      </w:r>
      <w:r w:rsidRPr="00A55638">
        <w:rPr>
          <w:rFonts w:ascii="Arial" w:hAnsi="Arial" w:cs="Arial"/>
          <w:sz w:val="21"/>
          <w:szCs w:val="21"/>
        </w:rPr>
        <w:t xml:space="preserve"> (Accessed: 9 August 2026).</w:t>
      </w:r>
    </w:p>
    <w:p w14:paraId="25A576D5" w14:textId="1EEF2F7E"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 xml:space="preserve">BMW Group UK (2026) BMW Group UK leads the premium segment in 2025. Press release. Available at: </w:t>
      </w:r>
      <w:hyperlink r:id="rId18" w:history="1">
        <w:r w:rsidR="007374DB" w:rsidRPr="00207EAF">
          <w:rPr>
            <w:rStyle w:val="Hyperlink"/>
            <w:rFonts w:ascii="Arial" w:hAnsi="Arial" w:cs="Arial"/>
            <w:sz w:val="21"/>
            <w:szCs w:val="21"/>
          </w:rPr>
          <w:t>https://www.press.bmwgroup.com/united-kingdom/article/detail/T0454784EN_GB</w:t>
        </w:r>
      </w:hyperlink>
      <w:r w:rsidR="007374DB">
        <w:rPr>
          <w:rFonts w:ascii="Arial" w:hAnsi="Arial" w:cs="Arial"/>
          <w:sz w:val="21"/>
          <w:szCs w:val="21"/>
        </w:rPr>
        <w:t xml:space="preserve"> </w:t>
      </w:r>
      <w:r w:rsidRPr="00A55638">
        <w:rPr>
          <w:rFonts w:ascii="Arial" w:hAnsi="Arial" w:cs="Arial"/>
          <w:sz w:val="21"/>
          <w:szCs w:val="21"/>
        </w:rPr>
        <w:t xml:space="preserve"> (Accessed: 9 August 2026).</w:t>
      </w:r>
    </w:p>
    <w:p w14:paraId="57CC88B1" w14:textId="5FE716D1"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 xml:space="preserve">BMWBlog (2026) BMW wants EVs to jump from 17.7% to 50% of sales by 2030. Available at: </w:t>
      </w:r>
      <w:hyperlink r:id="rId19" w:history="1">
        <w:r w:rsidR="007374DB" w:rsidRPr="00207EAF">
          <w:rPr>
            <w:rStyle w:val="Hyperlink"/>
            <w:rFonts w:ascii="Arial" w:hAnsi="Arial" w:cs="Arial"/>
            <w:sz w:val="21"/>
            <w:szCs w:val="21"/>
          </w:rPr>
          <w:t>https://www.bmwblog.com/2026/08/01/bmw-wants-ev-share-nearly-triple-2030/</w:t>
        </w:r>
      </w:hyperlink>
      <w:r w:rsidR="007374DB">
        <w:rPr>
          <w:rFonts w:ascii="Arial" w:hAnsi="Arial" w:cs="Arial"/>
          <w:sz w:val="21"/>
          <w:szCs w:val="21"/>
        </w:rPr>
        <w:t xml:space="preserve"> </w:t>
      </w:r>
      <w:r w:rsidRPr="00A55638">
        <w:rPr>
          <w:rFonts w:ascii="Arial" w:hAnsi="Arial" w:cs="Arial"/>
          <w:sz w:val="21"/>
          <w:szCs w:val="21"/>
        </w:rPr>
        <w:t xml:space="preserve"> (Accessed: 9 August 2026).</w:t>
      </w:r>
    </w:p>
    <w:p w14:paraId="5CA4DACC" w14:textId="62CEE5FB"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 xml:space="preserve">Electric Cars Report (2026) BMW and CATL deepen EV battery partnership with focus on decarbonisation and battery passport. Available at: </w:t>
      </w:r>
      <w:hyperlink r:id="rId20" w:history="1">
        <w:r w:rsidR="007374DB" w:rsidRPr="00207EAF">
          <w:rPr>
            <w:rStyle w:val="Hyperlink"/>
            <w:rFonts w:ascii="Arial" w:hAnsi="Arial" w:cs="Arial"/>
            <w:sz w:val="21"/>
            <w:szCs w:val="21"/>
          </w:rPr>
          <w:t>https://electriccarsreport.com/2026/02/bmw-and-catl-deepen-ev-battery-partnership-with-focus-on-decarbonisation-and-battery-passport</w:t>
        </w:r>
      </w:hyperlink>
      <w:r w:rsidR="007374DB">
        <w:rPr>
          <w:rFonts w:ascii="Arial" w:hAnsi="Arial" w:cs="Arial"/>
          <w:sz w:val="21"/>
          <w:szCs w:val="21"/>
        </w:rPr>
        <w:t xml:space="preserve"> </w:t>
      </w:r>
      <w:r w:rsidRPr="00A55638">
        <w:rPr>
          <w:rFonts w:ascii="Arial" w:hAnsi="Arial" w:cs="Arial"/>
          <w:sz w:val="21"/>
          <w:szCs w:val="21"/>
        </w:rPr>
        <w:t xml:space="preserve"> (Accessed: 9 August 2026).</w:t>
      </w:r>
    </w:p>
    <w:p w14:paraId="3B6A9E8C" w14:textId="6AA240A3"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 xml:space="preserve">Electrive (2026) Project Insight: AI enhances battery cell test production at BMW. Available at: </w:t>
      </w:r>
      <w:hyperlink r:id="rId21" w:history="1">
        <w:r w:rsidR="007374DB" w:rsidRPr="00207EAF">
          <w:rPr>
            <w:rStyle w:val="Hyperlink"/>
            <w:rFonts w:ascii="Arial" w:hAnsi="Arial" w:cs="Arial"/>
            <w:sz w:val="21"/>
            <w:szCs w:val="21"/>
          </w:rPr>
          <w:t>https://www.electrive.com/2026/04/20/project-insight-ai-enhances-battery-cell-test-production-at-bmw</w:t>
        </w:r>
      </w:hyperlink>
      <w:r w:rsidR="007374DB">
        <w:rPr>
          <w:rFonts w:ascii="Arial" w:hAnsi="Arial" w:cs="Arial"/>
          <w:sz w:val="21"/>
          <w:szCs w:val="21"/>
        </w:rPr>
        <w:t xml:space="preserve"> </w:t>
      </w:r>
      <w:r w:rsidRPr="00A55638">
        <w:rPr>
          <w:rFonts w:ascii="Arial" w:hAnsi="Arial" w:cs="Arial"/>
          <w:sz w:val="21"/>
          <w:szCs w:val="21"/>
        </w:rPr>
        <w:t xml:space="preserve"> (Accessed: 9 August 2026).</w:t>
      </w:r>
    </w:p>
    <w:p w14:paraId="045143EB" w14:textId="5AD7CF1B"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lastRenderedPageBreak/>
        <w:t xml:space="preserve">Forbes (2026) BMW Group | Company Overview &amp; News. Available at: </w:t>
      </w:r>
      <w:hyperlink r:id="rId22" w:history="1">
        <w:r w:rsidR="007374DB" w:rsidRPr="00207EAF">
          <w:rPr>
            <w:rStyle w:val="Hyperlink"/>
            <w:rFonts w:ascii="Arial" w:hAnsi="Arial" w:cs="Arial"/>
            <w:sz w:val="21"/>
            <w:szCs w:val="21"/>
          </w:rPr>
          <w:t>https://www.forbes.com/companies/bmw-group</w:t>
        </w:r>
      </w:hyperlink>
      <w:r w:rsidR="007374DB">
        <w:rPr>
          <w:rFonts w:ascii="Arial" w:hAnsi="Arial" w:cs="Arial"/>
          <w:sz w:val="21"/>
          <w:szCs w:val="21"/>
        </w:rPr>
        <w:t xml:space="preserve"> </w:t>
      </w:r>
      <w:r w:rsidRPr="00A55638">
        <w:rPr>
          <w:rFonts w:ascii="Arial" w:hAnsi="Arial" w:cs="Arial"/>
          <w:sz w:val="21"/>
          <w:szCs w:val="21"/>
        </w:rPr>
        <w:t xml:space="preserve"> (Accessed: 9 August 2026).</w:t>
      </w:r>
    </w:p>
    <w:p w14:paraId="3CA746CB" w14:textId="77777777"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Global Banking and Finance (2026) Chinese carmakers increase pressure on UK auto industry rivals. Available at: https://www.globalbankingandfinance.com/chinese-carmakers-piling-pressure-uk-rivals-auto-industry (Accessed: 9 August 2026).</w:t>
      </w:r>
    </w:p>
    <w:p w14:paraId="7853AAF7" w14:textId="77777777"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Grant, R.M. (2021) Contemporary Strategy Analysis. 10th edn. Hoboken, NJ: Wiley.</w:t>
      </w:r>
    </w:p>
    <w:p w14:paraId="3CD2C209" w14:textId="77777777"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Infor (2026) UK automotive industry in 2026. Available at: https://www.infor.com/en-gb/blog/uk-automotive-2026-ev-revolution-disruption (Accessed: 9 August 2026).</w:t>
      </w:r>
    </w:p>
    <w:p w14:paraId="7C6ABA4B" w14:textId="77777777"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Johnson, G., Scholes, K. and Whittington, R. (2017) Exploring Strategy: Text and Cases. 11th edn. Harlow: Pearson Education.</w:t>
      </w:r>
    </w:p>
    <w:p w14:paraId="2579C616" w14:textId="77777777"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Kotter, J.P. (1996) Leading Change. Boston, MA: Harvard Business School Press.</w:t>
      </w:r>
    </w:p>
    <w:p w14:paraId="4BB0F09D" w14:textId="3576582C"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 xml:space="preserve">MarkLines (2026) BMW Group EBIT down 11.5%, net profit down 3.0% in 2025. Available at: </w:t>
      </w:r>
      <w:hyperlink r:id="rId23" w:history="1">
        <w:r w:rsidR="0061115D" w:rsidRPr="00207EAF">
          <w:rPr>
            <w:rStyle w:val="Hyperlink"/>
            <w:rFonts w:ascii="Arial" w:hAnsi="Arial" w:cs="Arial"/>
            <w:sz w:val="21"/>
            <w:szCs w:val="21"/>
          </w:rPr>
          <w:t>https://www.marklines.com/en/news/341626</w:t>
        </w:r>
      </w:hyperlink>
      <w:r w:rsidR="0061115D">
        <w:rPr>
          <w:rFonts w:ascii="Arial" w:hAnsi="Arial" w:cs="Arial"/>
          <w:sz w:val="21"/>
          <w:szCs w:val="21"/>
        </w:rPr>
        <w:t xml:space="preserve"> </w:t>
      </w:r>
      <w:r w:rsidRPr="00A55638">
        <w:rPr>
          <w:rFonts w:ascii="Arial" w:hAnsi="Arial" w:cs="Arial"/>
          <w:sz w:val="21"/>
          <w:szCs w:val="21"/>
        </w:rPr>
        <w:t xml:space="preserve"> (Accessed: 9 August 2026).</w:t>
      </w:r>
    </w:p>
    <w:p w14:paraId="5E0BA0D5" w14:textId="77777777"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Mintzberg, H. (1978) 'Patterns in strategy formation', Management Science, 24(9), pp. 934–948.</w:t>
      </w:r>
    </w:p>
    <w:p w14:paraId="7F25F77F" w14:textId="4C99FDF7"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 xml:space="preserve">Money4Cars (2026) UK car affordability in 2026: interest rates, fuel prices, and a realistic monthly budget. Available at: </w:t>
      </w:r>
      <w:hyperlink r:id="rId24" w:history="1">
        <w:r w:rsidR="0061115D" w:rsidRPr="00207EAF">
          <w:rPr>
            <w:rStyle w:val="Hyperlink"/>
            <w:rFonts w:ascii="Arial" w:hAnsi="Arial" w:cs="Arial"/>
            <w:sz w:val="21"/>
            <w:szCs w:val="21"/>
          </w:rPr>
          <w:t>https://money4cars.co.uk/guides/uk-car-affordability-2026-interest-rates-fuel-costs</w:t>
        </w:r>
      </w:hyperlink>
      <w:r w:rsidR="0061115D">
        <w:rPr>
          <w:rFonts w:ascii="Arial" w:hAnsi="Arial" w:cs="Arial"/>
          <w:sz w:val="21"/>
          <w:szCs w:val="21"/>
        </w:rPr>
        <w:t xml:space="preserve"> </w:t>
      </w:r>
      <w:r w:rsidRPr="00A55638">
        <w:rPr>
          <w:rFonts w:ascii="Arial" w:hAnsi="Arial" w:cs="Arial"/>
          <w:sz w:val="21"/>
          <w:szCs w:val="21"/>
        </w:rPr>
        <w:t xml:space="preserve"> (Accessed: 9 August 2026).</w:t>
      </w:r>
    </w:p>
    <w:p w14:paraId="6E94C775" w14:textId="76C43917"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 xml:space="preserve">Regit (2026) Chinese car brands overtake Japanese rivals in UK sales. Available at: </w:t>
      </w:r>
      <w:hyperlink r:id="rId25" w:history="1">
        <w:r w:rsidR="0061115D" w:rsidRPr="00207EAF">
          <w:rPr>
            <w:rStyle w:val="Hyperlink"/>
            <w:rFonts w:ascii="Arial" w:hAnsi="Arial" w:cs="Arial"/>
            <w:sz w:val="21"/>
            <w:szCs w:val="21"/>
          </w:rPr>
          <w:t>https://www.regit.cars/car-news/chinese-car-brands-overtake-japanese-rivals-in-uk-sales</w:t>
        </w:r>
      </w:hyperlink>
      <w:r w:rsidR="0061115D">
        <w:rPr>
          <w:rFonts w:ascii="Arial" w:hAnsi="Arial" w:cs="Arial"/>
          <w:sz w:val="21"/>
          <w:szCs w:val="21"/>
        </w:rPr>
        <w:t xml:space="preserve"> </w:t>
      </w:r>
      <w:r w:rsidRPr="00A55638">
        <w:rPr>
          <w:rFonts w:ascii="Arial" w:hAnsi="Arial" w:cs="Arial"/>
          <w:sz w:val="21"/>
          <w:szCs w:val="21"/>
        </w:rPr>
        <w:t xml:space="preserve"> (Accessed: 9 August 2026).</w:t>
      </w:r>
    </w:p>
    <w:p w14:paraId="5CB4CB2A" w14:textId="3F8B34C8"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 xml:space="preserve">SMMT (2026) Automotive calls for urgent action as ZEV targets and trade threats put sector at risk. Available at: </w:t>
      </w:r>
      <w:hyperlink r:id="rId26" w:history="1">
        <w:r w:rsidR="0061115D" w:rsidRPr="00207EAF">
          <w:rPr>
            <w:rStyle w:val="Hyperlink"/>
            <w:rFonts w:ascii="Arial" w:hAnsi="Arial" w:cs="Arial"/>
            <w:sz w:val="21"/>
            <w:szCs w:val="21"/>
          </w:rPr>
          <w:t>https://www.smmt.co.uk/automotive-calls-for-urgent-action-as-zev-targets-and-trade-threats-put-sector-at-risk</w:t>
        </w:r>
      </w:hyperlink>
      <w:r w:rsidR="0061115D">
        <w:rPr>
          <w:rFonts w:ascii="Arial" w:hAnsi="Arial" w:cs="Arial"/>
          <w:sz w:val="21"/>
          <w:szCs w:val="21"/>
        </w:rPr>
        <w:t xml:space="preserve"> </w:t>
      </w:r>
      <w:r w:rsidRPr="00A55638">
        <w:rPr>
          <w:rFonts w:ascii="Arial" w:hAnsi="Arial" w:cs="Arial"/>
          <w:sz w:val="21"/>
          <w:szCs w:val="21"/>
        </w:rPr>
        <w:t xml:space="preserve"> (Accessed: 9 August 2026).</w:t>
      </w:r>
    </w:p>
    <w:p w14:paraId="1EE2E73F" w14:textId="6C3F1733" w:rsidR="00064743" w:rsidRPr="00A55638" w:rsidRDefault="001E743A" w:rsidP="003D3FB7">
      <w:pPr>
        <w:spacing w:after="200" w:line="360" w:lineRule="auto"/>
        <w:ind w:left="720" w:hanging="720"/>
        <w:jc w:val="both"/>
        <w:rPr>
          <w:rFonts w:ascii="Arial" w:hAnsi="Arial" w:cs="Arial"/>
        </w:rPr>
      </w:pPr>
      <w:r w:rsidRPr="00A55638">
        <w:rPr>
          <w:rFonts w:ascii="Arial" w:hAnsi="Arial" w:cs="Arial"/>
          <w:sz w:val="21"/>
          <w:szCs w:val="21"/>
        </w:rPr>
        <w:t xml:space="preserve">Solid Power, Inc. (2026) Solid Power appoints Uwe Breitweg to Board of Directors. Form 8-K, 1 July. Available at: </w:t>
      </w:r>
      <w:hyperlink r:id="rId27" w:history="1">
        <w:r w:rsidR="0061115D" w:rsidRPr="00207EAF">
          <w:rPr>
            <w:rStyle w:val="Hyperlink"/>
            <w:rFonts w:ascii="Arial" w:hAnsi="Arial" w:cs="Arial"/>
            <w:sz w:val="21"/>
            <w:szCs w:val="21"/>
          </w:rPr>
          <w:t>https://www.sec.gov/Archives/edgar/data/0001844862/000110465926079956/tm2619489d1_ex99-1.htm</w:t>
        </w:r>
      </w:hyperlink>
      <w:r w:rsidR="0061115D">
        <w:rPr>
          <w:rFonts w:ascii="Arial" w:hAnsi="Arial" w:cs="Arial"/>
          <w:sz w:val="21"/>
          <w:szCs w:val="21"/>
        </w:rPr>
        <w:t xml:space="preserve"> </w:t>
      </w:r>
      <w:r w:rsidRPr="00A55638">
        <w:rPr>
          <w:rFonts w:ascii="Arial" w:hAnsi="Arial" w:cs="Arial"/>
          <w:sz w:val="21"/>
          <w:szCs w:val="21"/>
        </w:rPr>
        <w:t xml:space="preserve"> (Accessed: 9 August 2026).</w:t>
      </w:r>
    </w:p>
    <w:p w14:paraId="01CE1F54" w14:textId="64C1FD72" w:rsidR="00064743" w:rsidRDefault="001E743A" w:rsidP="003D3FB7">
      <w:pPr>
        <w:spacing w:after="200" w:line="360" w:lineRule="auto"/>
        <w:ind w:left="720" w:hanging="720"/>
        <w:jc w:val="both"/>
      </w:pPr>
      <w:r w:rsidRPr="00A55638">
        <w:rPr>
          <w:rFonts w:ascii="Arial" w:hAnsi="Arial" w:cs="Arial"/>
          <w:sz w:val="21"/>
          <w:szCs w:val="21"/>
        </w:rPr>
        <w:t xml:space="preserve">Trading Economics (2026) United Kingdom Consumer Confidence. Available at: </w:t>
      </w:r>
      <w:hyperlink r:id="rId28" w:history="1">
        <w:r w:rsidR="0061115D" w:rsidRPr="00207EAF">
          <w:rPr>
            <w:rStyle w:val="Hyperlink"/>
            <w:rFonts w:ascii="Arial" w:hAnsi="Arial" w:cs="Arial"/>
            <w:sz w:val="21"/>
            <w:szCs w:val="21"/>
          </w:rPr>
          <w:t>https://tradingeconomics.com/united-kin</w:t>
        </w:r>
        <w:r w:rsidR="0061115D" w:rsidRPr="00207EAF">
          <w:rPr>
            <w:rStyle w:val="Hyperlink"/>
            <w:sz w:val="21"/>
            <w:szCs w:val="21"/>
          </w:rPr>
          <w:t>gdom/consumer-confidence</w:t>
        </w:r>
      </w:hyperlink>
      <w:r w:rsidR="0061115D">
        <w:rPr>
          <w:sz w:val="21"/>
          <w:szCs w:val="21"/>
        </w:rPr>
        <w:t xml:space="preserve"> </w:t>
      </w:r>
      <w:r>
        <w:rPr>
          <w:sz w:val="21"/>
          <w:szCs w:val="21"/>
        </w:rPr>
        <w:t xml:space="preserve"> (Accessed: 9 August 2026).</w:t>
      </w:r>
    </w:p>
    <w:sectPr w:rsidR="00064743">
      <w:headerReference w:type="default" r:id="rId29"/>
      <w:footerReference w:type="default" r:id="rId30"/>
      <w:headerReference w:type="first" r:id="rId31"/>
      <w:footerReference w:type="first" r:id="rId32"/>
      <w:pgSz w:w="11906" w:h="16838"/>
      <w:pgMar w:top="1134" w:right="1134" w:bottom="1134" w:left="1134"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1B9EE73" w14:textId="77777777" w:rsidR="00FF5FD0" w:rsidRDefault="00FF5FD0">
      <w:r>
        <w:separator/>
      </w:r>
    </w:p>
  </w:endnote>
  <w:endnote w:type="continuationSeparator" w:id="0">
    <w:p w14:paraId="12E12486" w14:textId="77777777" w:rsidR="00FF5FD0" w:rsidRDefault="00FF5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CC"/>
    <w:family w:val="swiss"/>
    <w:pitch w:val="variable"/>
    <w:sig w:usb0="E4002EFF" w:usb1="C000ACFF"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CAB878E" w14:textId="77777777" w:rsidR="00064743" w:rsidRDefault="001E743A">
    <w:pPr>
      <w:jc w:val="center"/>
    </w:pPr>
    <w:r>
      <w:rPr>
        <w:color w:val="595959"/>
        <w:sz w:val="18"/>
        <w:szCs w:val="18"/>
      </w:rPr>
      <w:t xml:space="preserve">Page </w:t>
    </w:r>
    <w:r>
      <w:rPr>
        <w:color w:val="595959"/>
        <w:sz w:val="18"/>
        <w:szCs w:val="18"/>
      </w:rPr>
      <w:fldChar w:fldCharType="begin"/>
    </w:r>
    <w:r>
      <w:rPr>
        <w:color w:val="595959"/>
        <w:sz w:val="18"/>
        <w:szCs w:val="18"/>
      </w:rPr>
      <w:instrText>PAGE</w:instrText>
    </w:r>
    <w:r>
      <w:rPr>
        <w:color w:val="595959"/>
        <w:sz w:val="18"/>
        <w:szCs w:val="18"/>
      </w:rPr>
      <w:fldChar w:fldCharType="separate"/>
    </w:r>
    <w:r>
      <w:rPr>
        <w:noProof/>
        <w:color w:val="595959"/>
        <w:sz w:val="18"/>
        <w:szCs w:val="18"/>
      </w:rPr>
      <w:t>2</w:t>
    </w:r>
    <w:r>
      <w:rPr>
        <w:color w:val="595959"/>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D80B89A" w14:textId="77777777" w:rsidR="00064743" w:rsidRDefault="000647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0D605D2" w14:textId="77777777" w:rsidR="00FF5FD0" w:rsidRDefault="00FF5FD0">
      <w:r>
        <w:separator/>
      </w:r>
    </w:p>
  </w:footnote>
  <w:footnote w:type="continuationSeparator" w:id="0">
    <w:p w14:paraId="6B0B3721" w14:textId="77777777" w:rsidR="00FF5FD0" w:rsidRDefault="00FF5F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F8AE864" w14:textId="77777777" w:rsidR="00064743" w:rsidRDefault="001E743A">
    <w:pPr>
      <w:jc w:val="right"/>
    </w:pPr>
    <w:r>
      <w:rPr>
        <w:color w:val="595959"/>
        <w:sz w:val="16"/>
        <w:szCs w:val="16"/>
      </w:rPr>
      <w:t>BMW Group UK — Strategic Management Report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6791B12" w14:textId="77777777" w:rsidR="00064743" w:rsidRDefault="0006474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F3C0168"/>
    <w:multiLevelType w:val="hybridMultilevel"/>
    <w:tmpl w:val="FFFFFFFF"/>
    <w:lvl w:ilvl="0" w:tplc="4BBA6E80">
      <w:start w:val="1"/>
      <w:numFmt w:val="bullet"/>
      <w:lvlText w:val="●"/>
      <w:lvlJc w:val="left"/>
      <w:pPr>
        <w:ind w:left="720" w:hanging="360"/>
      </w:pPr>
    </w:lvl>
    <w:lvl w:ilvl="1" w:tplc="875ECB1A">
      <w:start w:val="1"/>
      <w:numFmt w:val="bullet"/>
      <w:lvlText w:val="○"/>
      <w:lvlJc w:val="left"/>
      <w:pPr>
        <w:ind w:left="1440" w:hanging="360"/>
      </w:pPr>
    </w:lvl>
    <w:lvl w:ilvl="2" w:tplc="26969ACE">
      <w:start w:val="1"/>
      <w:numFmt w:val="bullet"/>
      <w:lvlText w:val="■"/>
      <w:lvlJc w:val="left"/>
      <w:pPr>
        <w:ind w:left="2160" w:hanging="360"/>
      </w:pPr>
    </w:lvl>
    <w:lvl w:ilvl="3" w:tplc="3FC4B304">
      <w:start w:val="1"/>
      <w:numFmt w:val="bullet"/>
      <w:lvlText w:val="●"/>
      <w:lvlJc w:val="left"/>
      <w:pPr>
        <w:ind w:left="2880" w:hanging="360"/>
      </w:pPr>
    </w:lvl>
    <w:lvl w:ilvl="4" w:tplc="255A5C36">
      <w:start w:val="1"/>
      <w:numFmt w:val="bullet"/>
      <w:lvlText w:val="○"/>
      <w:lvlJc w:val="left"/>
      <w:pPr>
        <w:ind w:left="3600" w:hanging="360"/>
      </w:pPr>
    </w:lvl>
    <w:lvl w:ilvl="5" w:tplc="1FC05DF4">
      <w:start w:val="1"/>
      <w:numFmt w:val="bullet"/>
      <w:lvlText w:val="■"/>
      <w:lvlJc w:val="left"/>
      <w:pPr>
        <w:ind w:left="4320" w:hanging="360"/>
      </w:pPr>
    </w:lvl>
    <w:lvl w:ilvl="6" w:tplc="B91E2322">
      <w:start w:val="1"/>
      <w:numFmt w:val="bullet"/>
      <w:lvlText w:val="●"/>
      <w:lvlJc w:val="left"/>
      <w:pPr>
        <w:ind w:left="5040" w:hanging="360"/>
      </w:pPr>
    </w:lvl>
    <w:lvl w:ilvl="7" w:tplc="1EE0EDB2">
      <w:start w:val="1"/>
      <w:numFmt w:val="bullet"/>
      <w:lvlText w:val="●"/>
      <w:lvlJc w:val="left"/>
      <w:pPr>
        <w:ind w:left="5760" w:hanging="360"/>
      </w:pPr>
    </w:lvl>
    <w:lvl w:ilvl="8" w:tplc="67803018">
      <w:start w:val="1"/>
      <w:numFmt w:val="bullet"/>
      <w:lvlText w:val="●"/>
      <w:lvlJc w:val="left"/>
      <w:pPr>
        <w:ind w:left="6480" w:hanging="360"/>
      </w:pPr>
    </w:lvl>
  </w:abstractNum>
  <w:num w:numId="1" w16cid:durableId="1694528778">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29"/>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743"/>
    <w:rsid w:val="00000E83"/>
    <w:rsid w:val="00010E44"/>
    <w:rsid w:val="00064743"/>
    <w:rsid w:val="00065102"/>
    <w:rsid w:val="0008691C"/>
    <w:rsid w:val="0009556A"/>
    <w:rsid w:val="0014612E"/>
    <w:rsid w:val="00175353"/>
    <w:rsid w:val="001E743A"/>
    <w:rsid w:val="00202CFA"/>
    <w:rsid w:val="002E3AB3"/>
    <w:rsid w:val="00304094"/>
    <w:rsid w:val="00376B7B"/>
    <w:rsid w:val="003D3FB7"/>
    <w:rsid w:val="003F410A"/>
    <w:rsid w:val="0048424E"/>
    <w:rsid w:val="004A31A9"/>
    <w:rsid w:val="004B25A7"/>
    <w:rsid w:val="004F5264"/>
    <w:rsid w:val="005007DC"/>
    <w:rsid w:val="005039B7"/>
    <w:rsid w:val="00505741"/>
    <w:rsid w:val="0054796B"/>
    <w:rsid w:val="00555670"/>
    <w:rsid w:val="005B14F3"/>
    <w:rsid w:val="0061115D"/>
    <w:rsid w:val="00645A9F"/>
    <w:rsid w:val="00683C0A"/>
    <w:rsid w:val="006B01BC"/>
    <w:rsid w:val="006C5FEF"/>
    <w:rsid w:val="006E21AE"/>
    <w:rsid w:val="006F1A19"/>
    <w:rsid w:val="007067A8"/>
    <w:rsid w:val="007374DB"/>
    <w:rsid w:val="00773B44"/>
    <w:rsid w:val="0084529E"/>
    <w:rsid w:val="00854C6E"/>
    <w:rsid w:val="00871CB2"/>
    <w:rsid w:val="008B3DF6"/>
    <w:rsid w:val="00920FC1"/>
    <w:rsid w:val="00932AD6"/>
    <w:rsid w:val="009E54D2"/>
    <w:rsid w:val="00A43169"/>
    <w:rsid w:val="00A55638"/>
    <w:rsid w:val="00A560BD"/>
    <w:rsid w:val="00A56977"/>
    <w:rsid w:val="00A95C40"/>
    <w:rsid w:val="00B231FF"/>
    <w:rsid w:val="00B87EAC"/>
    <w:rsid w:val="00BC3343"/>
    <w:rsid w:val="00C534A7"/>
    <w:rsid w:val="00C55DB0"/>
    <w:rsid w:val="00C76958"/>
    <w:rsid w:val="00CD2B64"/>
    <w:rsid w:val="00CD3A3E"/>
    <w:rsid w:val="00D069AC"/>
    <w:rsid w:val="00D266FA"/>
    <w:rsid w:val="00D371D1"/>
    <w:rsid w:val="00D66BEB"/>
    <w:rsid w:val="00D728AD"/>
    <w:rsid w:val="00D85AE8"/>
    <w:rsid w:val="00E06818"/>
    <w:rsid w:val="00E46BBD"/>
    <w:rsid w:val="00EB01D1"/>
    <w:rsid w:val="00EC316C"/>
    <w:rsid w:val="00ED48C2"/>
    <w:rsid w:val="00EE5FFC"/>
    <w:rsid w:val="00F350B4"/>
    <w:rsid w:val="00F6692E"/>
    <w:rsid w:val="00FA0D5D"/>
    <w:rsid w:val="00FB4ADF"/>
    <w:rsid w:val="00FC3980"/>
    <w:rsid w:val="00FD55E7"/>
    <w:rsid w:val="00FE4EAC"/>
    <w:rsid w:val="00FE77C9"/>
    <w:rsid w:val="00FF5F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6900A"/>
  <w15:docId w15:val="{C450DEC6-C875-A749-BE7E-B045322B6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semiHidden/>
    <w:unhideWhenUsed/>
    <w:rsid w:val="00EC316C"/>
    <w:pPr>
      <w:tabs>
        <w:tab w:val="center" w:pos="4844"/>
        <w:tab w:val="right" w:pos="9689"/>
      </w:tabs>
    </w:pPr>
  </w:style>
  <w:style w:type="character" w:customStyle="1" w:styleId="HeaderChar">
    <w:name w:val="Header Char"/>
    <w:basedOn w:val="DefaultParagraphFont"/>
    <w:link w:val="Header"/>
    <w:uiPriority w:val="99"/>
    <w:semiHidden/>
    <w:rsid w:val="00EC316C"/>
  </w:style>
  <w:style w:type="paragraph" w:styleId="Footer">
    <w:name w:val="footer"/>
    <w:basedOn w:val="Normal"/>
    <w:link w:val="FooterChar"/>
    <w:uiPriority w:val="99"/>
    <w:semiHidden/>
    <w:unhideWhenUsed/>
    <w:rsid w:val="00EC316C"/>
    <w:pPr>
      <w:tabs>
        <w:tab w:val="center" w:pos="4844"/>
        <w:tab w:val="right" w:pos="9689"/>
      </w:tabs>
    </w:pPr>
  </w:style>
  <w:style w:type="character" w:customStyle="1" w:styleId="FooterChar">
    <w:name w:val="Footer Char"/>
    <w:basedOn w:val="DefaultParagraphFont"/>
    <w:link w:val="Footer"/>
    <w:uiPriority w:val="99"/>
    <w:semiHidden/>
    <w:rsid w:val="00EC316C"/>
  </w:style>
  <w:style w:type="paragraph" w:styleId="TOC1">
    <w:name w:val="toc 1"/>
    <w:basedOn w:val="Normal"/>
    <w:next w:val="Normal"/>
    <w:autoRedefine/>
    <w:uiPriority w:val="39"/>
    <w:unhideWhenUsed/>
    <w:rsid w:val="00376B7B"/>
    <w:pPr>
      <w:spacing w:before="120" w:after="120"/>
    </w:pPr>
    <w:rPr>
      <w:rFonts w:asciiTheme="minorHAnsi" w:hAnsiTheme="minorHAnsi"/>
      <w:b/>
      <w:bCs/>
      <w:caps/>
      <w:sz w:val="20"/>
      <w:szCs w:val="20"/>
    </w:rPr>
  </w:style>
  <w:style w:type="paragraph" w:styleId="TOC2">
    <w:name w:val="toc 2"/>
    <w:basedOn w:val="Normal"/>
    <w:next w:val="Normal"/>
    <w:autoRedefine/>
    <w:uiPriority w:val="39"/>
    <w:unhideWhenUsed/>
    <w:rsid w:val="00376B7B"/>
    <w:pPr>
      <w:ind w:left="220"/>
    </w:pPr>
    <w:rPr>
      <w:rFonts w:asciiTheme="minorHAnsi" w:hAnsiTheme="minorHAnsi"/>
      <w:smallCaps/>
      <w:sz w:val="20"/>
      <w:szCs w:val="20"/>
    </w:rPr>
  </w:style>
  <w:style w:type="paragraph" w:styleId="TOC3">
    <w:name w:val="toc 3"/>
    <w:basedOn w:val="Normal"/>
    <w:next w:val="Normal"/>
    <w:autoRedefine/>
    <w:uiPriority w:val="39"/>
    <w:unhideWhenUsed/>
    <w:rsid w:val="00376B7B"/>
    <w:pPr>
      <w:ind w:left="440"/>
    </w:pPr>
    <w:rPr>
      <w:rFonts w:asciiTheme="minorHAnsi" w:hAnsiTheme="minorHAnsi"/>
      <w:i/>
      <w:iCs/>
      <w:sz w:val="20"/>
      <w:szCs w:val="20"/>
    </w:rPr>
  </w:style>
  <w:style w:type="paragraph" w:styleId="TOC4">
    <w:name w:val="toc 4"/>
    <w:basedOn w:val="Normal"/>
    <w:next w:val="Normal"/>
    <w:autoRedefine/>
    <w:uiPriority w:val="39"/>
    <w:unhideWhenUsed/>
    <w:rsid w:val="00376B7B"/>
    <w:pPr>
      <w:ind w:left="660"/>
    </w:pPr>
    <w:rPr>
      <w:rFonts w:asciiTheme="minorHAnsi" w:hAnsiTheme="minorHAnsi"/>
      <w:sz w:val="18"/>
      <w:szCs w:val="18"/>
    </w:rPr>
  </w:style>
  <w:style w:type="paragraph" w:styleId="TOC5">
    <w:name w:val="toc 5"/>
    <w:basedOn w:val="Normal"/>
    <w:next w:val="Normal"/>
    <w:autoRedefine/>
    <w:uiPriority w:val="39"/>
    <w:unhideWhenUsed/>
    <w:rsid w:val="00376B7B"/>
    <w:pPr>
      <w:ind w:left="880"/>
    </w:pPr>
    <w:rPr>
      <w:rFonts w:asciiTheme="minorHAnsi" w:hAnsiTheme="minorHAnsi"/>
      <w:sz w:val="18"/>
      <w:szCs w:val="18"/>
    </w:rPr>
  </w:style>
  <w:style w:type="paragraph" w:styleId="TOC6">
    <w:name w:val="toc 6"/>
    <w:basedOn w:val="Normal"/>
    <w:next w:val="Normal"/>
    <w:autoRedefine/>
    <w:uiPriority w:val="39"/>
    <w:unhideWhenUsed/>
    <w:rsid w:val="00376B7B"/>
    <w:pPr>
      <w:ind w:left="1100"/>
    </w:pPr>
    <w:rPr>
      <w:rFonts w:asciiTheme="minorHAnsi" w:hAnsiTheme="minorHAnsi"/>
      <w:sz w:val="18"/>
      <w:szCs w:val="18"/>
    </w:rPr>
  </w:style>
  <w:style w:type="paragraph" w:styleId="TOC7">
    <w:name w:val="toc 7"/>
    <w:basedOn w:val="Normal"/>
    <w:next w:val="Normal"/>
    <w:autoRedefine/>
    <w:uiPriority w:val="39"/>
    <w:unhideWhenUsed/>
    <w:rsid w:val="00376B7B"/>
    <w:pPr>
      <w:ind w:left="1320"/>
    </w:pPr>
    <w:rPr>
      <w:rFonts w:asciiTheme="minorHAnsi" w:hAnsiTheme="minorHAnsi"/>
      <w:sz w:val="18"/>
      <w:szCs w:val="18"/>
    </w:rPr>
  </w:style>
  <w:style w:type="paragraph" w:styleId="TOC8">
    <w:name w:val="toc 8"/>
    <w:basedOn w:val="Normal"/>
    <w:next w:val="Normal"/>
    <w:autoRedefine/>
    <w:uiPriority w:val="39"/>
    <w:unhideWhenUsed/>
    <w:rsid w:val="00376B7B"/>
    <w:pPr>
      <w:ind w:left="1540"/>
    </w:pPr>
    <w:rPr>
      <w:rFonts w:asciiTheme="minorHAnsi" w:hAnsiTheme="minorHAnsi"/>
      <w:sz w:val="18"/>
      <w:szCs w:val="18"/>
    </w:rPr>
  </w:style>
  <w:style w:type="paragraph" w:styleId="TOC9">
    <w:name w:val="toc 9"/>
    <w:basedOn w:val="Normal"/>
    <w:next w:val="Normal"/>
    <w:autoRedefine/>
    <w:uiPriority w:val="39"/>
    <w:unhideWhenUsed/>
    <w:rsid w:val="00376B7B"/>
    <w:pPr>
      <w:ind w:left="1760"/>
    </w:pPr>
    <w:rPr>
      <w:rFonts w:asciiTheme="minorHAnsi" w:hAnsiTheme="minorHAnsi"/>
      <w:sz w:val="18"/>
      <w:szCs w:val="18"/>
    </w:rPr>
  </w:style>
  <w:style w:type="character" w:styleId="UnresolvedMention">
    <w:name w:val="Unresolved Mention"/>
    <w:basedOn w:val="DefaultParagraphFont"/>
    <w:uiPriority w:val="99"/>
    <w:semiHidden/>
    <w:unhideWhenUsed/>
    <w:rsid w:val="007374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bmwgroup.com/en/company/history.html" TargetMode="External"/><Relationship Id="rId18" Type="http://schemas.openxmlformats.org/officeDocument/2006/relationships/hyperlink" Target="https://www.press.bmwgroup.com/united-kingdom/article/detail/T0454784EN_GB" TargetMode="External"/><Relationship Id="rId26" Type="http://schemas.openxmlformats.org/officeDocument/2006/relationships/hyperlink" Target="https://www.smmt.co.uk/automotive-calls-for-urgent-action-as-zev-targets-and-trade-threats-put-sector-at-risk" TargetMode="External"/><Relationship Id="rId3" Type="http://schemas.openxmlformats.org/officeDocument/2006/relationships/settings" Target="settings.xml"/><Relationship Id="rId21" Type="http://schemas.openxmlformats.org/officeDocument/2006/relationships/hyperlink" Target="https://www.electrive.com/2026/04/20/project-insight-ai-enhances-battery-cell-test-production-at-bmw"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press.bmwgroup.com/global/article/detail/T0451620EN" TargetMode="External"/><Relationship Id="rId17" Type="http://schemas.openxmlformats.org/officeDocument/2006/relationships/hyperlink" Target="https://www.bmwgroup.com/content/dam/grpw/websites/bmwgroup_com/ir/downloads/en/2025/investor-presentation/BMW_Investor_Presentation_2025.pdf" TargetMode="External"/><Relationship Id="rId25" Type="http://schemas.openxmlformats.org/officeDocument/2006/relationships/hyperlink" Target="https://www.regit.cars/car-news/chinese-car-brands-overtake-japanese-rivals-in-uk-sales"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bmwgroup.com/en/company/neue-klasse.html" TargetMode="External"/><Relationship Id="rId20" Type="http://schemas.openxmlformats.org/officeDocument/2006/relationships/hyperlink" Target="https://electriccarsreport.com/2026/02/bmw-and-catl-deepen-ev-battery-partnership-with-focus-on-decarbonisation-and-battery-passport"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ess.bmwgroup.com/united-kingdom/article/detail/T0436869EN_GB" TargetMode="External"/><Relationship Id="rId24" Type="http://schemas.openxmlformats.org/officeDocument/2006/relationships/hyperlink" Target="https://money4cars.co.uk/guides/uk-car-affordability-2026-interest-rates-fuel-costs"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bmwgroup.com/en/company/strategy.html" TargetMode="External"/><Relationship Id="rId23" Type="http://schemas.openxmlformats.org/officeDocument/2006/relationships/hyperlink" Target="https://www.marklines.com/en/news/341626" TargetMode="External"/><Relationship Id="rId28" Type="http://schemas.openxmlformats.org/officeDocument/2006/relationships/hyperlink" Target="https://tradingeconomics.com/united-kingdom/consumer-confidence" TargetMode="External"/><Relationship Id="rId10" Type="http://schemas.openxmlformats.org/officeDocument/2006/relationships/image" Target="media/image4.png"/><Relationship Id="rId19" Type="http://schemas.openxmlformats.org/officeDocument/2006/relationships/hyperlink" Target="https://www.bmwblog.com/2026/08/01/bmw-wants-ev-share-nearly-triple-2030/" TargetMode="External"/><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press.bmwgroup.com/global/article/detail/T0456175EN" TargetMode="External"/><Relationship Id="rId22" Type="http://schemas.openxmlformats.org/officeDocument/2006/relationships/hyperlink" Target="https://www.forbes.com/companies/bmw-group" TargetMode="External"/><Relationship Id="rId27" Type="http://schemas.openxmlformats.org/officeDocument/2006/relationships/hyperlink" Target="https://www.sec.gov/Archives/edgar/data/0001844862/000110465926079956/tm2619489d1_ex99-1.htm" TargetMode="External"/><Relationship Id="rId30" Type="http://schemas.openxmlformats.org/officeDocument/2006/relationships/footer" Target="footer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3462</Words>
  <Characters>19737</Characters>
  <Application>Microsoft Office Word</Application>
  <DocSecurity>0</DocSecurity>
  <Lines>164</Lines>
  <Paragraphs>46</Paragraphs>
  <ScaleCrop>false</ScaleCrop>
  <Company/>
  <LinksUpToDate>false</LinksUpToDate>
  <CharactersWithSpaces>23153</CharactersWithSpaces>
  <SharedDoc>false</SharedDoc>
  <HLinks>
    <vt:vector size="48" baseType="variant">
      <vt:variant>
        <vt:i4>1835070</vt:i4>
      </vt:variant>
      <vt:variant>
        <vt:i4>44</vt:i4>
      </vt:variant>
      <vt:variant>
        <vt:i4>0</vt:i4>
      </vt:variant>
      <vt:variant>
        <vt:i4>5</vt:i4>
      </vt:variant>
      <vt:variant>
        <vt:lpwstr/>
      </vt:variant>
      <vt:variant>
        <vt:lpwstr>_Toc237529945</vt:lpwstr>
      </vt:variant>
      <vt:variant>
        <vt:i4>1835070</vt:i4>
      </vt:variant>
      <vt:variant>
        <vt:i4>38</vt:i4>
      </vt:variant>
      <vt:variant>
        <vt:i4>0</vt:i4>
      </vt:variant>
      <vt:variant>
        <vt:i4>5</vt:i4>
      </vt:variant>
      <vt:variant>
        <vt:lpwstr/>
      </vt:variant>
      <vt:variant>
        <vt:lpwstr>_Toc237529944</vt:lpwstr>
      </vt:variant>
      <vt:variant>
        <vt:i4>1835070</vt:i4>
      </vt:variant>
      <vt:variant>
        <vt:i4>32</vt:i4>
      </vt:variant>
      <vt:variant>
        <vt:i4>0</vt:i4>
      </vt:variant>
      <vt:variant>
        <vt:i4>5</vt:i4>
      </vt:variant>
      <vt:variant>
        <vt:lpwstr/>
      </vt:variant>
      <vt:variant>
        <vt:lpwstr>_Toc237529943</vt:lpwstr>
      </vt:variant>
      <vt:variant>
        <vt:i4>1835070</vt:i4>
      </vt:variant>
      <vt:variant>
        <vt:i4>26</vt:i4>
      </vt:variant>
      <vt:variant>
        <vt:i4>0</vt:i4>
      </vt:variant>
      <vt:variant>
        <vt:i4>5</vt:i4>
      </vt:variant>
      <vt:variant>
        <vt:lpwstr/>
      </vt:variant>
      <vt:variant>
        <vt:lpwstr>_Toc237529942</vt:lpwstr>
      </vt:variant>
      <vt:variant>
        <vt:i4>1835070</vt:i4>
      </vt:variant>
      <vt:variant>
        <vt:i4>20</vt:i4>
      </vt:variant>
      <vt:variant>
        <vt:i4>0</vt:i4>
      </vt:variant>
      <vt:variant>
        <vt:i4>5</vt:i4>
      </vt:variant>
      <vt:variant>
        <vt:lpwstr/>
      </vt:variant>
      <vt:variant>
        <vt:lpwstr>_Toc237529941</vt:lpwstr>
      </vt:variant>
      <vt:variant>
        <vt:i4>1835070</vt:i4>
      </vt:variant>
      <vt:variant>
        <vt:i4>14</vt:i4>
      </vt:variant>
      <vt:variant>
        <vt:i4>0</vt:i4>
      </vt:variant>
      <vt:variant>
        <vt:i4>5</vt:i4>
      </vt:variant>
      <vt:variant>
        <vt:lpwstr/>
      </vt:variant>
      <vt:variant>
        <vt:lpwstr>_Toc237529940</vt:lpwstr>
      </vt:variant>
      <vt:variant>
        <vt:i4>1769534</vt:i4>
      </vt:variant>
      <vt:variant>
        <vt:i4>8</vt:i4>
      </vt:variant>
      <vt:variant>
        <vt:i4>0</vt:i4>
      </vt:variant>
      <vt:variant>
        <vt:i4>5</vt:i4>
      </vt:variant>
      <vt:variant>
        <vt:lpwstr/>
      </vt:variant>
      <vt:variant>
        <vt:lpwstr>_Toc237529939</vt:lpwstr>
      </vt:variant>
      <vt:variant>
        <vt:i4>1769534</vt:i4>
      </vt:variant>
      <vt:variant>
        <vt:i4>2</vt:i4>
      </vt:variant>
      <vt:variant>
        <vt:i4>0</vt:i4>
      </vt:variant>
      <vt:variant>
        <vt:i4>5</vt:i4>
      </vt:variant>
      <vt:variant>
        <vt:lpwstr/>
      </vt:variant>
      <vt:variant>
        <vt:lpwstr>_Toc237529938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Automotive Industry Trends and Strategy Formulation: BMW Group UK</dc:title>
  <dc:creator>Strategic Management Report</dc:creator>
  <cp:lastModifiedBy>Alexandra Volosciuc (2229637)</cp:lastModifiedBy>
  <cp:revision>2</cp:revision>
  <dcterms:created xsi:type="dcterms:W3CDTF">2026-08-16T22:37:00Z</dcterms:created>
  <dcterms:modified xsi:type="dcterms:W3CDTF">2026-08-16T22:37:00Z</dcterms:modified>
</cp:coreProperties>
</file>