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75171726"/>
        <w:docPartObj>
          <w:docPartGallery w:val="Cover Pages"/>
          <w:docPartUnique/>
        </w:docPartObj>
      </w:sdtPr>
      <w:sdtContent>
        <w:p w14:paraId="503FC271" w14:textId="564EFAA3" w:rsidR="002112FF" w:rsidRDefault="002112FF">
          <w:r>
            <w:rPr>
              <w:noProof/>
            </w:rPr>
            <mc:AlternateContent>
              <mc:Choice Requires="wpg">
                <w:drawing>
                  <wp:anchor distT="0" distB="0" distL="114300" distR="114300" simplePos="0" relativeHeight="251659264" behindDoc="1" locked="0" layoutInCell="1" allowOverlap="1" wp14:anchorId="39133734" wp14:editId="31398AAD">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50943C0" w14:textId="22FC171B" w:rsidR="002112FF" w:rsidRDefault="002112FF">
                                      <w:pPr>
                                        <w:pStyle w:val="NoSpacing"/>
                                        <w:spacing w:before="120"/>
                                        <w:jc w:val="center"/>
                                        <w:rPr>
                                          <w:color w:val="FFFFFF" w:themeColor="background1"/>
                                        </w:rPr>
                                      </w:pPr>
                                      <w:r>
                                        <w:rPr>
                                          <w:color w:val="FFFFFF" w:themeColor="background1"/>
                                        </w:rPr>
                                        <w:t>Andrei Selaru (2112461)</w:t>
                                      </w:r>
                                    </w:p>
                                  </w:sdtContent>
                                </w:sdt>
                                <w:p w14:paraId="0F78F578" w14:textId="645D07DD" w:rsidR="002112FF"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833130">
                                        <w:rPr>
                                          <w:caps/>
                                          <w:color w:val="FFFFFF" w:themeColor="background1"/>
                                        </w:rPr>
                                        <w:t>University of wales trinity saint david</w:t>
                                      </w:r>
                                    </w:sdtContent>
                                  </w:sdt>
                                  <w:r w:rsidR="002112FF">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833130">
                                        <w:rPr>
                                          <w:color w:val="FFFFFF" w:themeColor="background1"/>
                                        </w:rPr>
                                        <w:t>Date: 15/03/2024</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1647013" w14:textId="44A247FF" w:rsidR="002112FF" w:rsidRDefault="0083313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Strategic capability: toyota</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9133734"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450943C0" w14:textId="22FC171B" w:rsidR="002112FF" w:rsidRDefault="002112FF">
                                <w:pPr>
                                  <w:pStyle w:val="NoSpacing"/>
                                  <w:spacing w:before="120"/>
                                  <w:jc w:val="center"/>
                                  <w:rPr>
                                    <w:color w:val="FFFFFF" w:themeColor="background1"/>
                                  </w:rPr>
                                </w:pPr>
                                <w:r>
                                  <w:rPr>
                                    <w:color w:val="FFFFFF" w:themeColor="background1"/>
                                  </w:rPr>
                                  <w:t>Andrei Selaru (2112461)</w:t>
                                </w:r>
                              </w:p>
                            </w:sdtContent>
                          </w:sdt>
                          <w:p w14:paraId="0F78F578" w14:textId="645D07DD" w:rsidR="002112FF"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833130">
                                  <w:rPr>
                                    <w:caps/>
                                    <w:color w:val="FFFFFF" w:themeColor="background1"/>
                                  </w:rPr>
                                  <w:t>University of wales trinity saint david</w:t>
                                </w:r>
                              </w:sdtContent>
                            </w:sdt>
                            <w:r w:rsidR="002112FF">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833130">
                                  <w:rPr>
                                    <w:color w:val="FFFFFF" w:themeColor="background1"/>
                                  </w:rPr>
                                  <w:t>Date: 15/03/2024</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1647013" w14:textId="44A247FF" w:rsidR="002112FF" w:rsidRDefault="00833130">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Strategic capability: toyota</w:t>
                                </w:r>
                              </w:p>
                            </w:sdtContent>
                          </w:sdt>
                        </w:txbxContent>
                      </v:textbox>
                    </v:shape>
                    <w10:wrap anchorx="page" anchory="page"/>
                  </v:group>
                </w:pict>
              </mc:Fallback>
            </mc:AlternateContent>
          </w:r>
        </w:p>
        <w:p w14:paraId="31B24C89" w14:textId="437B5EB9" w:rsidR="002112FF" w:rsidRDefault="002112FF">
          <w:pPr>
            <w:rPr>
              <w:rFonts w:asciiTheme="majorHAnsi" w:eastAsiaTheme="majorEastAsia" w:hAnsiTheme="majorHAnsi" w:cstheme="majorBidi"/>
              <w:color w:val="2F5496" w:themeColor="accent1" w:themeShade="BF"/>
              <w:sz w:val="32"/>
              <w:szCs w:val="32"/>
              <w:lang w:eastAsia="en-GB"/>
            </w:rPr>
          </w:pPr>
          <w:r>
            <w:br w:type="page"/>
          </w:r>
        </w:p>
      </w:sdtContent>
    </w:sdt>
    <w:sdt>
      <w:sdtPr>
        <w:rPr>
          <w:rFonts w:asciiTheme="minorHAnsi" w:eastAsiaTheme="minorHAnsi" w:hAnsiTheme="minorHAnsi" w:cstheme="minorBidi"/>
          <w:color w:val="auto"/>
          <w:sz w:val="22"/>
          <w:szCs w:val="22"/>
          <w:lang w:eastAsia="en-US"/>
        </w:rPr>
        <w:id w:val="-861433550"/>
        <w:docPartObj>
          <w:docPartGallery w:val="Table of Contents"/>
          <w:docPartUnique/>
        </w:docPartObj>
      </w:sdtPr>
      <w:sdtEndPr>
        <w:rPr>
          <w:b/>
          <w:bCs/>
        </w:rPr>
      </w:sdtEndPr>
      <w:sdtContent>
        <w:p w14:paraId="0D2B427F" w14:textId="1001D76E" w:rsidR="00C77FCB" w:rsidRDefault="00C77FCB">
          <w:pPr>
            <w:pStyle w:val="TOCHeading"/>
          </w:pPr>
          <w:r>
            <w:t>Contents</w:t>
          </w:r>
        </w:p>
        <w:p w14:paraId="0428B74E" w14:textId="5674B627" w:rsidR="00CC1330" w:rsidRDefault="00C77FCB">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61241556" w:history="1">
            <w:r w:rsidR="00CC1330" w:rsidRPr="006A06AB">
              <w:rPr>
                <w:rStyle w:val="Hyperlink"/>
                <w:noProof/>
              </w:rPr>
              <w:t>Executive summary</w:t>
            </w:r>
            <w:r w:rsidR="00CC1330">
              <w:rPr>
                <w:noProof/>
                <w:webHidden/>
              </w:rPr>
              <w:tab/>
            </w:r>
            <w:r w:rsidR="00CC1330">
              <w:rPr>
                <w:noProof/>
                <w:webHidden/>
              </w:rPr>
              <w:fldChar w:fldCharType="begin"/>
            </w:r>
            <w:r w:rsidR="00CC1330">
              <w:rPr>
                <w:noProof/>
                <w:webHidden/>
              </w:rPr>
              <w:instrText xml:space="preserve"> PAGEREF _Toc161241556 \h </w:instrText>
            </w:r>
            <w:r w:rsidR="00CC1330">
              <w:rPr>
                <w:noProof/>
                <w:webHidden/>
              </w:rPr>
            </w:r>
            <w:r w:rsidR="00CC1330">
              <w:rPr>
                <w:noProof/>
                <w:webHidden/>
              </w:rPr>
              <w:fldChar w:fldCharType="separate"/>
            </w:r>
            <w:r w:rsidR="00CC1330">
              <w:rPr>
                <w:noProof/>
                <w:webHidden/>
              </w:rPr>
              <w:t>2</w:t>
            </w:r>
            <w:r w:rsidR="00CC1330">
              <w:rPr>
                <w:noProof/>
                <w:webHidden/>
              </w:rPr>
              <w:fldChar w:fldCharType="end"/>
            </w:r>
          </w:hyperlink>
        </w:p>
        <w:p w14:paraId="290CE51B" w14:textId="619E916E" w:rsidR="00CC1330" w:rsidRDefault="00000000">
          <w:pPr>
            <w:pStyle w:val="TOC1"/>
            <w:tabs>
              <w:tab w:val="left" w:pos="720"/>
              <w:tab w:val="right" w:leader="dot" w:pos="9016"/>
            </w:tabs>
            <w:rPr>
              <w:rFonts w:eastAsiaTheme="minorEastAsia"/>
              <w:noProof/>
              <w:kern w:val="2"/>
              <w:sz w:val="24"/>
              <w:szCs w:val="24"/>
              <w:lang w:eastAsia="en-GB"/>
              <w14:ligatures w14:val="standardContextual"/>
            </w:rPr>
          </w:pPr>
          <w:hyperlink w:anchor="_Toc161241557" w:history="1">
            <w:r w:rsidR="00CC1330" w:rsidRPr="006A06AB">
              <w:rPr>
                <w:rStyle w:val="Hyperlink"/>
                <w:noProof/>
              </w:rPr>
              <w:t>1.0</w:t>
            </w:r>
            <w:r w:rsidR="00CC1330">
              <w:rPr>
                <w:rFonts w:eastAsiaTheme="minorEastAsia"/>
                <w:noProof/>
                <w:kern w:val="2"/>
                <w:sz w:val="24"/>
                <w:szCs w:val="24"/>
                <w:lang w:eastAsia="en-GB"/>
                <w14:ligatures w14:val="standardContextual"/>
              </w:rPr>
              <w:tab/>
            </w:r>
            <w:r w:rsidR="00CC1330" w:rsidRPr="006A06AB">
              <w:rPr>
                <w:rStyle w:val="Hyperlink"/>
                <w:noProof/>
              </w:rPr>
              <w:t>Introduction</w:t>
            </w:r>
            <w:r w:rsidR="00CC1330">
              <w:rPr>
                <w:noProof/>
                <w:webHidden/>
              </w:rPr>
              <w:tab/>
            </w:r>
            <w:r w:rsidR="00CC1330">
              <w:rPr>
                <w:noProof/>
                <w:webHidden/>
              </w:rPr>
              <w:fldChar w:fldCharType="begin"/>
            </w:r>
            <w:r w:rsidR="00CC1330">
              <w:rPr>
                <w:noProof/>
                <w:webHidden/>
              </w:rPr>
              <w:instrText xml:space="preserve"> PAGEREF _Toc161241557 \h </w:instrText>
            </w:r>
            <w:r w:rsidR="00CC1330">
              <w:rPr>
                <w:noProof/>
                <w:webHidden/>
              </w:rPr>
            </w:r>
            <w:r w:rsidR="00CC1330">
              <w:rPr>
                <w:noProof/>
                <w:webHidden/>
              </w:rPr>
              <w:fldChar w:fldCharType="separate"/>
            </w:r>
            <w:r w:rsidR="00CC1330">
              <w:rPr>
                <w:noProof/>
                <w:webHidden/>
              </w:rPr>
              <w:t>3</w:t>
            </w:r>
            <w:r w:rsidR="00CC1330">
              <w:rPr>
                <w:noProof/>
                <w:webHidden/>
              </w:rPr>
              <w:fldChar w:fldCharType="end"/>
            </w:r>
          </w:hyperlink>
        </w:p>
        <w:p w14:paraId="6EBE185E" w14:textId="228F18BA" w:rsidR="00CC1330" w:rsidRDefault="00000000">
          <w:pPr>
            <w:pStyle w:val="TOC1"/>
            <w:tabs>
              <w:tab w:val="left" w:pos="720"/>
              <w:tab w:val="right" w:leader="dot" w:pos="9016"/>
            </w:tabs>
            <w:rPr>
              <w:rFonts w:eastAsiaTheme="minorEastAsia"/>
              <w:noProof/>
              <w:kern w:val="2"/>
              <w:sz w:val="24"/>
              <w:szCs w:val="24"/>
              <w:lang w:eastAsia="en-GB"/>
              <w14:ligatures w14:val="standardContextual"/>
            </w:rPr>
          </w:pPr>
          <w:hyperlink w:anchor="_Toc161241558" w:history="1">
            <w:r w:rsidR="00CC1330" w:rsidRPr="006A06AB">
              <w:rPr>
                <w:rStyle w:val="Hyperlink"/>
                <w:noProof/>
              </w:rPr>
              <w:t>2.0</w:t>
            </w:r>
            <w:r w:rsidR="00CC1330">
              <w:rPr>
                <w:rFonts w:eastAsiaTheme="minorEastAsia"/>
                <w:noProof/>
                <w:kern w:val="2"/>
                <w:sz w:val="24"/>
                <w:szCs w:val="24"/>
                <w:lang w:eastAsia="en-GB"/>
                <w14:ligatures w14:val="standardContextual"/>
              </w:rPr>
              <w:tab/>
            </w:r>
            <w:r w:rsidR="00CC1330" w:rsidRPr="006A06AB">
              <w:rPr>
                <w:rStyle w:val="Hyperlink"/>
                <w:noProof/>
              </w:rPr>
              <w:t>Main Findings</w:t>
            </w:r>
            <w:r w:rsidR="00CC1330">
              <w:rPr>
                <w:noProof/>
                <w:webHidden/>
              </w:rPr>
              <w:tab/>
            </w:r>
            <w:r w:rsidR="00CC1330">
              <w:rPr>
                <w:noProof/>
                <w:webHidden/>
              </w:rPr>
              <w:fldChar w:fldCharType="begin"/>
            </w:r>
            <w:r w:rsidR="00CC1330">
              <w:rPr>
                <w:noProof/>
                <w:webHidden/>
              </w:rPr>
              <w:instrText xml:space="preserve"> PAGEREF _Toc161241558 \h </w:instrText>
            </w:r>
            <w:r w:rsidR="00CC1330">
              <w:rPr>
                <w:noProof/>
                <w:webHidden/>
              </w:rPr>
            </w:r>
            <w:r w:rsidR="00CC1330">
              <w:rPr>
                <w:noProof/>
                <w:webHidden/>
              </w:rPr>
              <w:fldChar w:fldCharType="separate"/>
            </w:r>
            <w:r w:rsidR="00CC1330">
              <w:rPr>
                <w:noProof/>
                <w:webHidden/>
              </w:rPr>
              <w:t>4</w:t>
            </w:r>
            <w:r w:rsidR="00CC1330">
              <w:rPr>
                <w:noProof/>
                <w:webHidden/>
              </w:rPr>
              <w:fldChar w:fldCharType="end"/>
            </w:r>
          </w:hyperlink>
        </w:p>
        <w:p w14:paraId="0DB9CD01" w14:textId="03EC17A1" w:rsidR="00CC1330" w:rsidRDefault="00000000">
          <w:pPr>
            <w:pStyle w:val="TOC2"/>
            <w:tabs>
              <w:tab w:val="left" w:pos="960"/>
              <w:tab w:val="right" w:leader="dot" w:pos="9016"/>
            </w:tabs>
            <w:rPr>
              <w:rFonts w:eastAsiaTheme="minorEastAsia"/>
              <w:noProof/>
              <w:kern w:val="2"/>
              <w:sz w:val="24"/>
              <w:szCs w:val="24"/>
              <w:lang w:eastAsia="en-GB"/>
              <w14:ligatures w14:val="standardContextual"/>
            </w:rPr>
          </w:pPr>
          <w:hyperlink w:anchor="_Toc161241559" w:history="1">
            <w:r w:rsidR="00CC1330" w:rsidRPr="006A06AB">
              <w:rPr>
                <w:rStyle w:val="Hyperlink"/>
                <w:noProof/>
              </w:rPr>
              <w:t>2.1</w:t>
            </w:r>
            <w:r w:rsidR="00CC1330">
              <w:rPr>
                <w:rFonts w:eastAsiaTheme="minorEastAsia"/>
                <w:noProof/>
                <w:kern w:val="2"/>
                <w:sz w:val="24"/>
                <w:szCs w:val="24"/>
                <w:lang w:eastAsia="en-GB"/>
                <w14:ligatures w14:val="standardContextual"/>
              </w:rPr>
              <w:tab/>
            </w:r>
            <w:r w:rsidR="00CC1330" w:rsidRPr="006A06AB">
              <w:rPr>
                <w:rStyle w:val="Hyperlink"/>
                <w:noProof/>
              </w:rPr>
              <w:t>Introduction to Toyota</w:t>
            </w:r>
            <w:r w:rsidR="00CC1330">
              <w:rPr>
                <w:noProof/>
                <w:webHidden/>
              </w:rPr>
              <w:tab/>
            </w:r>
            <w:r w:rsidR="00CC1330">
              <w:rPr>
                <w:noProof/>
                <w:webHidden/>
              </w:rPr>
              <w:fldChar w:fldCharType="begin"/>
            </w:r>
            <w:r w:rsidR="00CC1330">
              <w:rPr>
                <w:noProof/>
                <w:webHidden/>
              </w:rPr>
              <w:instrText xml:space="preserve"> PAGEREF _Toc161241559 \h </w:instrText>
            </w:r>
            <w:r w:rsidR="00CC1330">
              <w:rPr>
                <w:noProof/>
                <w:webHidden/>
              </w:rPr>
            </w:r>
            <w:r w:rsidR="00CC1330">
              <w:rPr>
                <w:noProof/>
                <w:webHidden/>
              </w:rPr>
              <w:fldChar w:fldCharType="separate"/>
            </w:r>
            <w:r w:rsidR="00CC1330">
              <w:rPr>
                <w:noProof/>
                <w:webHidden/>
              </w:rPr>
              <w:t>4</w:t>
            </w:r>
            <w:r w:rsidR="00CC1330">
              <w:rPr>
                <w:noProof/>
                <w:webHidden/>
              </w:rPr>
              <w:fldChar w:fldCharType="end"/>
            </w:r>
          </w:hyperlink>
        </w:p>
        <w:p w14:paraId="2BFA66C6" w14:textId="0E577666" w:rsidR="00CC1330" w:rsidRDefault="00000000">
          <w:pPr>
            <w:pStyle w:val="TOC2"/>
            <w:tabs>
              <w:tab w:val="left" w:pos="960"/>
              <w:tab w:val="right" w:leader="dot" w:pos="9016"/>
            </w:tabs>
            <w:rPr>
              <w:rFonts w:eastAsiaTheme="minorEastAsia"/>
              <w:noProof/>
              <w:kern w:val="2"/>
              <w:sz w:val="24"/>
              <w:szCs w:val="24"/>
              <w:lang w:eastAsia="en-GB"/>
              <w14:ligatures w14:val="standardContextual"/>
            </w:rPr>
          </w:pPr>
          <w:hyperlink w:anchor="_Toc161241560" w:history="1">
            <w:r w:rsidR="00CC1330" w:rsidRPr="006A06AB">
              <w:rPr>
                <w:rStyle w:val="Hyperlink"/>
                <w:noProof/>
              </w:rPr>
              <w:t>2.2</w:t>
            </w:r>
            <w:r w:rsidR="00CC1330">
              <w:rPr>
                <w:rFonts w:eastAsiaTheme="minorEastAsia"/>
                <w:noProof/>
                <w:kern w:val="2"/>
                <w:sz w:val="24"/>
                <w:szCs w:val="24"/>
                <w:lang w:eastAsia="en-GB"/>
                <w14:ligatures w14:val="standardContextual"/>
              </w:rPr>
              <w:tab/>
            </w:r>
            <w:r w:rsidR="00CC1330" w:rsidRPr="006A06AB">
              <w:rPr>
                <w:rStyle w:val="Hyperlink"/>
                <w:noProof/>
              </w:rPr>
              <w:t>Strategic Analysis Models</w:t>
            </w:r>
            <w:r w:rsidR="00CC1330">
              <w:rPr>
                <w:noProof/>
                <w:webHidden/>
              </w:rPr>
              <w:tab/>
            </w:r>
            <w:r w:rsidR="00CC1330">
              <w:rPr>
                <w:noProof/>
                <w:webHidden/>
              </w:rPr>
              <w:fldChar w:fldCharType="begin"/>
            </w:r>
            <w:r w:rsidR="00CC1330">
              <w:rPr>
                <w:noProof/>
                <w:webHidden/>
              </w:rPr>
              <w:instrText xml:space="preserve"> PAGEREF _Toc161241560 \h </w:instrText>
            </w:r>
            <w:r w:rsidR="00CC1330">
              <w:rPr>
                <w:noProof/>
                <w:webHidden/>
              </w:rPr>
            </w:r>
            <w:r w:rsidR="00CC1330">
              <w:rPr>
                <w:noProof/>
                <w:webHidden/>
              </w:rPr>
              <w:fldChar w:fldCharType="separate"/>
            </w:r>
            <w:r w:rsidR="00CC1330">
              <w:rPr>
                <w:noProof/>
                <w:webHidden/>
              </w:rPr>
              <w:t>7</w:t>
            </w:r>
            <w:r w:rsidR="00CC1330">
              <w:rPr>
                <w:noProof/>
                <w:webHidden/>
              </w:rPr>
              <w:fldChar w:fldCharType="end"/>
            </w:r>
          </w:hyperlink>
        </w:p>
        <w:p w14:paraId="40457160" w14:textId="551BCF78" w:rsidR="00CC1330" w:rsidRDefault="00000000">
          <w:pPr>
            <w:pStyle w:val="TOC2"/>
            <w:tabs>
              <w:tab w:val="left" w:pos="960"/>
              <w:tab w:val="right" w:leader="dot" w:pos="9016"/>
            </w:tabs>
            <w:rPr>
              <w:rFonts w:eastAsiaTheme="minorEastAsia"/>
              <w:noProof/>
              <w:kern w:val="2"/>
              <w:sz w:val="24"/>
              <w:szCs w:val="24"/>
              <w:lang w:eastAsia="en-GB"/>
              <w14:ligatures w14:val="standardContextual"/>
            </w:rPr>
          </w:pPr>
          <w:hyperlink w:anchor="_Toc161241561" w:history="1">
            <w:r w:rsidR="00CC1330" w:rsidRPr="006A06AB">
              <w:rPr>
                <w:rStyle w:val="Hyperlink"/>
                <w:noProof/>
              </w:rPr>
              <w:t>2.3</w:t>
            </w:r>
            <w:r w:rsidR="00CC1330">
              <w:rPr>
                <w:rFonts w:eastAsiaTheme="minorEastAsia"/>
                <w:noProof/>
                <w:kern w:val="2"/>
                <w:sz w:val="24"/>
                <w:szCs w:val="24"/>
                <w:lang w:eastAsia="en-GB"/>
                <w14:ligatures w14:val="standardContextual"/>
              </w:rPr>
              <w:tab/>
            </w:r>
            <w:r w:rsidR="00CC1330" w:rsidRPr="006A06AB">
              <w:rPr>
                <w:rStyle w:val="Hyperlink"/>
                <w:noProof/>
              </w:rPr>
              <w:t>Influences on Strategic Direction</w:t>
            </w:r>
            <w:r w:rsidR="00CC1330">
              <w:rPr>
                <w:noProof/>
                <w:webHidden/>
              </w:rPr>
              <w:tab/>
            </w:r>
            <w:r w:rsidR="00CC1330">
              <w:rPr>
                <w:noProof/>
                <w:webHidden/>
              </w:rPr>
              <w:fldChar w:fldCharType="begin"/>
            </w:r>
            <w:r w:rsidR="00CC1330">
              <w:rPr>
                <w:noProof/>
                <w:webHidden/>
              </w:rPr>
              <w:instrText xml:space="preserve"> PAGEREF _Toc161241561 \h </w:instrText>
            </w:r>
            <w:r w:rsidR="00CC1330">
              <w:rPr>
                <w:noProof/>
                <w:webHidden/>
              </w:rPr>
            </w:r>
            <w:r w:rsidR="00CC1330">
              <w:rPr>
                <w:noProof/>
                <w:webHidden/>
              </w:rPr>
              <w:fldChar w:fldCharType="separate"/>
            </w:r>
            <w:r w:rsidR="00CC1330">
              <w:rPr>
                <w:noProof/>
                <w:webHidden/>
              </w:rPr>
              <w:t>8</w:t>
            </w:r>
            <w:r w:rsidR="00CC1330">
              <w:rPr>
                <w:noProof/>
                <w:webHidden/>
              </w:rPr>
              <w:fldChar w:fldCharType="end"/>
            </w:r>
          </w:hyperlink>
        </w:p>
        <w:p w14:paraId="431B5999" w14:textId="0AD6C8EF" w:rsidR="00CC1330" w:rsidRDefault="00000000">
          <w:pPr>
            <w:pStyle w:val="TOC2"/>
            <w:tabs>
              <w:tab w:val="left" w:pos="960"/>
              <w:tab w:val="right" w:leader="dot" w:pos="9016"/>
            </w:tabs>
            <w:rPr>
              <w:rFonts w:eastAsiaTheme="minorEastAsia"/>
              <w:noProof/>
              <w:kern w:val="2"/>
              <w:sz w:val="24"/>
              <w:szCs w:val="24"/>
              <w:lang w:eastAsia="en-GB"/>
              <w14:ligatures w14:val="standardContextual"/>
            </w:rPr>
          </w:pPr>
          <w:hyperlink w:anchor="_Toc161241562" w:history="1">
            <w:r w:rsidR="00CC1330" w:rsidRPr="006A06AB">
              <w:rPr>
                <w:rStyle w:val="Hyperlink"/>
                <w:noProof/>
              </w:rPr>
              <w:t xml:space="preserve">2.4 </w:t>
            </w:r>
            <w:r w:rsidR="00CC1330">
              <w:rPr>
                <w:rFonts w:eastAsiaTheme="minorEastAsia"/>
                <w:noProof/>
                <w:kern w:val="2"/>
                <w:sz w:val="24"/>
                <w:szCs w:val="24"/>
                <w:lang w:eastAsia="en-GB"/>
                <w14:ligatures w14:val="standardContextual"/>
              </w:rPr>
              <w:tab/>
            </w:r>
            <w:r w:rsidR="00CC1330" w:rsidRPr="006A06AB">
              <w:rPr>
                <w:rStyle w:val="Hyperlink"/>
                <w:noProof/>
              </w:rPr>
              <w:t>Strategic Drivers and Direction</w:t>
            </w:r>
            <w:r w:rsidR="00CC1330">
              <w:rPr>
                <w:noProof/>
                <w:webHidden/>
              </w:rPr>
              <w:tab/>
            </w:r>
            <w:r w:rsidR="00CC1330">
              <w:rPr>
                <w:noProof/>
                <w:webHidden/>
              </w:rPr>
              <w:fldChar w:fldCharType="begin"/>
            </w:r>
            <w:r w:rsidR="00CC1330">
              <w:rPr>
                <w:noProof/>
                <w:webHidden/>
              </w:rPr>
              <w:instrText xml:space="preserve"> PAGEREF _Toc161241562 \h </w:instrText>
            </w:r>
            <w:r w:rsidR="00CC1330">
              <w:rPr>
                <w:noProof/>
                <w:webHidden/>
              </w:rPr>
            </w:r>
            <w:r w:rsidR="00CC1330">
              <w:rPr>
                <w:noProof/>
                <w:webHidden/>
              </w:rPr>
              <w:fldChar w:fldCharType="separate"/>
            </w:r>
            <w:r w:rsidR="00CC1330">
              <w:rPr>
                <w:noProof/>
                <w:webHidden/>
              </w:rPr>
              <w:t>9</w:t>
            </w:r>
            <w:r w:rsidR="00CC1330">
              <w:rPr>
                <w:noProof/>
                <w:webHidden/>
              </w:rPr>
              <w:fldChar w:fldCharType="end"/>
            </w:r>
          </w:hyperlink>
        </w:p>
        <w:p w14:paraId="0B4927BD" w14:textId="0B6C2AE6" w:rsidR="00CC1330" w:rsidRDefault="00000000">
          <w:pPr>
            <w:pStyle w:val="TOC2"/>
            <w:tabs>
              <w:tab w:val="left" w:pos="960"/>
              <w:tab w:val="right" w:leader="dot" w:pos="9016"/>
            </w:tabs>
            <w:rPr>
              <w:rFonts w:eastAsiaTheme="minorEastAsia"/>
              <w:noProof/>
              <w:kern w:val="2"/>
              <w:sz w:val="24"/>
              <w:szCs w:val="24"/>
              <w:lang w:eastAsia="en-GB"/>
              <w14:ligatures w14:val="standardContextual"/>
            </w:rPr>
          </w:pPr>
          <w:hyperlink w:anchor="_Toc161241563" w:history="1">
            <w:r w:rsidR="00CC1330" w:rsidRPr="006A06AB">
              <w:rPr>
                <w:rStyle w:val="Hyperlink"/>
                <w:noProof/>
              </w:rPr>
              <w:t>2.5</w:t>
            </w:r>
            <w:r w:rsidR="00CC1330">
              <w:rPr>
                <w:rFonts w:eastAsiaTheme="minorEastAsia"/>
                <w:noProof/>
                <w:kern w:val="2"/>
                <w:sz w:val="24"/>
                <w:szCs w:val="24"/>
                <w:lang w:eastAsia="en-GB"/>
                <w14:ligatures w14:val="standardContextual"/>
              </w:rPr>
              <w:tab/>
            </w:r>
            <w:r w:rsidR="00CC1330" w:rsidRPr="006A06AB">
              <w:rPr>
                <w:rStyle w:val="Hyperlink"/>
                <w:noProof/>
              </w:rPr>
              <w:t>Advantages of current strategy</w:t>
            </w:r>
            <w:r w:rsidR="00CC1330">
              <w:rPr>
                <w:noProof/>
                <w:webHidden/>
              </w:rPr>
              <w:tab/>
            </w:r>
            <w:r w:rsidR="00CC1330">
              <w:rPr>
                <w:noProof/>
                <w:webHidden/>
              </w:rPr>
              <w:fldChar w:fldCharType="begin"/>
            </w:r>
            <w:r w:rsidR="00CC1330">
              <w:rPr>
                <w:noProof/>
                <w:webHidden/>
              </w:rPr>
              <w:instrText xml:space="preserve"> PAGEREF _Toc161241563 \h </w:instrText>
            </w:r>
            <w:r w:rsidR="00CC1330">
              <w:rPr>
                <w:noProof/>
                <w:webHidden/>
              </w:rPr>
            </w:r>
            <w:r w:rsidR="00CC1330">
              <w:rPr>
                <w:noProof/>
                <w:webHidden/>
              </w:rPr>
              <w:fldChar w:fldCharType="separate"/>
            </w:r>
            <w:r w:rsidR="00CC1330">
              <w:rPr>
                <w:noProof/>
                <w:webHidden/>
              </w:rPr>
              <w:t>11</w:t>
            </w:r>
            <w:r w:rsidR="00CC1330">
              <w:rPr>
                <w:noProof/>
                <w:webHidden/>
              </w:rPr>
              <w:fldChar w:fldCharType="end"/>
            </w:r>
          </w:hyperlink>
        </w:p>
        <w:p w14:paraId="10863962" w14:textId="2991FB3F" w:rsidR="00CC1330" w:rsidRDefault="00000000">
          <w:pPr>
            <w:pStyle w:val="TOC2"/>
            <w:tabs>
              <w:tab w:val="left" w:pos="960"/>
              <w:tab w:val="right" w:leader="dot" w:pos="9016"/>
            </w:tabs>
            <w:rPr>
              <w:rFonts w:eastAsiaTheme="minorEastAsia"/>
              <w:noProof/>
              <w:kern w:val="2"/>
              <w:sz w:val="24"/>
              <w:szCs w:val="24"/>
              <w:lang w:eastAsia="en-GB"/>
              <w14:ligatures w14:val="standardContextual"/>
            </w:rPr>
          </w:pPr>
          <w:hyperlink w:anchor="_Toc161241564" w:history="1">
            <w:r w:rsidR="00CC1330" w:rsidRPr="006A06AB">
              <w:rPr>
                <w:rStyle w:val="Hyperlink"/>
                <w:noProof/>
              </w:rPr>
              <w:t>2.6</w:t>
            </w:r>
            <w:r w:rsidR="00CC1330">
              <w:rPr>
                <w:rFonts w:eastAsiaTheme="minorEastAsia"/>
                <w:noProof/>
                <w:kern w:val="2"/>
                <w:sz w:val="24"/>
                <w:szCs w:val="24"/>
                <w:lang w:eastAsia="en-GB"/>
                <w14:ligatures w14:val="standardContextual"/>
              </w:rPr>
              <w:tab/>
            </w:r>
            <w:r w:rsidR="00CC1330" w:rsidRPr="006A06AB">
              <w:rPr>
                <w:rStyle w:val="Hyperlink"/>
                <w:noProof/>
              </w:rPr>
              <w:t>Disadvantages of the Current Strategy</w:t>
            </w:r>
            <w:r w:rsidR="00CC1330">
              <w:rPr>
                <w:noProof/>
                <w:webHidden/>
              </w:rPr>
              <w:tab/>
            </w:r>
            <w:r w:rsidR="00CC1330">
              <w:rPr>
                <w:noProof/>
                <w:webHidden/>
              </w:rPr>
              <w:fldChar w:fldCharType="begin"/>
            </w:r>
            <w:r w:rsidR="00CC1330">
              <w:rPr>
                <w:noProof/>
                <w:webHidden/>
              </w:rPr>
              <w:instrText xml:space="preserve"> PAGEREF _Toc161241564 \h </w:instrText>
            </w:r>
            <w:r w:rsidR="00CC1330">
              <w:rPr>
                <w:noProof/>
                <w:webHidden/>
              </w:rPr>
            </w:r>
            <w:r w:rsidR="00CC1330">
              <w:rPr>
                <w:noProof/>
                <w:webHidden/>
              </w:rPr>
              <w:fldChar w:fldCharType="separate"/>
            </w:r>
            <w:r w:rsidR="00CC1330">
              <w:rPr>
                <w:noProof/>
                <w:webHidden/>
              </w:rPr>
              <w:t>12</w:t>
            </w:r>
            <w:r w:rsidR="00CC1330">
              <w:rPr>
                <w:noProof/>
                <w:webHidden/>
              </w:rPr>
              <w:fldChar w:fldCharType="end"/>
            </w:r>
          </w:hyperlink>
        </w:p>
        <w:p w14:paraId="08540F2A" w14:textId="3DA0B453" w:rsidR="00CC1330" w:rsidRDefault="00000000">
          <w:pPr>
            <w:pStyle w:val="TOC2"/>
            <w:tabs>
              <w:tab w:val="left" w:pos="960"/>
              <w:tab w:val="right" w:leader="dot" w:pos="9016"/>
            </w:tabs>
            <w:rPr>
              <w:rFonts w:eastAsiaTheme="minorEastAsia"/>
              <w:noProof/>
              <w:kern w:val="2"/>
              <w:sz w:val="24"/>
              <w:szCs w:val="24"/>
              <w:lang w:eastAsia="en-GB"/>
              <w14:ligatures w14:val="standardContextual"/>
            </w:rPr>
          </w:pPr>
          <w:hyperlink w:anchor="_Toc161241565" w:history="1">
            <w:r w:rsidR="00CC1330" w:rsidRPr="006A06AB">
              <w:rPr>
                <w:rStyle w:val="Hyperlink"/>
                <w:noProof/>
              </w:rPr>
              <w:t>2.7</w:t>
            </w:r>
            <w:r w:rsidR="00CC1330">
              <w:rPr>
                <w:rFonts w:eastAsiaTheme="minorEastAsia"/>
                <w:noProof/>
                <w:kern w:val="2"/>
                <w:sz w:val="24"/>
                <w:szCs w:val="24"/>
                <w:lang w:eastAsia="en-GB"/>
                <w14:ligatures w14:val="standardContextual"/>
              </w:rPr>
              <w:tab/>
            </w:r>
            <w:r w:rsidR="00CC1330" w:rsidRPr="006A06AB">
              <w:rPr>
                <w:rStyle w:val="Hyperlink"/>
                <w:noProof/>
              </w:rPr>
              <w:t>Successful Strategy Aspects</w:t>
            </w:r>
            <w:r w:rsidR="00CC1330">
              <w:rPr>
                <w:noProof/>
                <w:webHidden/>
              </w:rPr>
              <w:tab/>
            </w:r>
            <w:r w:rsidR="00CC1330">
              <w:rPr>
                <w:noProof/>
                <w:webHidden/>
              </w:rPr>
              <w:fldChar w:fldCharType="begin"/>
            </w:r>
            <w:r w:rsidR="00CC1330">
              <w:rPr>
                <w:noProof/>
                <w:webHidden/>
              </w:rPr>
              <w:instrText xml:space="preserve"> PAGEREF _Toc161241565 \h </w:instrText>
            </w:r>
            <w:r w:rsidR="00CC1330">
              <w:rPr>
                <w:noProof/>
                <w:webHidden/>
              </w:rPr>
            </w:r>
            <w:r w:rsidR="00CC1330">
              <w:rPr>
                <w:noProof/>
                <w:webHidden/>
              </w:rPr>
              <w:fldChar w:fldCharType="separate"/>
            </w:r>
            <w:r w:rsidR="00CC1330">
              <w:rPr>
                <w:noProof/>
                <w:webHidden/>
              </w:rPr>
              <w:t>13</w:t>
            </w:r>
            <w:r w:rsidR="00CC1330">
              <w:rPr>
                <w:noProof/>
                <w:webHidden/>
              </w:rPr>
              <w:fldChar w:fldCharType="end"/>
            </w:r>
          </w:hyperlink>
        </w:p>
        <w:p w14:paraId="1BD67854" w14:textId="3978365B" w:rsidR="00CC1330" w:rsidRDefault="00000000">
          <w:pPr>
            <w:pStyle w:val="TOC1"/>
            <w:tabs>
              <w:tab w:val="left" w:pos="720"/>
              <w:tab w:val="right" w:leader="dot" w:pos="9016"/>
            </w:tabs>
            <w:rPr>
              <w:rFonts w:eastAsiaTheme="minorEastAsia"/>
              <w:noProof/>
              <w:kern w:val="2"/>
              <w:sz w:val="24"/>
              <w:szCs w:val="24"/>
              <w:lang w:eastAsia="en-GB"/>
              <w14:ligatures w14:val="standardContextual"/>
            </w:rPr>
          </w:pPr>
          <w:hyperlink w:anchor="_Toc161241566" w:history="1">
            <w:r w:rsidR="00CC1330" w:rsidRPr="006A06AB">
              <w:rPr>
                <w:rStyle w:val="Hyperlink"/>
                <w:noProof/>
              </w:rPr>
              <w:t>3.0</w:t>
            </w:r>
            <w:r w:rsidR="00CC1330">
              <w:rPr>
                <w:rFonts w:eastAsiaTheme="minorEastAsia"/>
                <w:noProof/>
                <w:kern w:val="2"/>
                <w:sz w:val="24"/>
                <w:szCs w:val="24"/>
                <w:lang w:eastAsia="en-GB"/>
                <w14:ligatures w14:val="standardContextual"/>
              </w:rPr>
              <w:tab/>
            </w:r>
            <w:r w:rsidR="00CC1330" w:rsidRPr="006A06AB">
              <w:rPr>
                <w:rStyle w:val="Hyperlink"/>
                <w:noProof/>
              </w:rPr>
              <w:t>Conclusion</w:t>
            </w:r>
            <w:r w:rsidR="00CC1330">
              <w:rPr>
                <w:noProof/>
                <w:webHidden/>
              </w:rPr>
              <w:tab/>
            </w:r>
            <w:r w:rsidR="00CC1330">
              <w:rPr>
                <w:noProof/>
                <w:webHidden/>
              </w:rPr>
              <w:fldChar w:fldCharType="begin"/>
            </w:r>
            <w:r w:rsidR="00CC1330">
              <w:rPr>
                <w:noProof/>
                <w:webHidden/>
              </w:rPr>
              <w:instrText xml:space="preserve"> PAGEREF _Toc161241566 \h </w:instrText>
            </w:r>
            <w:r w:rsidR="00CC1330">
              <w:rPr>
                <w:noProof/>
                <w:webHidden/>
              </w:rPr>
            </w:r>
            <w:r w:rsidR="00CC1330">
              <w:rPr>
                <w:noProof/>
                <w:webHidden/>
              </w:rPr>
              <w:fldChar w:fldCharType="separate"/>
            </w:r>
            <w:r w:rsidR="00CC1330">
              <w:rPr>
                <w:noProof/>
                <w:webHidden/>
              </w:rPr>
              <w:t>15</w:t>
            </w:r>
            <w:r w:rsidR="00CC1330">
              <w:rPr>
                <w:noProof/>
                <w:webHidden/>
              </w:rPr>
              <w:fldChar w:fldCharType="end"/>
            </w:r>
          </w:hyperlink>
        </w:p>
        <w:p w14:paraId="0DD2FF97" w14:textId="183F57BA" w:rsidR="00CC1330" w:rsidRDefault="00000000">
          <w:pPr>
            <w:pStyle w:val="TOC1"/>
            <w:tabs>
              <w:tab w:val="left" w:pos="720"/>
              <w:tab w:val="right" w:leader="dot" w:pos="9016"/>
            </w:tabs>
            <w:rPr>
              <w:rFonts w:eastAsiaTheme="minorEastAsia"/>
              <w:noProof/>
              <w:kern w:val="2"/>
              <w:sz w:val="24"/>
              <w:szCs w:val="24"/>
              <w:lang w:eastAsia="en-GB"/>
              <w14:ligatures w14:val="standardContextual"/>
            </w:rPr>
          </w:pPr>
          <w:hyperlink w:anchor="_Toc161241567" w:history="1">
            <w:r w:rsidR="00CC1330" w:rsidRPr="006A06AB">
              <w:rPr>
                <w:rStyle w:val="Hyperlink"/>
                <w:rFonts w:eastAsia="Times New Roman"/>
                <w:noProof/>
                <w:lang w:eastAsia="en-GB"/>
              </w:rPr>
              <w:t xml:space="preserve">4.0 </w:t>
            </w:r>
            <w:r w:rsidR="00CC1330">
              <w:rPr>
                <w:rFonts w:eastAsiaTheme="minorEastAsia"/>
                <w:noProof/>
                <w:kern w:val="2"/>
                <w:sz w:val="24"/>
                <w:szCs w:val="24"/>
                <w:lang w:eastAsia="en-GB"/>
                <w14:ligatures w14:val="standardContextual"/>
              </w:rPr>
              <w:tab/>
            </w:r>
            <w:r w:rsidR="00CC1330" w:rsidRPr="006A06AB">
              <w:rPr>
                <w:rStyle w:val="Hyperlink"/>
                <w:rFonts w:eastAsia="Times New Roman"/>
                <w:noProof/>
                <w:lang w:eastAsia="en-GB"/>
              </w:rPr>
              <w:t>Reference list</w:t>
            </w:r>
            <w:r w:rsidR="00CC1330">
              <w:rPr>
                <w:noProof/>
                <w:webHidden/>
              </w:rPr>
              <w:tab/>
            </w:r>
            <w:r w:rsidR="00CC1330">
              <w:rPr>
                <w:noProof/>
                <w:webHidden/>
              </w:rPr>
              <w:fldChar w:fldCharType="begin"/>
            </w:r>
            <w:r w:rsidR="00CC1330">
              <w:rPr>
                <w:noProof/>
                <w:webHidden/>
              </w:rPr>
              <w:instrText xml:space="preserve"> PAGEREF _Toc161241567 \h </w:instrText>
            </w:r>
            <w:r w:rsidR="00CC1330">
              <w:rPr>
                <w:noProof/>
                <w:webHidden/>
              </w:rPr>
            </w:r>
            <w:r w:rsidR="00CC1330">
              <w:rPr>
                <w:noProof/>
                <w:webHidden/>
              </w:rPr>
              <w:fldChar w:fldCharType="separate"/>
            </w:r>
            <w:r w:rsidR="00CC1330">
              <w:rPr>
                <w:noProof/>
                <w:webHidden/>
              </w:rPr>
              <w:t>16</w:t>
            </w:r>
            <w:r w:rsidR="00CC1330">
              <w:rPr>
                <w:noProof/>
                <w:webHidden/>
              </w:rPr>
              <w:fldChar w:fldCharType="end"/>
            </w:r>
          </w:hyperlink>
        </w:p>
        <w:p w14:paraId="72A40BDC" w14:textId="01F79296" w:rsidR="00CC1330" w:rsidRDefault="00000000">
          <w:pPr>
            <w:pStyle w:val="TOC1"/>
            <w:tabs>
              <w:tab w:val="right" w:leader="dot" w:pos="9016"/>
            </w:tabs>
            <w:rPr>
              <w:rFonts w:eastAsiaTheme="minorEastAsia"/>
              <w:noProof/>
              <w:kern w:val="2"/>
              <w:sz w:val="24"/>
              <w:szCs w:val="24"/>
              <w:lang w:eastAsia="en-GB"/>
              <w14:ligatures w14:val="standardContextual"/>
            </w:rPr>
          </w:pPr>
          <w:hyperlink w:anchor="_Toc161241568" w:history="1">
            <w:r w:rsidR="00CC1330" w:rsidRPr="006A06AB">
              <w:rPr>
                <w:rStyle w:val="Hyperlink"/>
                <w:rFonts w:eastAsia="Times New Roman"/>
                <w:noProof/>
                <w:lang w:eastAsia="en-GB"/>
              </w:rPr>
              <w:t>Appendix</w:t>
            </w:r>
            <w:r w:rsidR="00CC1330">
              <w:rPr>
                <w:noProof/>
                <w:webHidden/>
              </w:rPr>
              <w:tab/>
            </w:r>
            <w:r w:rsidR="00CC1330">
              <w:rPr>
                <w:noProof/>
                <w:webHidden/>
              </w:rPr>
              <w:fldChar w:fldCharType="begin"/>
            </w:r>
            <w:r w:rsidR="00CC1330">
              <w:rPr>
                <w:noProof/>
                <w:webHidden/>
              </w:rPr>
              <w:instrText xml:space="preserve"> PAGEREF _Toc161241568 \h </w:instrText>
            </w:r>
            <w:r w:rsidR="00CC1330">
              <w:rPr>
                <w:noProof/>
                <w:webHidden/>
              </w:rPr>
            </w:r>
            <w:r w:rsidR="00CC1330">
              <w:rPr>
                <w:noProof/>
                <w:webHidden/>
              </w:rPr>
              <w:fldChar w:fldCharType="separate"/>
            </w:r>
            <w:r w:rsidR="00CC1330">
              <w:rPr>
                <w:noProof/>
                <w:webHidden/>
              </w:rPr>
              <w:t>21</w:t>
            </w:r>
            <w:r w:rsidR="00CC1330">
              <w:rPr>
                <w:noProof/>
                <w:webHidden/>
              </w:rPr>
              <w:fldChar w:fldCharType="end"/>
            </w:r>
          </w:hyperlink>
        </w:p>
        <w:p w14:paraId="4FA2A773" w14:textId="1A67E61E" w:rsidR="00C77FCB" w:rsidRDefault="00C77FCB">
          <w:pPr>
            <w:rPr>
              <w:b/>
              <w:bCs/>
            </w:rPr>
          </w:pPr>
          <w:r>
            <w:rPr>
              <w:b/>
              <w:bCs/>
            </w:rPr>
            <w:fldChar w:fldCharType="end"/>
          </w:r>
        </w:p>
      </w:sdtContent>
    </w:sdt>
    <w:p w14:paraId="0A6DCDCF" w14:textId="77777777" w:rsidR="00AE3FA6" w:rsidRDefault="00AE3FA6">
      <w:pPr>
        <w:rPr>
          <w:rFonts w:asciiTheme="majorHAnsi" w:eastAsiaTheme="majorEastAsia" w:hAnsiTheme="majorHAnsi" w:cstheme="majorBidi"/>
          <w:color w:val="2F5496" w:themeColor="accent1" w:themeShade="BF"/>
          <w:sz w:val="32"/>
          <w:szCs w:val="32"/>
        </w:rPr>
      </w:pPr>
      <w:r>
        <w:br w:type="page"/>
      </w:r>
    </w:p>
    <w:p w14:paraId="1D2A7510" w14:textId="4DECA474" w:rsidR="00AE3FA6" w:rsidRDefault="00AE3FA6" w:rsidP="00AE3FA6">
      <w:pPr>
        <w:pStyle w:val="Heading1"/>
        <w:jc w:val="center"/>
      </w:pPr>
      <w:bookmarkStart w:id="0" w:name="_Toc161241556"/>
      <w:r>
        <w:lastRenderedPageBreak/>
        <w:t>Executive summary</w:t>
      </w:r>
      <w:bookmarkEnd w:id="0"/>
    </w:p>
    <w:p w14:paraId="22DCF3AA" w14:textId="77777777" w:rsidR="00A32A05" w:rsidRDefault="00A32A05" w:rsidP="00A32A05"/>
    <w:p w14:paraId="164F2498" w14:textId="7D62D1CD" w:rsidR="00A32A05" w:rsidRPr="00A32A05" w:rsidRDefault="00A32A05" w:rsidP="00A32A05">
      <w:r w:rsidRPr="00A32A05">
        <w:t>This report offers a thorough examination of Toyota Motor Corporation's strategic direction, evaluating the influences, drivers, advantages, disadvantages, and successful aspects of its current strategy. Providing an insightful introduction to Toyota, the report outlines the company's historical background, core principles, and global significance within the automotive industry.</w:t>
      </w:r>
    </w:p>
    <w:p w14:paraId="753BA193" w14:textId="05EE378F" w:rsidR="00A32A05" w:rsidRPr="00A32A05" w:rsidRDefault="00A32A05" w:rsidP="00A32A05">
      <w:r w:rsidRPr="00A32A05">
        <w:t>Utilizing strategic analysis models like SWOT analysis, and PESTLE analysis, the report delves into an assessment of Toyota's internal strengths, weaknesses, external opportunities, and threats. It meticulously studies external influences such as technological advancements, regulatory shifts, market trends, and competitive pressures, illuminating their impact on Toyota's strategic decision-making processes.</w:t>
      </w:r>
    </w:p>
    <w:p w14:paraId="0BB273C0" w14:textId="6253F7EA" w:rsidR="00A32A05" w:rsidRPr="00A32A05" w:rsidRDefault="00A32A05" w:rsidP="00A32A05">
      <w:r w:rsidRPr="00A32A05">
        <w:t xml:space="preserve">The report identifies pivotal drivers guiding Toyota's strategic trajectory, emphasizing innovation, sustainability, customer-centricity, and global expansion strategies. </w:t>
      </w:r>
      <w:r w:rsidR="002112FF">
        <w:t xml:space="preserve">This report also discusses the advantages and disadvantages of the current strategies employed by Toyota and confirms overall the favourable path that its strategic capabilities </w:t>
      </w:r>
      <w:r w:rsidR="00833130">
        <w:t>have</w:t>
      </w:r>
      <w:r w:rsidR="002112FF">
        <w:t xml:space="preserve"> got i</w:t>
      </w:r>
      <w:r w:rsidR="004D59CF">
        <w:t>n</w:t>
      </w:r>
      <w:r w:rsidR="00833130">
        <w:t>to</w:t>
      </w:r>
      <w:r w:rsidR="002112FF">
        <w:t xml:space="preserve">. The reports end by summarizing the information identified in the main findings. </w:t>
      </w:r>
    </w:p>
    <w:p w14:paraId="711355FB" w14:textId="77777777" w:rsidR="00A32A05" w:rsidRPr="00A32A05" w:rsidRDefault="00A32A05" w:rsidP="00A32A05"/>
    <w:p w14:paraId="3B8D4372" w14:textId="59BD13E9" w:rsidR="00A32A05" w:rsidRPr="00A32A05" w:rsidRDefault="00A32A05" w:rsidP="00A32A05"/>
    <w:p w14:paraId="11030071" w14:textId="0C43439E" w:rsidR="00AE3FA6" w:rsidRPr="00AE3FA6" w:rsidRDefault="00AE3FA6" w:rsidP="00AE3FA6">
      <w:pPr>
        <w:rPr>
          <w:rFonts w:asciiTheme="majorHAnsi" w:eastAsiaTheme="majorEastAsia" w:hAnsiTheme="majorHAnsi" w:cstheme="majorBidi"/>
          <w:color w:val="2F5496" w:themeColor="accent1" w:themeShade="BF"/>
          <w:sz w:val="32"/>
          <w:szCs w:val="32"/>
        </w:rPr>
      </w:pPr>
      <w:r>
        <w:br w:type="page"/>
      </w:r>
    </w:p>
    <w:p w14:paraId="00034CE7" w14:textId="19A9EB4C" w:rsidR="00AE3FA6" w:rsidRDefault="00AE3FA6" w:rsidP="00AE3FA6">
      <w:pPr>
        <w:pStyle w:val="Heading1"/>
        <w:numPr>
          <w:ilvl w:val="0"/>
          <w:numId w:val="2"/>
        </w:numPr>
        <w:jc w:val="center"/>
      </w:pPr>
      <w:bookmarkStart w:id="1" w:name="_Toc161241557"/>
      <w:r>
        <w:lastRenderedPageBreak/>
        <w:t>Introduction</w:t>
      </w:r>
      <w:bookmarkEnd w:id="1"/>
    </w:p>
    <w:p w14:paraId="473A5134" w14:textId="77777777" w:rsidR="002112FF" w:rsidRPr="002112FF" w:rsidRDefault="002112FF" w:rsidP="002112FF"/>
    <w:p w14:paraId="3C2CA3A3" w14:textId="11CF345C" w:rsidR="005F65B4" w:rsidRDefault="002112FF" w:rsidP="005F65B4">
      <w:r>
        <w:t xml:space="preserve">This report has been requested by the Toyota’s chief of international business and has been complied by Andrei Selaru, student at the University of Wales Trinity Saint David with the submission deadline on the 15/03/2024. This report is requested </w:t>
      </w:r>
      <w:r w:rsidR="00833130">
        <w:t>to</w:t>
      </w:r>
      <w:r>
        <w:t xml:space="preserve"> prove the Toyota’s strategic capabilities and confirm the student knowledge on the subject of matter.</w:t>
      </w:r>
      <w:r w:rsidR="00833130">
        <w:t xml:space="preserve"> To prove the authenticity of the information highlighted in the main findings, this report contains a variety of academic resources such as books, journals, articles but also official websites with a high level of trust, all being mentioned in the reference list section.  </w:t>
      </w:r>
    </w:p>
    <w:p w14:paraId="4F953B9F" w14:textId="77777777" w:rsidR="005F65B4" w:rsidRDefault="005F65B4" w:rsidP="005F65B4"/>
    <w:p w14:paraId="16F050D8" w14:textId="77777777" w:rsidR="005F65B4" w:rsidRDefault="005F65B4" w:rsidP="005F65B4"/>
    <w:p w14:paraId="4ACEFBD3" w14:textId="77777777" w:rsidR="005F65B4" w:rsidRDefault="005F65B4" w:rsidP="005F65B4"/>
    <w:p w14:paraId="65621903" w14:textId="77777777" w:rsidR="005F65B4" w:rsidRDefault="005F65B4" w:rsidP="005F65B4"/>
    <w:p w14:paraId="1885250B" w14:textId="77777777" w:rsidR="005F65B4" w:rsidRDefault="005F65B4" w:rsidP="005F65B4"/>
    <w:p w14:paraId="3BADAFDE" w14:textId="77777777" w:rsidR="005F65B4" w:rsidRDefault="005F65B4" w:rsidP="005F65B4"/>
    <w:p w14:paraId="77B8332B" w14:textId="77777777" w:rsidR="005F65B4" w:rsidRDefault="005F65B4" w:rsidP="005F65B4"/>
    <w:p w14:paraId="5D4C93C7" w14:textId="77777777" w:rsidR="005F65B4" w:rsidRDefault="005F65B4" w:rsidP="005F65B4"/>
    <w:p w14:paraId="4958A7A4" w14:textId="77777777" w:rsidR="005F65B4" w:rsidRDefault="005F65B4" w:rsidP="005F65B4"/>
    <w:p w14:paraId="26906C27" w14:textId="77777777" w:rsidR="005F65B4" w:rsidRDefault="005F65B4" w:rsidP="005F65B4"/>
    <w:p w14:paraId="2E20458B" w14:textId="77777777" w:rsidR="005F65B4" w:rsidRDefault="005F65B4" w:rsidP="005F65B4"/>
    <w:p w14:paraId="7A576496" w14:textId="77777777" w:rsidR="005F65B4" w:rsidRDefault="005F65B4" w:rsidP="005F65B4"/>
    <w:p w14:paraId="67CF747B" w14:textId="77777777" w:rsidR="005F65B4" w:rsidRDefault="005F65B4" w:rsidP="005F65B4"/>
    <w:p w14:paraId="555D0CAE" w14:textId="77777777" w:rsidR="005F65B4" w:rsidRDefault="005F65B4" w:rsidP="005F65B4"/>
    <w:p w14:paraId="6DA40E5D" w14:textId="77777777" w:rsidR="005F65B4" w:rsidRDefault="005F65B4" w:rsidP="005F65B4"/>
    <w:p w14:paraId="16F42B2E" w14:textId="77777777" w:rsidR="005F65B4" w:rsidRDefault="005F65B4" w:rsidP="005F65B4"/>
    <w:p w14:paraId="3B367B94" w14:textId="77777777" w:rsidR="005F65B4" w:rsidRDefault="005F65B4" w:rsidP="005F65B4"/>
    <w:p w14:paraId="274075AE" w14:textId="77777777" w:rsidR="005F65B4" w:rsidRDefault="005F65B4" w:rsidP="005F65B4"/>
    <w:p w14:paraId="6D531476" w14:textId="77777777" w:rsidR="005F65B4" w:rsidRDefault="005F65B4" w:rsidP="005F65B4"/>
    <w:p w14:paraId="16B5BEC3" w14:textId="77777777" w:rsidR="005F65B4" w:rsidRDefault="005F65B4" w:rsidP="005F65B4"/>
    <w:p w14:paraId="75E3C423" w14:textId="77777777" w:rsidR="005F65B4" w:rsidRDefault="005F65B4" w:rsidP="005F65B4"/>
    <w:p w14:paraId="1A93076D" w14:textId="77777777" w:rsidR="005F65B4" w:rsidRDefault="005F65B4" w:rsidP="005F65B4"/>
    <w:p w14:paraId="69DD686C" w14:textId="77777777" w:rsidR="005F65B4" w:rsidRDefault="005F65B4" w:rsidP="005F65B4"/>
    <w:p w14:paraId="724863C9" w14:textId="77777777" w:rsidR="005F65B4" w:rsidRDefault="005F65B4" w:rsidP="005F65B4"/>
    <w:p w14:paraId="66B6F7F0" w14:textId="77777777" w:rsidR="005F65B4" w:rsidRDefault="005F65B4" w:rsidP="005F65B4"/>
    <w:p w14:paraId="41A12E60" w14:textId="77777777" w:rsidR="005F65B4" w:rsidRDefault="005F65B4" w:rsidP="005F65B4"/>
    <w:p w14:paraId="5502A479" w14:textId="77777777" w:rsidR="005F65B4" w:rsidRDefault="005F65B4" w:rsidP="005F65B4"/>
    <w:p w14:paraId="1FC954C5" w14:textId="77777777" w:rsidR="005F65B4" w:rsidRDefault="005F65B4" w:rsidP="005F65B4"/>
    <w:p w14:paraId="062DCFEA" w14:textId="77777777" w:rsidR="005F65B4" w:rsidRPr="005F65B4" w:rsidRDefault="005F65B4" w:rsidP="005F65B4"/>
    <w:p w14:paraId="1B903BCB" w14:textId="77777777" w:rsidR="005F65B4" w:rsidRDefault="005F65B4" w:rsidP="005F65B4">
      <w:pPr>
        <w:pStyle w:val="Heading1"/>
        <w:jc w:val="center"/>
      </w:pPr>
      <w:bookmarkStart w:id="2" w:name="_Toc161241558"/>
      <w:r>
        <w:t>2.0</w:t>
      </w:r>
      <w:r>
        <w:tab/>
        <w:t>Main Findings</w:t>
      </w:r>
      <w:bookmarkEnd w:id="2"/>
    </w:p>
    <w:p w14:paraId="17836AB0" w14:textId="7B349EDF" w:rsidR="00AE3FA6" w:rsidRPr="00AE3FA6" w:rsidRDefault="00A32A05" w:rsidP="00A32A05">
      <w:pPr>
        <w:pStyle w:val="Heading2"/>
        <w:jc w:val="center"/>
      </w:pPr>
      <w:bookmarkStart w:id="3" w:name="_Toc161241559"/>
      <w:r>
        <w:t>2.1</w:t>
      </w:r>
      <w:r w:rsidR="005F65B4">
        <w:tab/>
      </w:r>
      <w:r w:rsidR="00756058" w:rsidRPr="00C17AB3">
        <w:rPr>
          <w:rStyle w:val="Heading2Char"/>
        </w:rPr>
        <w:t xml:space="preserve">Introduction </w:t>
      </w:r>
      <w:r w:rsidR="005F65B4" w:rsidRPr="00C17AB3">
        <w:rPr>
          <w:rStyle w:val="Heading2Char"/>
        </w:rPr>
        <w:t>to</w:t>
      </w:r>
      <w:r w:rsidR="00756058" w:rsidRPr="00C17AB3">
        <w:rPr>
          <w:rStyle w:val="Heading2Char"/>
        </w:rPr>
        <w:t xml:space="preserve"> Toyota</w:t>
      </w:r>
      <w:bookmarkEnd w:id="3"/>
    </w:p>
    <w:p w14:paraId="6DB11422" w14:textId="77777777" w:rsidR="00756058" w:rsidRDefault="00756058" w:rsidP="00756058">
      <w:pPr>
        <w:spacing w:after="100"/>
      </w:pPr>
    </w:p>
    <w:p w14:paraId="3F4AF670" w14:textId="0771A6F3" w:rsidR="00AF76E9" w:rsidRPr="00A7299C" w:rsidRDefault="00AF76E9" w:rsidP="00A7299C">
      <w:pPr>
        <w:spacing w:after="100"/>
        <w:jc w:val="center"/>
        <w:rPr>
          <w:b/>
          <w:bCs/>
        </w:rPr>
      </w:pPr>
      <w:r w:rsidRPr="00A7299C">
        <w:rPr>
          <w:b/>
          <w:bCs/>
        </w:rPr>
        <w:t>Historical development</w:t>
      </w:r>
    </w:p>
    <w:p w14:paraId="51E6EDE2" w14:textId="034FB0EE" w:rsidR="00756058" w:rsidRDefault="00756058" w:rsidP="00756058">
      <w:pPr>
        <w:spacing w:after="100"/>
      </w:pPr>
      <w:r>
        <w:t>A historical development of Toyota reveals the company's evolution from a textile machinery producer in the 1930s to its establishment as an automobile manufacturer in the 1950s. Toyota's founder, Kiichiro Toyoda, shifted the company's focus to automobiles, understanding the potential of this emerging market</w:t>
      </w:r>
      <w:r w:rsidR="001E3A1D" w:rsidRPr="001E3A1D">
        <w:rPr>
          <w:rFonts w:ascii="Times New Roman" w:eastAsia="Times New Roman" w:hAnsi="Times New Roman" w:cs="Times New Roman"/>
          <w:sz w:val="24"/>
          <w:szCs w:val="24"/>
          <w:lang w:eastAsia="en-GB"/>
        </w:rPr>
        <w:t xml:space="preserve"> </w:t>
      </w:r>
      <w:r w:rsidR="001E3A1D" w:rsidRPr="001E3A1D">
        <w:t>(Fujimoto and Matsuo</w:t>
      </w:r>
      <w:r w:rsidR="001E3A1D">
        <w:t>,</w:t>
      </w:r>
      <w:r w:rsidR="00833130">
        <w:t xml:space="preserve"> </w:t>
      </w:r>
      <w:r w:rsidR="001E3A1D">
        <w:t>1997</w:t>
      </w:r>
      <w:r w:rsidR="001E3A1D" w:rsidRPr="001E3A1D">
        <w:t>)</w:t>
      </w:r>
      <w:r w:rsidR="001E3A1D">
        <w:t xml:space="preserve">. </w:t>
      </w:r>
      <w:r>
        <w:t>Through innovative production methods such as the Just-in-Time system and Total Quality Management</w:t>
      </w:r>
      <w:r w:rsidR="001E3A1D">
        <w:t xml:space="preserve"> </w:t>
      </w:r>
      <w:r w:rsidR="001E3A1D" w:rsidRPr="001E3A1D">
        <w:t>(Bilich and Neto</w:t>
      </w:r>
      <w:r w:rsidR="004D59CF">
        <w:t>, 2021</w:t>
      </w:r>
      <w:r w:rsidR="001E3A1D" w:rsidRPr="001E3A1D">
        <w:t>)</w:t>
      </w:r>
      <w:r>
        <w:t xml:space="preserve">, Toyota quickly gained a reputation for high-quality, efficient vehicles. This strategic capability laid the foundation for Toyota's global expansion and dominance in the automotive industry. </w:t>
      </w:r>
    </w:p>
    <w:p w14:paraId="7EB325A6" w14:textId="2E1E77F8" w:rsidR="00AF76E9" w:rsidRPr="00AF76E9" w:rsidRDefault="00AF76E9" w:rsidP="00A7299C">
      <w:pPr>
        <w:spacing w:after="100"/>
        <w:jc w:val="center"/>
        <w:rPr>
          <w:b/>
          <w:bCs/>
        </w:rPr>
      </w:pPr>
      <w:r w:rsidRPr="00AF76E9">
        <w:rPr>
          <w:b/>
          <w:bCs/>
        </w:rPr>
        <w:t>Strategic Development in the last 5 years</w:t>
      </w:r>
    </w:p>
    <w:p w14:paraId="4AF54480" w14:textId="503A7734" w:rsidR="00756058" w:rsidRDefault="00756058" w:rsidP="00756058">
      <w:pPr>
        <w:spacing w:after="100"/>
      </w:pPr>
      <w:r w:rsidRPr="00756058">
        <w:t>In the last five years, Toyota has focused on strategic development by emphasizing innovation and sustainability in its products and operations. One key initiative has been the development of electric and hybrid vehicles to meet the growing demand for eco-friendly transportation options</w:t>
      </w:r>
      <w:r w:rsidR="001E3A1D">
        <w:t xml:space="preserve"> </w:t>
      </w:r>
      <w:r w:rsidR="001E3A1D" w:rsidRPr="001E3A1D">
        <w:t xml:space="preserve">(Kakuro </w:t>
      </w:r>
      <w:proofErr w:type="spellStart"/>
      <w:r w:rsidR="001E3A1D" w:rsidRPr="001E3A1D">
        <w:t>Amasaka</w:t>
      </w:r>
      <w:proofErr w:type="spellEnd"/>
      <w:r w:rsidR="001E3A1D">
        <w:t>, 2013</w:t>
      </w:r>
      <w:r w:rsidR="001E3A1D" w:rsidRPr="001E3A1D">
        <w:t>)</w:t>
      </w:r>
      <w:r w:rsidR="001E3A1D">
        <w:t>.</w:t>
      </w:r>
      <w:r w:rsidRPr="00756058">
        <w:t xml:space="preserve"> Additionally, Toyota has invested in research and development to enhance its autonomous driving technology, positioning itself as a leader in the emerging field of self-driving cars. These strategic decisions have not only allowed Toyota to stay competitive in the automotive industry but also align with the company's long-term vision of creating a more sustainable future for all</w:t>
      </w:r>
      <w:r w:rsidR="001E3A1D">
        <w:t xml:space="preserve"> </w:t>
      </w:r>
      <w:r w:rsidR="001E3A1D" w:rsidRPr="001E3A1D">
        <w:t>(</w:t>
      </w:r>
      <w:proofErr w:type="spellStart"/>
      <w:r w:rsidR="001E3A1D" w:rsidRPr="001E3A1D">
        <w:t>Shumin</w:t>
      </w:r>
      <w:proofErr w:type="spellEnd"/>
      <w:r w:rsidR="001E3A1D">
        <w:t>, 2023</w:t>
      </w:r>
      <w:r w:rsidR="001E3A1D" w:rsidRPr="001E3A1D">
        <w:t>)</w:t>
      </w:r>
    </w:p>
    <w:p w14:paraId="208841C9" w14:textId="62191096" w:rsidR="00AF76E9" w:rsidRPr="00AF76E9" w:rsidRDefault="00AF76E9" w:rsidP="00A7299C">
      <w:pPr>
        <w:spacing w:after="100"/>
        <w:jc w:val="center"/>
        <w:rPr>
          <w:b/>
          <w:bCs/>
        </w:rPr>
      </w:pPr>
      <w:r w:rsidRPr="00AF76E9">
        <w:rPr>
          <w:b/>
          <w:bCs/>
        </w:rPr>
        <w:t>Vision and mission statement evolution</w:t>
      </w:r>
    </w:p>
    <w:p w14:paraId="263E19F6" w14:textId="153A8604" w:rsidR="00520E98" w:rsidRDefault="00C17AB3" w:rsidP="00520E98">
      <w:pPr>
        <w:spacing w:after="100"/>
      </w:pPr>
      <w:r>
        <w:t xml:space="preserve">According to </w:t>
      </w:r>
      <w:proofErr w:type="spellStart"/>
      <w:r w:rsidRPr="00C17AB3">
        <w:t>Atrilla</w:t>
      </w:r>
      <w:proofErr w:type="spellEnd"/>
      <w:r w:rsidRPr="00C17AB3">
        <w:t xml:space="preserve">, </w:t>
      </w:r>
      <w:proofErr w:type="spellStart"/>
      <w:r w:rsidRPr="00C17AB3">
        <w:t>Omranb</w:t>
      </w:r>
      <w:proofErr w:type="spellEnd"/>
      <w:r w:rsidR="007A0DF1">
        <w:t>,</w:t>
      </w:r>
      <w:r w:rsidRPr="00C17AB3">
        <w:t xml:space="preserve"> and </w:t>
      </w:r>
      <w:proofErr w:type="spellStart"/>
      <w:r w:rsidRPr="00C17AB3">
        <w:t>Pointonc</w:t>
      </w:r>
      <w:proofErr w:type="spellEnd"/>
      <w:r w:rsidRPr="00C17AB3">
        <w:t xml:space="preserve"> (2005)</w:t>
      </w:r>
      <w:r>
        <w:t>, it can be determined that v</w:t>
      </w:r>
      <w:r w:rsidR="00520E98">
        <w:t>ision and mission statements are often considered foundational elements of strategic planning for organizations. While these statements can provide a sense of purpose, direction, and identity, there are also criticisms and challenges associated with their use in strategic planning. One critical discussion point is the potential gap that may exist between the formulation of vision/mission statements and their actual implementation in organizational strategy. While organizations may articulate inspiring and aspirational statements, the translation of these statements into actionable strategies and daily practices can be a complex and challenging process. Without a concrete link between vision/mission statements and strategic initiatives, these statements may remain merely symbolic and fail to drive meaningful change within the organization</w:t>
      </w:r>
      <w:r>
        <w:t>.</w:t>
      </w:r>
    </w:p>
    <w:p w14:paraId="4AF74AD8" w14:textId="77703214" w:rsidR="00756058" w:rsidRDefault="00756058" w:rsidP="00520E98">
      <w:pPr>
        <w:spacing w:after="100"/>
      </w:pPr>
      <w:r w:rsidRPr="00756058">
        <w:t>The evolution of Toyota's vision and mission statements can be traced back to its founding principles by Kiichiro Toyoda in 1937. Initially, the company's vision focused on producing affordable automobiles for the masses, while its mission revolved around continuous improvement and innovation in manufacturing processes</w:t>
      </w:r>
      <w:r w:rsidR="001E3A1D">
        <w:t xml:space="preserve"> </w:t>
      </w:r>
      <w:r w:rsidR="001E3A1D" w:rsidRPr="001E3A1D">
        <w:t>(</w:t>
      </w:r>
      <w:proofErr w:type="spellStart"/>
      <w:r w:rsidR="001E3A1D" w:rsidRPr="001E3A1D">
        <w:t>Mostovaia</w:t>
      </w:r>
      <w:proofErr w:type="spellEnd"/>
      <w:r w:rsidR="00427EF7">
        <w:t xml:space="preserve">, </w:t>
      </w:r>
      <w:r w:rsidR="001E3A1D">
        <w:t>2023</w:t>
      </w:r>
      <w:r w:rsidR="001E3A1D" w:rsidRPr="001E3A1D">
        <w:t>)</w:t>
      </w:r>
      <w:r w:rsidRPr="00756058">
        <w:t xml:space="preserve">. Over the years, Toyota has adapted its vision and mission to align with changing market dynamics and societal trends. Today, Toyota's vision encompasses sustainability, innovation, and enriching lives through mobility solutions, while </w:t>
      </w:r>
      <w:r w:rsidRPr="00756058">
        <w:lastRenderedPageBreak/>
        <w:t>its mission emphasizes customer satisfaction, environmental stewardship, and ethical business practices</w:t>
      </w:r>
      <w:r w:rsidR="00EF2B20" w:rsidRPr="00EF2B20">
        <w:rPr>
          <w:rFonts w:ascii="Times New Roman" w:eastAsia="Times New Roman" w:hAnsi="Times New Roman" w:cs="Times New Roman"/>
          <w:sz w:val="24"/>
          <w:szCs w:val="24"/>
          <w:lang w:eastAsia="en-GB"/>
        </w:rPr>
        <w:t xml:space="preserve"> </w:t>
      </w:r>
      <w:r w:rsidR="00EF2B20" w:rsidRPr="00EF2B20">
        <w:t>(Gareth, 2011)</w:t>
      </w:r>
      <w:r w:rsidRPr="00756058">
        <w:t xml:space="preserve">. This evolution reflects Toyota's commitment to staying relevant and competitive in the global automotive industry. </w:t>
      </w:r>
    </w:p>
    <w:p w14:paraId="200B23B5" w14:textId="2D8E0F69" w:rsidR="00AF76E9" w:rsidRPr="00756058" w:rsidRDefault="00AF76E9" w:rsidP="00A7299C">
      <w:pPr>
        <w:spacing w:after="100"/>
        <w:jc w:val="center"/>
        <w:rPr>
          <w:b/>
          <w:bCs/>
        </w:rPr>
      </w:pPr>
      <w:r w:rsidRPr="00AF76E9">
        <w:rPr>
          <w:b/>
          <w:bCs/>
        </w:rPr>
        <w:t>Ownership structure and changes</w:t>
      </w:r>
    </w:p>
    <w:p w14:paraId="097280AE" w14:textId="33F160B4" w:rsidR="00AF76E9" w:rsidRDefault="00AF76E9" w:rsidP="00AF76E9">
      <w:pPr>
        <w:spacing w:after="100"/>
      </w:pPr>
      <w:r w:rsidRPr="00AF76E9">
        <w:t>Ownership structure and changes within a company can greatly impact its strategic capability</w:t>
      </w:r>
      <w:r w:rsidR="00EF2B20">
        <w:t xml:space="preserve"> </w:t>
      </w:r>
      <w:r w:rsidR="00EF2B20" w:rsidRPr="00EF2B20">
        <w:t>(RYBAKOVA and LANKINA, 202</w:t>
      </w:r>
      <w:r w:rsidR="00EF2B20">
        <w:t>1</w:t>
      </w:r>
      <w:r w:rsidR="00EF2B20" w:rsidRPr="00EF2B20">
        <w:t>)</w:t>
      </w:r>
      <w:r w:rsidRPr="00AF76E9">
        <w:t>. For Toyota, the ownership structure has evolved over time, with the Toyoda family initially holding a significant share of the company. However, as Toyota expanded internationally, the ownership structure diversified with more shareholders coming on board. This change in ownership structure has led to a shift in decision-making processes and strategic direction</w:t>
      </w:r>
      <w:r w:rsidR="00841C43">
        <w:t xml:space="preserve"> </w:t>
      </w:r>
      <w:r w:rsidR="00841C43" w:rsidRPr="00841C43">
        <w:t>(Suto and Hashimoto, 2006)</w:t>
      </w:r>
      <w:r w:rsidRPr="00AF76E9">
        <w:t>. With increased shareholder influence, Toyota has had to balance the interests of various stakeholders while still maintaining its core values and strategic goals. This dynamic ownership structure has both challenges and benefits, requiring Toyota to adapt its strategies to meet the demands of a changing ownership landscape</w:t>
      </w:r>
      <w:r>
        <w:t>.</w:t>
      </w:r>
      <w:r w:rsidR="009445CD">
        <w:t xml:space="preserve"> </w:t>
      </w:r>
      <w:r w:rsidR="009445CD" w:rsidRPr="009445CD">
        <w:t>As of March 2023, Toyota's net revenue grew to just under 37.2 trillion Japanese yen, which is an increase of 18.4 percent from the year before</w:t>
      </w:r>
      <w:r w:rsidR="00617C03">
        <w:t xml:space="preserve"> according to Carlier (2023)</w:t>
      </w:r>
      <w:r w:rsidR="009445CD" w:rsidRPr="009445CD">
        <w:t>. Approximately 279 billion American dollars are involved in this figure</w:t>
      </w:r>
      <w:r w:rsidR="009445CD">
        <w:t xml:space="preserve"> making it one of the most </w:t>
      </w:r>
      <w:r w:rsidR="00617C03">
        <w:t>financially</w:t>
      </w:r>
      <w:r w:rsidR="009445CD">
        <w:t xml:space="preserve"> potent companies in the world</w:t>
      </w:r>
      <w:r w:rsidR="00951841">
        <w:t xml:space="preserve"> (Toyota net revenue from 2012 to 2023 stats in appendix)</w:t>
      </w:r>
      <w:r w:rsidR="009445CD" w:rsidRPr="009445CD">
        <w:t>.</w:t>
      </w:r>
      <w:r>
        <w:t xml:space="preserve"> </w:t>
      </w:r>
      <w:r w:rsidR="0031011D">
        <w:t>Toyota’s main stakeholders are the shareholders, bondholders, banks, and employees. Stakeholders can have both positive and negative impacts on the organization.</w:t>
      </w:r>
    </w:p>
    <w:p w14:paraId="6B8D5057" w14:textId="3DCC0E42" w:rsidR="0031011D" w:rsidRDefault="0031011D" w:rsidP="0031011D">
      <w:pPr>
        <w:spacing w:after="100"/>
      </w:pPr>
      <w:r>
        <w:t>Positive impacts include:</w:t>
      </w:r>
    </w:p>
    <w:p w14:paraId="42188421" w14:textId="32FF4FBE" w:rsidR="0031011D" w:rsidRDefault="0031011D" w:rsidP="0031011D">
      <w:pPr>
        <w:pStyle w:val="ListParagraph"/>
        <w:numPr>
          <w:ilvl w:val="0"/>
          <w:numId w:val="4"/>
        </w:numPr>
        <w:spacing w:after="100"/>
      </w:pPr>
      <w:r>
        <w:t>Access to Capital: Financial stakeholders provide the necessary capital for the organization's operations, growth, and innovation. They enable the company to invest in research and development, expand its production capabilities, and fund strategic initiatives.</w:t>
      </w:r>
    </w:p>
    <w:p w14:paraId="0DD82C71" w14:textId="07A2EC8A" w:rsidR="0031011D" w:rsidRDefault="0031011D" w:rsidP="0031011D">
      <w:pPr>
        <w:pStyle w:val="ListParagraph"/>
        <w:numPr>
          <w:ilvl w:val="0"/>
          <w:numId w:val="4"/>
        </w:numPr>
        <w:spacing w:after="100"/>
      </w:pPr>
      <w:r>
        <w:t>Investor Confidence: Stakeholders, such as shareholders and bondholders, demonstrate confidence in the company's financial performance and prospects by investing or holding financial instruments issued by the company. This confidence can improve the company's reputation and attract further investments.</w:t>
      </w:r>
    </w:p>
    <w:p w14:paraId="29662D57" w14:textId="0E057411" w:rsidR="0031011D" w:rsidRDefault="0031011D" w:rsidP="0031011D">
      <w:pPr>
        <w:pStyle w:val="ListParagraph"/>
        <w:numPr>
          <w:ilvl w:val="0"/>
          <w:numId w:val="4"/>
        </w:numPr>
        <w:spacing w:after="100"/>
      </w:pPr>
      <w:r>
        <w:t>Accountability and Governance: Financial stakeholders often demand transparency and accountability from the organization. This can encourage good governance practices and responsible decision-making, ensuring that the organization operates ethically and in the best interests of all stakeholders.</w:t>
      </w:r>
    </w:p>
    <w:p w14:paraId="4E5656D6" w14:textId="0E852A4B" w:rsidR="0031011D" w:rsidRDefault="0031011D" w:rsidP="0031011D">
      <w:pPr>
        <w:spacing w:after="100"/>
      </w:pPr>
      <w:r>
        <w:t>However, there are also potential negative impacts:</w:t>
      </w:r>
    </w:p>
    <w:p w14:paraId="0F3663F3" w14:textId="6D624CB1" w:rsidR="0031011D" w:rsidRDefault="0031011D" w:rsidP="0031011D">
      <w:pPr>
        <w:pStyle w:val="ListParagraph"/>
        <w:numPr>
          <w:ilvl w:val="0"/>
          <w:numId w:val="5"/>
        </w:numPr>
        <w:spacing w:after="100"/>
      </w:pPr>
      <w:r>
        <w:t>Short-Term Focus: Financial stakeholders, especially shareholders who seek immediate returns on their investments, may pressure the organization to prioritize short-term profitability over long-term sustainability. This focus on short-term gains can inhibit investments in research, development, and other strategic initiatives that may yield long-term benefits.</w:t>
      </w:r>
    </w:p>
    <w:p w14:paraId="1C8FC785" w14:textId="34A52011" w:rsidR="0031011D" w:rsidRDefault="0031011D" w:rsidP="009445CD">
      <w:pPr>
        <w:pStyle w:val="ListParagraph"/>
        <w:numPr>
          <w:ilvl w:val="0"/>
          <w:numId w:val="5"/>
        </w:numPr>
        <w:spacing w:after="100"/>
      </w:pPr>
      <w:r>
        <w:t>Risk of Financial Pressure: Heavy reliance on financial stakeholders, such as banks or bondholders, can create a high level of debt and financial obligations. Failure to meet financial obligations may lead to financial distress, increased borrowing costs, or even bankruptcy.</w:t>
      </w:r>
    </w:p>
    <w:p w14:paraId="4B6B8090" w14:textId="0ADBA0ED" w:rsidR="00C77FCB" w:rsidRPr="004D59CF" w:rsidRDefault="009445CD" w:rsidP="004D59CF">
      <w:pPr>
        <w:pStyle w:val="ListParagraph"/>
        <w:numPr>
          <w:ilvl w:val="0"/>
          <w:numId w:val="5"/>
        </w:numPr>
        <w:spacing w:after="100"/>
      </w:pPr>
      <w:r w:rsidRPr="009445CD">
        <w:t xml:space="preserve">Employee Impacts: Financial stakeholders, particularly during challenging financial periods, may push for cost-cutting measures such as layoffs or reductions in employee benefits. These actions can </w:t>
      </w:r>
      <w:r>
        <w:t>harm</w:t>
      </w:r>
      <w:r w:rsidRPr="009445CD">
        <w:t xml:space="preserve"> employee morale and overall organizational culture.</w:t>
      </w:r>
    </w:p>
    <w:p w14:paraId="320582A2" w14:textId="0B2B52B3" w:rsidR="00AF76E9" w:rsidRDefault="009445CD" w:rsidP="009445CD">
      <w:pPr>
        <w:pStyle w:val="Heading2"/>
        <w:jc w:val="center"/>
      </w:pPr>
      <w:bookmarkStart w:id="4" w:name="_Toc161241560"/>
      <w:r>
        <w:lastRenderedPageBreak/>
        <w:t>2.2</w:t>
      </w:r>
      <w:r w:rsidR="00AE3FA6">
        <w:tab/>
      </w:r>
      <w:r w:rsidR="00AF76E9">
        <w:t>Strategic Analysis Models</w:t>
      </w:r>
      <w:bookmarkEnd w:id="4"/>
    </w:p>
    <w:p w14:paraId="36917740" w14:textId="77777777" w:rsidR="00AE3FA6" w:rsidRDefault="00AE3FA6" w:rsidP="00A7299C">
      <w:pPr>
        <w:jc w:val="center"/>
        <w:rPr>
          <w:b/>
          <w:bCs/>
        </w:rPr>
      </w:pPr>
    </w:p>
    <w:p w14:paraId="11EB0BB3" w14:textId="16E6FD56" w:rsidR="00AF76E9" w:rsidRDefault="00AF76E9" w:rsidP="00A7299C">
      <w:pPr>
        <w:jc w:val="center"/>
        <w:rPr>
          <w:b/>
          <w:bCs/>
        </w:rPr>
      </w:pPr>
      <w:r w:rsidRPr="00AF76E9">
        <w:rPr>
          <w:b/>
          <w:bCs/>
        </w:rPr>
        <w:t>SWO</w:t>
      </w:r>
      <w:r w:rsidR="00A7299C">
        <w:rPr>
          <w:b/>
          <w:bCs/>
        </w:rPr>
        <w:t>T</w:t>
      </w:r>
    </w:p>
    <w:p w14:paraId="30DB3C9A" w14:textId="777B57DB" w:rsidR="00AF76E9" w:rsidRDefault="00AF76E9" w:rsidP="00AF76E9">
      <w:r w:rsidRPr="00AF76E9">
        <w:t>In the case of Toyota, the</w:t>
      </w:r>
      <w:r w:rsidR="00450C97">
        <w:t xml:space="preserve"> SWOT</w:t>
      </w:r>
      <w:r w:rsidRPr="00AF76E9">
        <w:t xml:space="preserve"> analysis reveals several key aspects of the company's strategic capability. Toyota's strengths lie in its strong brand reputation, innovative technology, and global presence, which have helped it become a leader in the automotive industry. However, the company also faces weaknesses such as product recalls and quality control issues that have impacted its reputation in the past. Furthermore, there are opportunities for Toyota to expand into emerging markets and develop sustainable practices to stay competitive in the evolving industry. On the other hand, threats such as intense competition and economic downturns pose challenges to the company's growth</w:t>
      </w:r>
      <w:r w:rsidR="00244296">
        <w:t xml:space="preserve"> </w:t>
      </w:r>
      <w:r w:rsidR="00244296" w:rsidRPr="00244296">
        <w:t>(P</w:t>
      </w:r>
      <w:r w:rsidR="00244296">
        <w:t>ereira</w:t>
      </w:r>
      <w:r w:rsidR="00244296" w:rsidRPr="00244296">
        <w:t>, 2023)</w:t>
      </w:r>
      <w:r w:rsidR="00244296">
        <w:t xml:space="preserve">. </w:t>
      </w:r>
    </w:p>
    <w:p w14:paraId="495FB609" w14:textId="3631424C" w:rsidR="00450C97" w:rsidRDefault="00450C97" w:rsidP="00A7299C">
      <w:pPr>
        <w:jc w:val="center"/>
        <w:rPr>
          <w:b/>
          <w:bCs/>
        </w:rPr>
      </w:pPr>
      <w:r w:rsidRPr="00450C97">
        <w:rPr>
          <w:b/>
          <w:bCs/>
        </w:rPr>
        <w:t>PESTLE</w:t>
      </w:r>
    </w:p>
    <w:p w14:paraId="656F4280" w14:textId="12A9FC18" w:rsidR="00617C03" w:rsidRPr="00617C03" w:rsidRDefault="00617C03" w:rsidP="00617C03">
      <w:r w:rsidRPr="00617C03">
        <w:rPr>
          <w:b/>
          <w:bCs/>
        </w:rPr>
        <w:br/>
      </w:r>
      <w:r w:rsidRPr="00617C03">
        <w:t>The technological factor in a PESTLE analysis refers to the impact of technology on the organization and its industry.</w:t>
      </w:r>
      <w:r w:rsidR="00814791">
        <w:t xml:space="preserve"> As it can be seen on the website of </w:t>
      </w:r>
      <w:r w:rsidR="00814791" w:rsidRPr="00814791">
        <w:t xml:space="preserve">CORPORATION, </w:t>
      </w:r>
      <w:r w:rsidR="00814791">
        <w:t>(</w:t>
      </w:r>
      <w:r w:rsidR="00814791" w:rsidRPr="00814791">
        <w:t>2023)</w:t>
      </w:r>
      <w:r w:rsidR="00814791">
        <w:t xml:space="preserve">, </w:t>
      </w:r>
      <w:r w:rsidRPr="00617C03">
        <w:t>Toyota invests heavily in research and development to enhance its product offerings, improve manufacturing processes, and develop new technologies.</w:t>
      </w:r>
      <w:r>
        <w:t xml:space="preserve"> </w:t>
      </w:r>
      <w:r w:rsidRPr="00617C03">
        <w:t>Toyota has been a pioneer in hybrid vehicle technology with its Prius model and continues to invest in electric vehicle development.</w:t>
      </w:r>
      <w:r>
        <w:t xml:space="preserve"> </w:t>
      </w:r>
      <w:r w:rsidRPr="00617C03">
        <w:t>Toyota is embracing digitalization and connectivity trends to enhance the driving experience and offer new services to customers.</w:t>
      </w:r>
      <w:r>
        <w:t xml:space="preserve"> </w:t>
      </w:r>
      <w:r w:rsidRPr="00617C03">
        <w:t>Toyota is developing cleaner and more efficient powertrain technologies and exploring innovative solutions for sustainable materials sourcing, recycling, and waste reduction.</w:t>
      </w:r>
      <w:r>
        <w:t xml:space="preserve"> </w:t>
      </w:r>
      <w:r w:rsidRPr="00617C03">
        <w:t>Toyota uses advanced manufacturing technologies such as robotics, artificial intelligence, and IoT</w:t>
      </w:r>
      <w:r w:rsidR="00920EDE">
        <w:t xml:space="preserve"> (Internet of Things)</w:t>
      </w:r>
      <w:r w:rsidRPr="00617C03">
        <w:t xml:space="preserve"> devices to improve production efficiency, quality control, and workplace safety.</w:t>
      </w:r>
      <w:r>
        <w:t xml:space="preserve"> </w:t>
      </w:r>
      <w:r w:rsidRPr="00617C03">
        <w:t>Toyota must monitor and adapt to technological disruptions and emerging trends in the automotive industry to maintain its competitive edge, address evolving customer needs, and contribute to a sustainable future for mobility.</w:t>
      </w:r>
      <w:r w:rsidR="00814791">
        <w:t xml:space="preserve"> Full PESTLE analysis can be found in </w:t>
      </w:r>
      <w:r w:rsidR="00920EDE">
        <w:t xml:space="preserve">the </w:t>
      </w:r>
      <w:r w:rsidR="00814791">
        <w:t xml:space="preserve">appendix. </w:t>
      </w:r>
    </w:p>
    <w:p w14:paraId="0EE2473E" w14:textId="77777777" w:rsidR="00617C03" w:rsidRDefault="00617C03" w:rsidP="00617C03">
      <w:pPr>
        <w:rPr>
          <w:b/>
          <w:bCs/>
        </w:rPr>
      </w:pPr>
    </w:p>
    <w:p w14:paraId="463B20DF" w14:textId="77777777" w:rsidR="007E6342" w:rsidRDefault="007E6342" w:rsidP="00AF76E9">
      <w:pPr>
        <w:rPr>
          <w:b/>
          <w:bCs/>
        </w:rPr>
      </w:pPr>
    </w:p>
    <w:p w14:paraId="292BF031" w14:textId="77777777" w:rsidR="00C77FCB" w:rsidRDefault="00C77FCB">
      <w:pPr>
        <w:rPr>
          <w:rFonts w:asciiTheme="majorHAnsi" w:eastAsiaTheme="majorEastAsia" w:hAnsiTheme="majorHAnsi" w:cstheme="majorBidi"/>
          <w:color w:val="2F5496" w:themeColor="accent1" w:themeShade="BF"/>
          <w:sz w:val="26"/>
          <w:szCs w:val="26"/>
        </w:rPr>
      </w:pPr>
      <w:r>
        <w:br w:type="page"/>
      </w:r>
    </w:p>
    <w:p w14:paraId="371BD423" w14:textId="12972835" w:rsidR="007E6342" w:rsidRDefault="00814791" w:rsidP="007E6342">
      <w:pPr>
        <w:pStyle w:val="Heading2"/>
        <w:jc w:val="center"/>
      </w:pPr>
      <w:bookmarkStart w:id="5" w:name="_Toc161241561"/>
      <w:r>
        <w:lastRenderedPageBreak/>
        <w:t>2</w:t>
      </w:r>
      <w:r w:rsidR="00AE3FA6">
        <w:t>.</w:t>
      </w:r>
      <w:r w:rsidR="00A32A05">
        <w:t>3</w:t>
      </w:r>
      <w:r w:rsidR="00A32A05">
        <w:tab/>
      </w:r>
      <w:r w:rsidR="007E6342">
        <w:t>Influences on Strategic Direction</w:t>
      </w:r>
      <w:bookmarkEnd w:id="5"/>
      <w:r w:rsidR="007E6342">
        <w:t xml:space="preserve"> </w:t>
      </w:r>
    </w:p>
    <w:p w14:paraId="70BE2997" w14:textId="77777777" w:rsidR="00814791" w:rsidRDefault="00814791" w:rsidP="007E6342">
      <w:pPr>
        <w:jc w:val="center"/>
        <w:rPr>
          <w:b/>
          <w:bCs/>
        </w:rPr>
      </w:pPr>
    </w:p>
    <w:p w14:paraId="3FD7C485" w14:textId="68F0962D" w:rsidR="007E6342" w:rsidRPr="007E6342" w:rsidRDefault="007E6342" w:rsidP="007E6342">
      <w:pPr>
        <w:jc w:val="center"/>
        <w:rPr>
          <w:b/>
          <w:bCs/>
        </w:rPr>
      </w:pPr>
      <w:r w:rsidRPr="007E6342">
        <w:rPr>
          <w:b/>
          <w:bCs/>
        </w:rPr>
        <w:t>Stakeholder Influence</w:t>
      </w:r>
    </w:p>
    <w:p w14:paraId="35BE36D2" w14:textId="379D2807" w:rsidR="002D68D9" w:rsidRPr="002D68D9" w:rsidRDefault="007E6342" w:rsidP="002D68D9">
      <w:r w:rsidRPr="007E6342">
        <w:t>Stakeholders, including customers, employees, investors, and the community, have the power to affect an organization's success through their expectations, demands, and actions. In the case of Toyota, stakeholders have played a significant role in driving the company's sustainability initiatives, product development strategies, and corporate governance practices. For example, customer preferences for eco-friendly vehicles have led Toyota to invest heavily in hybrid and electric vehicle technologies. Likewise, pressure from investors and regulatory bodies has pushed the company to improve its corporate governance and transparency practices. Overall, stakeholders' influence on Toyota's strategic capability underscores the importance of effectively managing relationships with all key stakeholders to drive long-term success and sustainability</w:t>
      </w:r>
      <w:r w:rsidR="002D68D9">
        <w:t xml:space="preserve"> </w:t>
      </w:r>
      <w:r w:rsidR="002D68D9" w:rsidRPr="002D68D9">
        <w:t>(Wang et al., 2023)</w:t>
      </w:r>
    </w:p>
    <w:p w14:paraId="19502A15" w14:textId="5D49EE2E" w:rsidR="007E6342" w:rsidRDefault="007E6342" w:rsidP="007E6342"/>
    <w:p w14:paraId="74268507" w14:textId="600444C3" w:rsidR="007E6342" w:rsidRPr="007E6342" w:rsidRDefault="007E6342" w:rsidP="007E6342">
      <w:pPr>
        <w:jc w:val="center"/>
        <w:rPr>
          <w:b/>
          <w:bCs/>
        </w:rPr>
      </w:pPr>
      <w:r w:rsidRPr="007E6342">
        <w:rPr>
          <w:b/>
          <w:bCs/>
        </w:rPr>
        <w:t>Strategy focus: Corporate/Business Level</w:t>
      </w:r>
    </w:p>
    <w:p w14:paraId="72BEA90E" w14:textId="35C474AC" w:rsidR="002D68D9" w:rsidRPr="002D68D9" w:rsidRDefault="007E6342" w:rsidP="002D68D9">
      <w:r w:rsidRPr="007E6342">
        <w:t xml:space="preserve">In terms of strategy focus, Toyota emphasizes both corporate and business-level strategies to maintain its competitive edge in the automotive industry. At the corporate level, Toyota's strategy involves creating synergies across its various business units, such as Toyota Motor Corporation, Lexus, and Daihatsu, to achieve economies of scale and scope. This approach allows the company to leverage its resources, capabilities, and knowledge across different brands and product lines, enabling it to respond more effectively to market changes and customer demands. On the business level, Toyota focuses on producing high-quality vehicles at competitive prices, continuously improving its manufacturing processes through initiatives like the Toyota Production </w:t>
      </w:r>
      <w:r w:rsidR="002D68D9" w:rsidRPr="007E6342">
        <w:t>System and</w:t>
      </w:r>
      <w:r w:rsidRPr="007E6342">
        <w:t xml:space="preserve"> developing innovative technologies to meet evolving consumer preferences. By combining corporate and business-level strategies, Toyota has been able to sustain its position as one of the leading automakers in the world</w:t>
      </w:r>
      <w:r w:rsidR="002D68D9">
        <w:t xml:space="preserve"> </w:t>
      </w:r>
      <w:r w:rsidR="002D68D9" w:rsidRPr="002D68D9">
        <w:t>(Campbell, 2014)</w:t>
      </w:r>
      <w:r w:rsidR="002D68D9">
        <w:t>.</w:t>
      </w:r>
    </w:p>
    <w:p w14:paraId="5F5EC37F" w14:textId="17686BC9" w:rsidR="007E6342" w:rsidRDefault="007E6342" w:rsidP="007E6342"/>
    <w:p w14:paraId="004F345E" w14:textId="02F03CD3" w:rsidR="007E6342" w:rsidRDefault="007E6342" w:rsidP="007E6342">
      <w:pPr>
        <w:jc w:val="center"/>
        <w:rPr>
          <w:b/>
          <w:bCs/>
        </w:rPr>
      </w:pPr>
      <w:r w:rsidRPr="007E6342">
        <w:rPr>
          <w:b/>
          <w:bCs/>
        </w:rPr>
        <w:t>Deliberate vs Emergent Strategy</w:t>
      </w:r>
    </w:p>
    <w:p w14:paraId="152DC105" w14:textId="763FB87E" w:rsidR="002D68D9" w:rsidRPr="002D68D9" w:rsidRDefault="009E1AB8" w:rsidP="002D68D9">
      <w:r w:rsidRPr="009E1AB8">
        <w:t>Emergent strategy is a term that describes a more flexible and adaptive approach to strategic planning, where strategies evolve based on changing circumstances and marketplace dynamics. On the other hand, deliberate strategy is a more traditional top-down approach where a company's leadership carefully plans and executes a specific course of action. In the case of Toyota, the company has utilized a combination of deliberate and emergent strategies to maintain its leadership position in the automotive industry. While Toyota's long-term vision and goals are typically set through deliberate planning, the company also remains agile and responsive to emerging trends and customer demands through continuous adjustments to its strategies and operations. This balanced approach allows Toyota to navigate the complex and ever-changing business environment effectively</w:t>
      </w:r>
      <w:r w:rsidR="002D68D9">
        <w:t xml:space="preserve"> </w:t>
      </w:r>
      <w:r w:rsidR="002D68D9" w:rsidRPr="002D68D9">
        <w:t>(Brown, 2017)</w:t>
      </w:r>
      <w:r w:rsidR="002D68D9">
        <w:t>.</w:t>
      </w:r>
    </w:p>
    <w:p w14:paraId="24482764" w14:textId="17528FEC" w:rsidR="009E1AB8" w:rsidRDefault="009E1AB8" w:rsidP="009E1AB8"/>
    <w:p w14:paraId="7BC402FD" w14:textId="553153CA" w:rsidR="00C77FCB" w:rsidRDefault="00C77FCB"/>
    <w:p w14:paraId="1D32352C" w14:textId="77777777" w:rsidR="00951841" w:rsidRDefault="00951841">
      <w:pPr>
        <w:rPr>
          <w:rFonts w:asciiTheme="majorHAnsi" w:eastAsiaTheme="majorEastAsia" w:hAnsiTheme="majorHAnsi" w:cstheme="majorBidi"/>
          <w:color w:val="2F5496" w:themeColor="accent1" w:themeShade="BF"/>
          <w:sz w:val="26"/>
          <w:szCs w:val="26"/>
        </w:rPr>
      </w:pPr>
    </w:p>
    <w:p w14:paraId="28859BFA" w14:textId="0CFFDF0C" w:rsidR="009E1AB8" w:rsidRDefault="00951841" w:rsidP="00AE3FA6">
      <w:pPr>
        <w:pStyle w:val="Heading2"/>
        <w:jc w:val="center"/>
      </w:pPr>
      <w:bookmarkStart w:id="6" w:name="_Toc161241562"/>
      <w:r>
        <w:lastRenderedPageBreak/>
        <w:t>2</w:t>
      </w:r>
      <w:r w:rsidR="00AE3FA6">
        <w:t>.</w:t>
      </w:r>
      <w:r w:rsidR="00A32A05">
        <w:t>4</w:t>
      </w:r>
      <w:r w:rsidR="009E1AB8">
        <w:t xml:space="preserve"> </w:t>
      </w:r>
      <w:r w:rsidR="00A32A05">
        <w:tab/>
      </w:r>
      <w:r w:rsidR="009E1AB8">
        <w:t>Strategic Drivers and Direction</w:t>
      </w:r>
      <w:bookmarkEnd w:id="6"/>
    </w:p>
    <w:p w14:paraId="4106DBDD" w14:textId="77777777" w:rsidR="009E1AB8" w:rsidRPr="009E1AB8" w:rsidRDefault="009E1AB8" w:rsidP="009E1AB8"/>
    <w:p w14:paraId="7FF8D58B" w14:textId="0324B17A" w:rsidR="009E1AB8" w:rsidRDefault="002D68D9" w:rsidP="009E1AB8">
      <w:r>
        <w:t xml:space="preserve">By </w:t>
      </w:r>
      <w:r w:rsidR="009E1AB8" w:rsidRPr="009E1AB8">
        <w:t xml:space="preserve">assessing strategic capability, it is </w:t>
      </w:r>
      <w:r w:rsidRPr="009E1AB8">
        <w:t>important</w:t>
      </w:r>
      <w:r w:rsidR="009E1AB8" w:rsidRPr="009E1AB8">
        <w:t xml:space="preserve"> to consider the differences between a market-driven approach and a resource/capabilities-driven approach. A market-driven strategy focuses on responding to the demands and preferences of the market, adjusting products and services accordingly to meet customer needs. On the other hand, a resource/capabilities-driven strategy emphasizes leveraging internal resources and core competencies to develop sustainable competitive advantages within the industry. Toyota's strategic capability lies in its ability to balance both perspectives, aligning its resources and capabilities with market opportunities to maintain a competitive edge in the automotive sector</w:t>
      </w:r>
      <w:r w:rsidRPr="002D68D9">
        <w:rPr>
          <w:rFonts w:ascii="Calibri" w:eastAsia="Times New Roman" w:hAnsi="Calibri" w:cs="Calibri"/>
          <w:lang w:eastAsia="en-GB"/>
        </w:rPr>
        <w:t xml:space="preserve"> </w:t>
      </w:r>
      <w:r w:rsidRPr="002D68D9">
        <w:t>(Alghamdi and Agag, 2024)</w:t>
      </w:r>
      <w:r>
        <w:t>.</w:t>
      </w:r>
    </w:p>
    <w:p w14:paraId="527FF2F5" w14:textId="43A3D5F4" w:rsidR="009E1AB8" w:rsidRPr="00D91496" w:rsidRDefault="009E1AB8" w:rsidP="00D91496">
      <w:pPr>
        <w:jc w:val="center"/>
        <w:rPr>
          <w:b/>
          <w:bCs/>
        </w:rPr>
      </w:pPr>
      <w:r w:rsidRPr="00D91496">
        <w:rPr>
          <w:b/>
          <w:bCs/>
        </w:rPr>
        <w:t>Current strategy type</w:t>
      </w:r>
    </w:p>
    <w:p w14:paraId="6452E654" w14:textId="58F183F7" w:rsidR="009E1AB8" w:rsidRPr="009E1AB8" w:rsidRDefault="009E1AB8" w:rsidP="009E1AB8">
      <w:r w:rsidRPr="009E1AB8">
        <w:t xml:space="preserve">The current strategy type employed by Toyota can be classified as dynamic, with a focus on continuous adaptation and flexibility in response to changing market conditions and technological advancements. This approach allows Toyota to quickly pivot and adjust its strategies to remain competitive and innovative in the automotive industry. By constantly monitoring market trends and consumer preferences, Toyota </w:t>
      </w:r>
      <w:r w:rsidR="00951841">
        <w:t>can</w:t>
      </w:r>
      <w:r w:rsidRPr="009E1AB8">
        <w:t xml:space="preserve"> effectively implement changes to its operations and product offerings. This dynamic strategy type has enabled Toyota to stay at the forefront of the industry and maintain its position as a global leader in automotive manufacturing</w:t>
      </w:r>
      <w:r w:rsidR="008A7A7F">
        <w:t xml:space="preserve"> </w:t>
      </w:r>
      <w:r w:rsidR="008A7A7F" w:rsidRPr="008A7A7F">
        <w:t>(Lee, 2018)</w:t>
      </w:r>
      <w:r w:rsidR="008A7A7F">
        <w:t>.</w:t>
      </w:r>
    </w:p>
    <w:p w14:paraId="4A6799BD" w14:textId="00925F5C" w:rsidR="009E1AB8" w:rsidRPr="00D91496" w:rsidRDefault="009E1AB8" w:rsidP="00D91496">
      <w:pPr>
        <w:jc w:val="center"/>
        <w:rPr>
          <w:b/>
          <w:bCs/>
        </w:rPr>
      </w:pPr>
      <w:r w:rsidRPr="00D91496">
        <w:rPr>
          <w:b/>
          <w:bCs/>
        </w:rPr>
        <w:t>Direction of travel</w:t>
      </w:r>
    </w:p>
    <w:p w14:paraId="465EC389" w14:textId="03BC747B" w:rsidR="009E1AB8" w:rsidRDefault="009E1AB8" w:rsidP="009E1AB8">
      <w:r w:rsidRPr="009E1AB8">
        <w:t xml:space="preserve">According to recent data, Toyota's direction of travel in terms of growth has been steady over the past few years. With a strong focus on innovation and sustainability, the company has been able to maintain its position as a global leader in the automotive industry. Despite facing challenges such as increased competition and changing consumer preferences, Toyota has continued to expand its market share and revenue streams through strategic partnerships and investments in new technologies. As the company looks </w:t>
      </w:r>
      <w:r w:rsidR="00951841">
        <w:t>toward</w:t>
      </w:r>
      <w:r w:rsidRPr="009E1AB8">
        <w:t xml:space="preserve"> the future, it will be crucial for </w:t>
      </w:r>
      <w:r w:rsidR="00951841">
        <w:t>it</w:t>
      </w:r>
      <w:r w:rsidRPr="009E1AB8">
        <w:t xml:space="preserve"> to remain adaptable and responsive to market trends </w:t>
      </w:r>
      <w:r w:rsidR="008A7A7F">
        <w:t>to</w:t>
      </w:r>
      <w:r w:rsidRPr="009E1AB8">
        <w:t xml:space="preserve"> sustain </w:t>
      </w:r>
      <w:r w:rsidR="00951841">
        <w:t>its</w:t>
      </w:r>
      <w:r w:rsidRPr="009E1AB8">
        <w:t xml:space="preserve"> growth trajectory</w:t>
      </w:r>
      <w:r w:rsidR="008A7A7F">
        <w:t xml:space="preserve"> </w:t>
      </w:r>
      <w:r w:rsidR="008A7A7F" w:rsidRPr="008A7A7F">
        <w:t>(Morgan and Liker, 2020)</w:t>
      </w:r>
      <w:r w:rsidR="008A7A7F">
        <w:t>.</w:t>
      </w:r>
    </w:p>
    <w:p w14:paraId="65270663" w14:textId="02AB30B5" w:rsidR="009E1AB8" w:rsidRPr="00D91496" w:rsidRDefault="009E1AB8" w:rsidP="00D91496">
      <w:pPr>
        <w:jc w:val="center"/>
        <w:rPr>
          <w:b/>
          <w:bCs/>
        </w:rPr>
      </w:pPr>
      <w:r w:rsidRPr="00D91496">
        <w:rPr>
          <w:b/>
          <w:bCs/>
        </w:rPr>
        <w:t>Scope of Strategy</w:t>
      </w:r>
    </w:p>
    <w:p w14:paraId="6A77877B" w14:textId="2EF87C5D" w:rsidR="009E1AB8" w:rsidRDefault="009E1AB8" w:rsidP="009E1AB8">
      <w:r w:rsidRPr="009E1AB8">
        <w:t xml:space="preserve">The scope of strategy can vary between narrow and wide approaches, each with its advantages and disadvantages. A narrow strategy focuses on a specific market segment or product category, allowing for a deep understanding and tailored approach to meet the needs of that </w:t>
      </w:r>
      <w:r w:rsidR="00951841" w:rsidRPr="009E1AB8">
        <w:t>segment</w:t>
      </w:r>
      <w:r w:rsidRPr="009E1AB8">
        <w:t>. On the other hand, a wide strategy encompasses multiple market segments or product categories, providing opportunities for diversification and risk mitigation. Toyota has adopted a wide strategy, expanding its product line to include a variety of vehicles such as sedans, SUVs, and trucks to cater to different customer preferences and market demands. This wide scope of strategy has enabled Toyota to maintain its competitive edge in the automotive industry by appealing to a broader customer base and adapting to changing market trends. However, a wide strategy may also pose challenges in terms of resource allocation and maintaining focus on core competencies. In contrast, a narrow strategy allows for a more focused and efficient use of resources but may limit growth opportunities and increase vulnerability to market fluctuations. Overall, the choice between a narrow and wide scope of strategy depends on the organization's capabilities, market dynamics, and long-term goal</w:t>
      </w:r>
      <w:r w:rsidR="006350FE">
        <w:t xml:space="preserve">s </w:t>
      </w:r>
      <w:r w:rsidR="006350FE" w:rsidRPr="006350FE">
        <w:t>(Toyota UK, 2023)</w:t>
      </w:r>
      <w:r w:rsidR="006350FE">
        <w:t>.</w:t>
      </w:r>
    </w:p>
    <w:p w14:paraId="5919FEF9" w14:textId="77777777" w:rsidR="00920EDE" w:rsidRDefault="00920EDE" w:rsidP="009E1AB8"/>
    <w:p w14:paraId="699DB69E" w14:textId="77777777" w:rsidR="00920EDE" w:rsidRDefault="00920EDE" w:rsidP="009E1AB8"/>
    <w:p w14:paraId="26E2A69B" w14:textId="577A18BB" w:rsidR="009E1AB8" w:rsidRPr="00D91496" w:rsidRDefault="009E1AB8" w:rsidP="00D91496">
      <w:pPr>
        <w:jc w:val="center"/>
        <w:rPr>
          <w:b/>
          <w:bCs/>
        </w:rPr>
      </w:pPr>
      <w:r w:rsidRPr="00D91496">
        <w:rPr>
          <w:b/>
          <w:bCs/>
        </w:rPr>
        <w:lastRenderedPageBreak/>
        <w:t>Long-Term Strategy Evaluation</w:t>
      </w:r>
    </w:p>
    <w:p w14:paraId="56EC34B2" w14:textId="4D3A4C00" w:rsidR="009E1AB8" w:rsidRDefault="009E1AB8" w:rsidP="009E1AB8">
      <w:r w:rsidRPr="009E1AB8">
        <w:t xml:space="preserve">By evaluating past performance, </w:t>
      </w:r>
      <w:r w:rsidR="00F91E5F" w:rsidRPr="009E1AB8">
        <w:t>analysing</w:t>
      </w:r>
      <w:r w:rsidRPr="009E1AB8">
        <w:t xml:space="preserve"> market trends, and considering competitive pressures, Toyota can develop a comprehensive plan that aligns with its long-term vision and core values. This assessment involves assessing internal strengths and weaknesses, as well as external opportunities and threats, to ensure that the company is well-positioned to achieve its targets over the next five years. Through continuous monitoring and adaptation, Toyota can make necessary adjustments to the plan to stay competitive in the rapidly changing automotive industry</w:t>
      </w:r>
      <w:r w:rsidR="006350FE">
        <w:t xml:space="preserve"> </w:t>
      </w:r>
      <w:r w:rsidR="006350FE" w:rsidRPr="006350FE">
        <w:t>(Li et al., 2022)</w:t>
      </w:r>
      <w:r w:rsidR="006350FE">
        <w:t>.</w:t>
      </w:r>
    </w:p>
    <w:p w14:paraId="797AFB32" w14:textId="166D089B" w:rsidR="00D91496" w:rsidRDefault="00D91496" w:rsidP="00D91496">
      <w:r w:rsidRPr="00D91496">
        <w:t xml:space="preserve">Strategic capability demonstration is </w:t>
      </w:r>
      <w:r w:rsidR="00F91E5F" w:rsidRPr="00D91496">
        <w:t>essential</w:t>
      </w:r>
      <w:r w:rsidRPr="00D91496">
        <w:t xml:space="preserve"> for organizations to exhibit their ability to achieve strategic goals and competitive advantage. Toyota, through its strategic capability, has positioned itself as a leader in the automotive industry. By </w:t>
      </w:r>
      <w:r>
        <w:t>manifesting</w:t>
      </w:r>
      <w:r w:rsidRPr="00D91496">
        <w:t xml:space="preserve"> its innovative production system, known as the Toyota Production System (TPS), the company has demonstrated its capacity to continuously improve efficiency, quality, and flexibility in manufacturing processes</w:t>
      </w:r>
      <w:r w:rsidR="006350FE">
        <w:t xml:space="preserve"> </w:t>
      </w:r>
      <w:r w:rsidR="006350FE" w:rsidRPr="006350FE">
        <w:t>(Kidd and Monden, 1995)</w:t>
      </w:r>
      <w:r w:rsidRPr="00D91496">
        <w:t xml:space="preserve">. Additionally, Toyota's focus on sustainable practices and investment in research and development further </w:t>
      </w:r>
      <w:r>
        <w:t>highlights</w:t>
      </w:r>
      <w:r w:rsidRPr="00D91496">
        <w:t xml:space="preserve"> its strategic capability </w:t>
      </w:r>
      <w:r>
        <w:t>to adapt</w:t>
      </w:r>
      <w:r w:rsidRPr="00D91496">
        <w:t xml:space="preserve"> to changing market demands and technological advancements. This ability to demonstrate strategic capability not only differentiates Toyota from its competitors but also reinforces its reputation as a pioneering and forward-thinking organization in the industry.</w:t>
      </w:r>
    </w:p>
    <w:p w14:paraId="6BABBE48" w14:textId="77777777" w:rsidR="00C77FCB" w:rsidRDefault="00C77FCB">
      <w:pPr>
        <w:rPr>
          <w:rFonts w:asciiTheme="majorHAnsi" w:eastAsiaTheme="majorEastAsia" w:hAnsiTheme="majorHAnsi" w:cstheme="majorBidi"/>
          <w:b/>
          <w:bCs/>
          <w:color w:val="2F5496" w:themeColor="accent1" w:themeShade="BF"/>
          <w:sz w:val="32"/>
          <w:szCs w:val="32"/>
        </w:rPr>
      </w:pPr>
      <w:r>
        <w:rPr>
          <w:b/>
          <w:bCs/>
        </w:rPr>
        <w:br w:type="page"/>
      </w:r>
    </w:p>
    <w:p w14:paraId="1944B957" w14:textId="134D037F" w:rsidR="00D91496" w:rsidRPr="009A2F75" w:rsidRDefault="00951841" w:rsidP="00951841">
      <w:pPr>
        <w:pStyle w:val="Heading2"/>
        <w:jc w:val="center"/>
      </w:pPr>
      <w:bookmarkStart w:id="7" w:name="_Toc161241563"/>
      <w:r>
        <w:lastRenderedPageBreak/>
        <w:t>2</w:t>
      </w:r>
      <w:r w:rsidR="00AE3FA6">
        <w:t>.</w:t>
      </w:r>
      <w:r w:rsidR="00A32A05">
        <w:t>5</w:t>
      </w:r>
      <w:r w:rsidR="00AE3FA6">
        <w:tab/>
      </w:r>
      <w:r w:rsidR="00D91496" w:rsidRPr="009A2F75">
        <w:t>Advantages of current strategy</w:t>
      </w:r>
      <w:bookmarkEnd w:id="7"/>
    </w:p>
    <w:p w14:paraId="082DF292" w14:textId="38D8DE2C" w:rsidR="00D91496" w:rsidRPr="009A2F75" w:rsidRDefault="00D91496" w:rsidP="009A2F75">
      <w:pPr>
        <w:jc w:val="center"/>
        <w:rPr>
          <w:b/>
          <w:bCs/>
        </w:rPr>
      </w:pPr>
      <w:r w:rsidRPr="009A2F75">
        <w:rPr>
          <w:b/>
          <w:bCs/>
        </w:rPr>
        <w:t>Performance Outcomes</w:t>
      </w:r>
    </w:p>
    <w:p w14:paraId="35625D7D" w14:textId="2DC5CFF3" w:rsidR="00D91496" w:rsidRDefault="00D91496" w:rsidP="00D91496">
      <w:r w:rsidRPr="00D91496">
        <w:t xml:space="preserve">A key aspect of evaluating Toyota's strategic capability is analysing its performance outcomes. Performance outcomes, such as profitability, market share, and customer satisfaction, provide valuable insights into the effectiveness of Toyota's strategies and operations. By achieving strong performance outcomes, Toyota demonstrates its ability to create value for its stakeholders and maintain a competitive advantage in the global automotive industry. Furthermore, performance outcomes serve as a benchmark for measuring the success of Toyota's strategic initiatives and identifying areas for improvement. Overall, a focus on performance outcomes allows Toyota to assess its progress </w:t>
      </w:r>
      <w:r>
        <w:t>toward</w:t>
      </w:r>
      <w:r w:rsidRPr="00D91496">
        <w:t xml:space="preserve"> achieving its strategic objectives and staying ahead of its competitors in the dynamic business environment</w:t>
      </w:r>
      <w:r w:rsidR="0060624D">
        <w:t xml:space="preserve"> </w:t>
      </w:r>
      <w:r w:rsidR="0060624D" w:rsidRPr="0060624D">
        <w:t>(Carton and Hofer, 2006)</w:t>
      </w:r>
      <w:r w:rsidR="0060624D">
        <w:t xml:space="preserve">. </w:t>
      </w:r>
      <w:r w:rsidR="000A360A" w:rsidRPr="000A360A">
        <w:t>The number of Toyota and Lexus vehicles sold was 7 million 908 thousand units, representing 109.7% of sales for the previous fiscal year.</w:t>
      </w:r>
      <w:r w:rsidR="000A360A">
        <w:t xml:space="preserve"> </w:t>
      </w:r>
      <w:r w:rsidR="000A360A" w:rsidRPr="000A360A">
        <w:t>All regions experienced increases in sales volume.</w:t>
      </w:r>
      <w:r w:rsidR="000A360A">
        <w:t xml:space="preserve"> </w:t>
      </w:r>
      <w:r w:rsidR="000A360A" w:rsidRPr="000A360A">
        <w:t>Additionally, Toyota sold a greater percentage of electrified vehicles, mostly hybrid electric vehicles, with electrified vehicles making up 35.9% of total sales</w:t>
      </w:r>
      <w:r w:rsidR="000A360A">
        <w:t xml:space="preserve"> </w:t>
      </w:r>
      <w:r w:rsidR="000A360A" w:rsidRPr="000A360A">
        <w:t>(</w:t>
      </w:r>
      <w:r w:rsidR="000A360A">
        <w:t xml:space="preserve"> Toyota </w:t>
      </w:r>
      <w:r w:rsidR="000A360A" w:rsidRPr="000A360A">
        <w:t>Global, 2024).</w:t>
      </w:r>
    </w:p>
    <w:p w14:paraId="49CC7154" w14:textId="2F2B8717" w:rsidR="00D91496" w:rsidRPr="009A2F75" w:rsidRDefault="00D91496" w:rsidP="009A2F75">
      <w:pPr>
        <w:jc w:val="center"/>
        <w:rPr>
          <w:b/>
          <w:bCs/>
        </w:rPr>
      </w:pPr>
      <w:r w:rsidRPr="009A2F75">
        <w:rPr>
          <w:b/>
          <w:bCs/>
        </w:rPr>
        <w:t>Theorists Research Support</w:t>
      </w:r>
    </w:p>
    <w:p w14:paraId="6E9C7A55" w14:textId="77C1580E" w:rsidR="00D91496" w:rsidRDefault="00D91496" w:rsidP="00D91496">
      <w:r>
        <w:t xml:space="preserve">The research support </w:t>
      </w:r>
      <w:r w:rsidRPr="00D91496">
        <w:t xml:space="preserve">can be seen in the work of </w:t>
      </w:r>
      <w:r w:rsidR="000A360A" w:rsidRPr="000A360A">
        <w:t xml:space="preserve">Mohamad Rizan, Fathi </w:t>
      </w:r>
      <w:proofErr w:type="spellStart"/>
      <w:r w:rsidR="000A360A" w:rsidRPr="000A360A">
        <w:t>Balfas</w:t>
      </w:r>
      <w:proofErr w:type="spellEnd"/>
      <w:r w:rsidR="003A0200">
        <w:t>,</w:t>
      </w:r>
      <w:r w:rsidR="000A360A" w:rsidRPr="000A360A">
        <w:t xml:space="preserve"> and </w:t>
      </w:r>
      <w:proofErr w:type="spellStart"/>
      <w:r w:rsidR="000A360A" w:rsidRPr="000A360A">
        <w:t>Unggul</w:t>
      </w:r>
      <w:proofErr w:type="spellEnd"/>
      <w:r w:rsidR="000A360A" w:rsidRPr="000A360A">
        <w:t xml:space="preserve"> </w:t>
      </w:r>
      <w:proofErr w:type="spellStart"/>
      <w:r w:rsidR="000A360A" w:rsidRPr="000A360A">
        <w:t>Purwohedi</w:t>
      </w:r>
      <w:proofErr w:type="spellEnd"/>
      <w:r w:rsidR="000A360A" w:rsidRPr="000A360A">
        <w:t xml:space="preserve"> (2019)</w:t>
      </w:r>
      <w:r w:rsidR="000A360A">
        <w:t xml:space="preserve"> </w:t>
      </w:r>
      <w:r w:rsidRPr="00D91496">
        <w:t xml:space="preserve">who </w:t>
      </w:r>
      <w:r w:rsidR="000A360A">
        <w:t>argue</w:t>
      </w:r>
      <w:r w:rsidRPr="00D91496">
        <w:t xml:space="preserve"> that the application of strategic capabilities plays a crucial role in the success of organizations like Toyota. This research is further supported by </w:t>
      </w:r>
      <w:r w:rsidR="000A360A" w:rsidRPr="000A360A">
        <w:t>Bhandari, Ranta and Salo (2022)</w:t>
      </w:r>
      <w:r w:rsidR="000A360A">
        <w:t xml:space="preserve"> </w:t>
      </w:r>
      <w:r w:rsidRPr="00D91496">
        <w:t xml:space="preserve">who emphasizes the importance of aligning organizational resources with strategic goals to achieve sustainable competitive advantage. The findings of these theorists provide valuable insights into how Toyota's strategic capability has contributed to its position as a global leader in the automotive industry. </w:t>
      </w:r>
    </w:p>
    <w:p w14:paraId="12A55021" w14:textId="7026F362" w:rsidR="00D91496" w:rsidRPr="009A2F75" w:rsidRDefault="00D91496" w:rsidP="009A2F75">
      <w:pPr>
        <w:jc w:val="center"/>
        <w:rPr>
          <w:b/>
          <w:bCs/>
        </w:rPr>
      </w:pPr>
      <w:r w:rsidRPr="009A2F75">
        <w:rPr>
          <w:b/>
          <w:bCs/>
        </w:rPr>
        <w:t>Industry Comments</w:t>
      </w:r>
    </w:p>
    <w:p w14:paraId="0E983E36" w14:textId="559FCD13" w:rsidR="00D91496" w:rsidRDefault="00D91496" w:rsidP="00D91496">
      <w:r w:rsidRPr="00D91496">
        <w:t xml:space="preserve">Industry comments regarding Toyota's strategic capabilities have been mixed. Some experts praise the company for its relentless focus on quality and efficiency, which has allowed it to maintain a competitive edge in the global automotive </w:t>
      </w:r>
      <w:r w:rsidR="003A0200" w:rsidRPr="00D91496">
        <w:t>market.</w:t>
      </w:r>
      <w:r w:rsidRPr="00D91496">
        <w:t xml:space="preserve"> However, others question Toyota's ability to continuously innovate and adapt to changing consumer preferences, particularly in the era of electric and autonomous </w:t>
      </w:r>
      <w:r w:rsidR="003A0200" w:rsidRPr="00D91496">
        <w:t>vehicles.</w:t>
      </w:r>
      <w:r w:rsidRPr="00D91496">
        <w:t xml:space="preserve"> These contrasting opinions highlight the complex challenges facing Toyota as it seeks to maintain its position as a leader in the industry</w:t>
      </w:r>
      <w:r w:rsidR="003A0200">
        <w:t xml:space="preserve"> </w:t>
      </w:r>
      <w:r w:rsidR="003A0200" w:rsidRPr="003A0200">
        <w:t>(Shih, 2022)</w:t>
      </w:r>
      <w:r w:rsidR="003A0200">
        <w:t>.</w:t>
      </w:r>
    </w:p>
    <w:p w14:paraId="7B25E8ED" w14:textId="3C2B1E90" w:rsidR="009A2F75" w:rsidRPr="009A2F75" w:rsidRDefault="009A2F75" w:rsidP="009A2F75">
      <w:pPr>
        <w:jc w:val="center"/>
        <w:rPr>
          <w:b/>
          <w:bCs/>
        </w:rPr>
      </w:pPr>
      <w:r w:rsidRPr="009A2F75">
        <w:rPr>
          <w:b/>
          <w:bCs/>
        </w:rPr>
        <w:t>Competitive Advantage Analysis</w:t>
      </w:r>
    </w:p>
    <w:p w14:paraId="690BC7A7" w14:textId="4E9F1AD8" w:rsidR="009A2F75" w:rsidRDefault="009A2F75" w:rsidP="009A2F75">
      <w:r w:rsidRPr="009A2F75">
        <w:t xml:space="preserve">Competitive advantage analysis is a </w:t>
      </w:r>
      <w:r w:rsidR="00F91E5F" w:rsidRPr="009A2F75">
        <w:t>key</w:t>
      </w:r>
      <w:r w:rsidRPr="009A2F75">
        <w:t xml:space="preserve"> aspect of strategic management that allows firms to identify their strengths, weaknesses, opportunities, and threats in relation to their competitors. In the case of Toyota, the company's competitive advantages lie in its strong brand reputation, innovative technology, and efficient production processes. By continuously evaluating these factors, Toyota can stay ahead of its competitors and maintain its position as a market leader in the automotive industry. One way in which Toyota has achieved a competitive advantage is through its focus on continuous improvement and innovation, which allows the company to offer high-quality products at competitive prices. Additionally, Toyota's efficient production processes, such as the Toyota Production System, enable the company to minimize waste and maximize productivity, giving it a cost advantage over its competitors. Overall, Toyota's competitive advantage analysis is essential for the company to effectively navigate the competitive landscape and sustain its success in the global market</w:t>
      </w:r>
      <w:r w:rsidR="00546B18">
        <w:t xml:space="preserve"> </w:t>
      </w:r>
      <w:r w:rsidR="00546B18" w:rsidRPr="00546B18">
        <w:t>(Fane et al., 2003)</w:t>
      </w:r>
      <w:r w:rsidR="00546B18">
        <w:t>.</w:t>
      </w:r>
    </w:p>
    <w:p w14:paraId="0D138236" w14:textId="62388A51" w:rsidR="00C77FCB" w:rsidRDefault="00C77FCB">
      <w:pPr>
        <w:rPr>
          <w:rFonts w:asciiTheme="majorHAnsi" w:eastAsiaTheme="majorEastAsia" w:hAnsiTheme="majorHAnsi" w:cstheme="majorBidi"/>
          <w:color w:val="2F5496" w:themeColor="accent1" w:themeShade="BF"/>
          <w:sz w:val="32"/>
          <w:szCs w:val="32"/>
        </w:rPr>
      </w:pPr>
    </w:p>
    <w:p w14:paraId="56D6B547" w14:textId="6B52403F" w:rsidR="009A2F75" w:rsidRDefault="00951841" w:rsidP="00951841">
      <w:pPr>
        <w:pStyle w:val="Heading2"/>
        <w:jc w:val="center"/>
      </w:pPr>
      <w:bookmarkStart w:id="8" w:name="_Toc161241564"/>
      <w:r>
        <w:t>2.</w:t>
      </w:r>
      <w:r w:rsidR="00A32A05">
        <w:t>6</w:t>
      </w:r>
      <w:r w:rsidR="00AE3FA6">
        <w:tab/>
      </w:r>
      <w:r w:rsidR="009A2F75">
        <w:t>Disadvantages of the Current Strategy</w:t>
      </w:r>
      <w:bookmarkEnd w:id="8"/>
    </w:p>
    <w:p w14:paraId="096FCA51" w14:textId="77777777" w:rsidR="00AE3FA6" w:rsidRDefault="00AE3FA6" w:rsidP="008471CE">
      <w:pPr>
        <w:jc w:val="center"/>
        <w:rPr>
          <w:b/>
          <w:bCs/>
        </w:rPr>
      </w:pPr>
    </w:p>
    <w:p w14:paraId="1D4A8E25" w14:textId="4D9287C7" w:rsidR="009A2F75" w:rsidRPr="008471CE" w:rsidRDefault="009A2F75" w:rsidP="008471CE">
      <w:pPr>
        <w:jc w:val="center"/>
        <w:rPr>
          <w:b/>
          <w:bCs/>
        </w:rPr>
      </w:pPr>
      <w:r w:rsidRPr="008471CE">
        <w:rPr>
          <w:b/>
          <w:bCs/>
        </w:rPr>
        <w:t>Performance Gaps</w:t>
      </w:r>
    </w:p>
    <w:p w14:paraId="662D47C6" w14:textId="5A6682C7" w:rsidR="009A2F75" w:rsidRDefault="009A2F75" w:rsidP="009A2F75">
      <w:r w:rsidRPr="009A2F75">
        <w:t>Performance gaps refer to the disparities between desired or expected performance levels and the actual results achieved by an organization. In the case of Toyota, performance gaps can be seen in areas such as product quality, innovation, and market share. For example, Toyota faced a significant performance gap in the area of product quality following a series of recalls in recent years. These recalls not only damaged the company's reputation but also resulted in financial losses</w:t>
      </w:r>
      <w:r w:rsidR="00546B18">
        <w:t xml:space="preserve"> </w:t>
      </w:r>
      <w:r w:rsidR="00546B18" w:rsidRPr="00546B18">
        <w:t>(Press, 2023)</w:t>
      </w:r>
      <w:r w:rsidRPr="009A2F75">
        <w:t xml:space="preserve">. </w:t>
      </w:r>
      <w:r>
        <w:t>To</w:t>
      </w:r>
      <w:r w:rsidRPr="009A2F75">
        <w:t xml:space="preserve"> address performance gaps effectively, </w:t>
      </w:r>
      <w:r>
        <w:t>organizations must identify</w:t>
      </w:r>
      <w:r w:rsidRPr="009A2F75">
        <w:t xml:space="preserve"> the root causes and implement appropriate strategies to close these gaps and improve overall performance. This requires a thorough analysis of internal and external factors that may be contributing to the performance gaps and a comprehensive action plan to rectify the situation.</w:t>
      </w:r>
    </w:p>
    <w:p w14:paraId="3AD75E35" w14:textId="0326D691" w:rsidR="009A2F75" w:rsidRPr="00F91E5F" w:rsidRDefault="009A2F75" w:rsidP="00F91E5F">
      <w:pPr>
        <w:jc w:val="center"/>
        <w:rPr>
          <w:b/>
          <w:bCs/>
        </w:rPr>
      </w:pPr>
      <w:r w:rsidRPr="00F91E5F">
        <w:rPr>
          <w:b/>
          <w:bCs/>
        </w:rPr>
        <w:t>Competitive Threats</w:t>
      </w:r>
    </w:p>
    <w:p w14:paraId="0D8A1F71" w14:textId="594D20D5" w:rsidR="009A2F75" w:rsidRDefault="009A2F75" w:rsidP="009A2F75">
      <w:r w:rsidRPr="009A2F75">
        <w:t>Competitive threats are a significant concern for any company, including Toyota. The automotive industry is highly competitive, with established competitors such as Ford, General Motors, and Volkswagen</w:t>
      </w:r>
      <w:r w:rsidR="00546B18">
        <w:t>.</w:t>
      </w:r>
      <w:r w:rsidRPr="009A2F75">
        <w:t xml:space="preserve"> Additionally, new entrants like Tesla have disrupted the market with innovative technology and a focus on electric vehicles </w:t>
      </w:r>
      <w:r w:rsidR="00546B18" w:rsidRPr="00546B18">
        <w:t>(Takeuchi, 2023)</w:t>
      </w:r>
      <w:r w:rsidR="00546B18">
        <w:t xml:space="preserve">. </w:t>
      </w:r>
      <w:r w:rsidRPr="009A2F75">
        <w:t xml:space="preserve">These competitive threats challenge Toyota to continuously innovate and improve its products </w:t>
      </w:r>
      <w:r w:rsidR="009C4EFD">
        <w:t>to</w:t>
      </w:r>
      <w:r w:rsidRPr="009A2F75">
        <w:t xml:space="preserve"> maintain its market share and competitive edge. Failure to address these threats could result in a loss of market share and profitability for Toyota. The company needs to stay vigilant and responsive to these challenges to sustain its position in the industry</w:t>
      </w:r>
      <w:r w:rsidR="00546B18">
        <w:t xml:space="preserve"> </w:t>
      </w:r>
      <w:r w:rsidR="00546B18" w:rsidRPr="00546B18">
        <w:t>(Kronemeyer et al., 2020)</w:t>
      </w:r>
      <w:r w:rsidR="00546B18">
        <w:t>.</w:t>
      </w:r>
    </w:p>
    <w:p w14:paraId="6B78F94E" w14:textId="4AFAB3CE" w:rsidR="009A2F75" w:rsidRPr="008471CE" w:rsidRDefault="009A2F75" w:rsidP="008471CE">
      <w:pPr>
        <w:jc w:val="center"/>
        <w:rPr>
          <w:b/>
          <w:bCs/>
        </w:rPr>
      </w:pPr>
      <w:r w:rsidRPr="008471CE">
        <w:rPr>
          <w:b/>
          <w:bCs/>
        </w:rPr>
        <w:t>Market Challenges</w:t>
      </w:r>
    </w:p>
    <w:p w14:paraId="763CA4EA" w14:textId="0E4B07C5" w:rsidR="009A2F75" w:rsidRDefault="009A2F75" w:rsidP="009A2F75">
      <w:r w:rsidRPr="009A2F75">
        <w:t xml:space="preserve">Market challenges are a significant factor that Toyota must contend with in its strategic decisions. One of the main challenges facing Toyota is increasing competition in the automotive industry from both traditional automakers and new entrants like Tesla. This heightened competition puts pressure on Toyota to continuously innovate and improve its products to stay competitive. Additionally, shifts in consumer preferences towards electric vehicles and sustainability present another challenge for Toyota. As consumer demand for electric vehicles grows, Toyota must adapt its product offerings and technology to meet these changing preferences </w:t>
      </w:r>
      <w:r w:rsidR="003F7809">
        <w:t>to</w:t>
      </w:r>
      <w:r w:rsidRPr="009A2F75">
        <w:t xml:space="preserve"> remain relevant in the market. Addressing these market challenges will require Toyota to invest in research and development, technology, and strategic partnerships to ensure its long-term success in the automotive industry. (Liu, 2023)</w:t>
      </w:r>
      <w:r w:rsidR="008471CE">
        <w:t>.</w:t>
      </w:r>
    </w:p>
    <w:p w14:paraId="64004035" w14:textId="1522223D" w:rsidR="008471CE" w:rsidRPr="008471CE" w:rsidRDefault="008471CE" w:rsidP="008471CE">
      <w:pPr>
        <w:jc w:val="center"/>
        <w:rPr>
          <w:b/>
          <w:bCs/>
        </w:rPr>
      </w:pPr>
      <w:r w:rsidRPr="008471CE">
        <w:rPr>
          <w:b/>
          <w:bCs/>
        </w:rPr>
        <w:t>Strategic Alignment Issues</w:t>
      </w:r>
    </w:p>
    <w:p w14:paraId="712805AD" w14:textId="03D3AF5C" w:rsidR="00C77FCB" w:rsidRPr="00AE3FA6" w:rsidRDefault="008471CE">
      <w:r w:rsidRPr="008471CE">
        <w:t>Without proper alignment among its various business units and functions, Toyota may struggle to achieve its strategic goals effectively. For example, if the marketing department is not aligned with the product development team, there may be inconsistencies in messaging and product offerings, leading to confusion among customers and decreased competitiveness in the market. Toyota needs to address these alignment issues by fostering open communication, setting clear strategic objectives, and ensuring that all employees understand and are committed to the company's overall direction. By doing so, Toyota can enhance its strategic capability and maintain its position as a global leader in the automotive industry</w:t>
      </w:r>
      <w:r w:rsidR="003F7809" w:rsidRPr="003F7809">
        <w:rPr>
          <w:rFonts w:ascii="Calibri" w:eastAsia="Times New Roman" w:hAnsi="Calibri" w:cs="Calibri"/>
          <w:lang w:eastAsia="en-GB"/>
        </w:rPr>
        <w:t xml:space="preserve"> </w:t>
      </w:r>
      <w:r w:rsidR="003F7809" w:rsidRPr="003F7809">
        <w:t>(Garner, 2015)</w:t>
      </w:r>
      <w:r w:rsidR="003F7809">
        <w:t>.</w:t>
      </w:r>
    </w:p>
    <w:p w14:paraId="50BE3F24" w14:textId="0383F486" w:rsidR="008471CE" w:rsidRDefault="00951841" w:rsidP="00951841">
      <w:pPr>
        <w:pStyle w:val="Heading2"/>
        <w:jc w:val="center"/>
      </w:pPr>
      <w:bookmarkStart w:id="9" w:name="_Toc161241565"/>
      <w:r>
        <w:lastRenderedPageBreak/>
        <w:t>2.</w:t>
      </w:r>
      <w:r w:rsidR="00A32A05">
        <w:t>7</w:t>
      </w:r>
      <w:r w:rsidR="00AE3FA6">
        <w:tab/>
      </w:r>
      <w:r w:rsidR="008471CE">
        <w:t>Successful Strategy Aspects</w:t>
      </w:r>
      <w:bookmarkEnd w:id="9"/>
    </w:p>
    <w:p w14:paraId="3F13CEB1" w14:textId="42622CDA" w:rsidR="008471CE" w:rsidRPr="00A7299C" w:rsidRDefault="008471CE" w:rsidP="00A7299C">
      <w:pPr>
        <w:jc w:val="center"/>
        <w:rPr>
          <w:b/>
          <w:bCs/>
        </w:rPr>
      </w:pPr>
      <w:r w:rsidRPr="00A7299C">
        <w:rPr>
          <w:b/>
          <w:bCs/>
        </w:rPr>
        <w:t>Future Improvement Areas</w:t>
      </w:r>
    </w:p>
    <w:p w14:paraId="06DAD46B" w14:textId="7EF17267" w:rsidR="00C27336" w:rsidRDefault="00C27336" w:rsidP="00C27336">
      <w:r w:rsidRPr="00C27336">
        <w:t xml:space="preserve">Future improvement areas for Toyota include enhancing its sustainability initiatives, particularly in reducing carbon emissions and increasing energy efficiency across its production facilities. Toyota </w:t>
      </w:r>
      <w:r w:rsidR="00F91E5F">
        <w:t>stays</w:t>
      </w:r>
      <w:r w:rsidRPr="00C27336">
        <w:t xml:space="preserve"> </w:t>
      </w:r>
      <w:r w:rsidR="00F91E5F">
        <w:t>focused</w:t>
      </w:r>
      <w:r w:rsidRPr="00C27336">
        <w:t xml:space="preserve"> on developing more innovative technologies to stay ahead of competitors in the fast-paced automotive industry. Additionally, the company could benefit from improving its supply chain management to ensure timely delivery of products and reduce costs</w:t>
      </w:r>
      <w:r w:rsidR="00DA380E" w:rsidRPr="00DA380E">
        <w:rPr>
          <w:rFonts w:ascii="Calibri" w:eastAsia="Times New Roman" w:hAnsi="Calibri" w:cs="Calibri"/>
          <w:lang w:eastAsia="en-GB"/>
        </w:rPr>
        <w:t xml:space="preserve"> </w:t>
      </w:r>
      <w:r w:rsidR="00DA380E" w:rsidRPr="00DA380E">
        <w:t>(Iyer, Seshadri and Vasher, 2009)</w:t>
      </w:r>
      <w:r w:rsidRPr="00C27336">
        <w:t>. By addressing these areas, Toyota can further strengthen its strategic capability and maintain its position as a global leader in the automotive market.</w:t>
      </w:r>
    </w:p>
    <w:p w14:paraId="40218B01" w14:textId="063D7F48" w:rsidR="00C27336" w:rsidRPr="00A7299C" w:rsidRDefault="00C27336" w:rsidP="00A7299C">
      <w:pPr>
        <w:jc w:val="center"/>
        <w:rPr>
          <w:b/>
          <w:bCs/>
        </w:rPr>
      </w:pPr>
      <w:r w:rsidRPr="00A7299C">
        <w:rPr>
          <w:b/>
          <w:bCs/>
        </w:rPr>
        <w:t>Strategic Options for Toyota</w:t>
      </w:r>
    </w:p>
    <w:p w14:paraId="756ED78C" w14:textId="397949A6" w:rsidR="00C27336" w:rsidRPr="00C27336" w:rsidRDefault="00C27336" w:rsidP="00C27336">
      <w:r w:rsidRPr="00C27336">
        <w:t xml:space="preserve">Diversification and globalization are two strategic options that Toyota can consider </w:t>
      </w:r>
      <w:r w:rsidR="003A7087">
        <w:t>strengthening</w:t>
      </w:r>
      <w:r w:rsidRPr="00C27336">
        <w:t xml:space="preserve"> its competitive position in the automotive industry. By diversifying its product offerings to include electric and autonomous vehicles, Toyota can tap into new markets and cater to changing consumer preferences. Additionally, expanding its presence in emerging markets can help Toyota reduce its dependence on mature markets like North America and Europe. These strategic options can help Toyota maintain its position as a global automotive leader and continue to innovate in an ever-evolving industry </w:t>
      </w:r>
      <w:r w:rsidR="003A7087" w:rsidRPr="003A7087">
        <w:t>(Coup, 1999)</w:t>
      </w:r>
      <w:r w:rsidR="003A7087">
        <w:t>.</w:t>
      </w:r>
    </w:p>
    <w:p w14:paraId="7C196619" w14:textId="39DC16F9" w:rsidR="00C27336" w:rsidRPr="00A7299C" w:rsidRDefault="00C27336" w:rsidP="00A7299C">
      <w:pPr>
        <w:jc w:val="center"/>
        <w:rPr>
          <w:b/>
          <w:bCs/>
        </w:rPr>
      </w:pPr>
      <w:r w:rsidRPr="00A7299C">
        <w:rPr>
          <w:b/>
          <w:bCs/>
        </w:rPr>
        <w:t>Strategic Fits vs. Drift</w:t>
      </w:r>
    </w:p>
    <w:p w14:paraId="0493F484" w14:textId="41005F8A" w:rsidR="00C27336" w:rsidRDefault="00C27336" w:rsidP="00C27336">
      <w:r w:rsidRPr="00C27336">
        <w:t>Achieving strategic fit is crucial for organizations to align their resources and capabilities with their overall strategy. In the case of Toyota, the company has successfully achieved strategic fit by leveraging its core competencies in manufacturing efficiency and continuous improvement to support its differentiation strategy in the automotive industry. By focusing on quality, innovation, and customer satisfaction, Toyota has been able to create a sustainable competitive advantage that sets it apart from its competitors. This strategic fit is evident in Toyota's streamlined production processes, just-in-time inventory management, and emphasis on lean manufacturing principles, which enable the company to deliver high-quality vehicles at competitive prices. Overall, achieving strategic fit has allowed Toyota to effectively execute its strategy and maintain its position as a leader in the global automotive market</w:t>
      </w:r>
      <w:r w:rsidR="003A7087">
        <w:t xml:space="preserve"> </w:t>
      </w:r>
      <w:r w:rsidR="003A7087" w:rsidRPr="003A7087">
        <w:t>(Chiarini and Vagnoni, 2014)</w:t>
      </w:r>
      <w:r w:rsidR="003A7087">
        <w:t>.</w:t>
      </w:r>
    </w:p>
    <w:p w14:paraId="17FA28ED" w14:textId="38520083" w:rsidR="00C27336" w:rsidRDefault="00C27336" w:rsidP="00C27336">
      <w:r w:rsidRPr="00C27336">
        <w:t>Avoiding strategic drift is vital for the long-term success of any organization. Strategic drift occurs when a company's strategies no longer align with its external environment, leading to a decline in performance and competitiveness. To prevent strategic drift, organizations must regularly review and adjust their strategies in response to changes in the market, technology, and consumer preferences. As noted, Toyota has been successful in avoiding strategic drift by fostering a culture of continuous improvement and innovation. By constantly monitoring industry trends and customer feedback, Toyota has been able to adapt its strategies proactively and stay ahead of the competition. This strategic agility has been a key factor in Toyota's sustained success over the years</w:t>
      </w:r>
      <w:r w:rsidR="003A7087">
        <w:t xml:space="preserve"> </w:t>
      </w:r>
      <w:r w:rsidR="003A7087" w:rsidRPr="003A7087">
        <w:t>(Lee et al., 2022)</w:t>
      </w:r>
      <w:r w:rsidR="003A7087">
        <w:t xml:space="preserve">. </w:t>
      </w:r>
    </w:p>
    <w:p w14:paraId="2219D001" w14:textId="783E00FA" w:rsidR="00C27336" w:rsidRPr="00C27336" w:rsidRDefault="00C27336" w:rsidP="00A7299C">
      <w:pPr>
        <w:jc w:val="center"/>
        <w:rPr>
          <w:b/>
          <w:bCs/>
        </w:rPr>
      </w:pPr>
      <w:r w:rsidRPr="00A7299C">
        <w:rPr>
          <w:b/>
          <w:bCs/>
        </w:rPr>
        <w:t>Recommendations for Future Strategies</w:t>
      </w:r>
    </w:p>
    <w:p w14:paraId="250C1D59" w14:textId="2A1B34E9" w:rsidR="00C27336" w:rsidRDefault="00C27336" w:rsidP="00C27336">
      <w:r w:rsidRPr="00C27336">
        <w:t xml:space="preserve">Market expansion strategies are important for companies looking to grow their business and reach new customers. One such strategy is market penetration, where the company focuses on selling existing products in current markets to increase market share </w:t>
      </w:r>
      <w:r w:rsidR="000B5C65" w:rsidRPr="000B5C65">
        <w:t>(Manna et al., 2011)</w:t>
      </w:r>
      <w:r w:rsidR="000B5C65">
        <w:t xml:space="preserve">. </w:t>
      </w:r>
      <w:r w:rsidRPr="00C27336">
        <w:t xml:space="preserve">Another strategy is market development, which involves entering new markets with existing products. This can be done through geographical expansion or targeting new customer segments </w:t>
      </w:r>
      <w:r w:rsidR="000B5C65" w:rsidRPr="000B5C65">
        <w:t>(Ford and Sobek, 2005)</w:t>
      </w:r>
      <w:r w:rsidR="000B5C65">
        <w:t xml:space="preserve">. </w:t>
      </w:r>
      <w:r w:rsidRPr="00C27336">
        <w:lastRenderedPageBreak/>
        <w:t>Additionally, product development involves creating new products for existing markets, while diversification involves entering completely new markets with new products. These strategies help companies like Toyota stay competitive and adaptable in an ever-changing business environment</w:t>
      </w:r>
      <w:r>
        <w:t>.</w:t>
      </w:r>
    </w:p>
    <w:p w14:paraId="582E9AB8" w14:textId="0BF3290A" w:rsidR="00C27336" w:rsidRPr="000B5C65" w:rsidRDefault="00C27336" w:rsidP="000B5C65">
      <w:pPr>
        <w:jc w:val="center"/>
        <w:rPr>
          <w:b/>
          <w:bCs/>
        </w:rPr>
      </w:pPr>
      <w:r w:rsidRPr="000B5C65">
        <w:rPr>
          <w:b/>
          <w:bCs/>
        </w:rPr>
        <w:t>Sustainability Initiatives</w:t>
      </w:r>
    </w:p>
    <w:p w14:paraId="3C8143F7" w14:textId="0DE34C55" w:rsidR="00C27336" w:rsidRDefault="00C27336" w:rsidP="00C27336">
      <w:r>
        <w:t xml:space="preserve">This </w:t>
      </w:r>
      <w:r w:rsidR="00067E15">
        <w:t>is</w:t>
      </w:r>
      <w:r w:rsidRPr="00C27336">
        <w:t xml:space="preserve"> necessary for companies like Toyota to maintain their competitive advantage and meet the demands of environmentally conscious consumers. Toyota has been at the forefront of sustainability efforts in the automotive industry, with a strong commitment to reducing its environmental impact through initiatives such as increasing the use of renewable energy, reducing waste and water consumption, and promoting recycling throughout its operations</w:t>
      </w:r>
      <w:r w:rsidR="002620F6" w:rsidRPr="002620F6">
        <w:rPr>
          <w:rFonts w:ascii="Calibri" w:eastAsia="Times New Roman" w:hAnsi="Calibri" w:cs="Calibri"/>
          <w:lang w:eastAsia="en-GB"/>
        </w:rPr>
        <w:t xml:space="preserve"> </w:t>
      </w:r>
      <w:r w:rsidR="002620F6" w:rsidRPr="002620F6">
        <w:t>(Wang, 2021)</w:t>
      </w:r>
      <w:r w:rsidRPr="00C27336">
        <w:t xml:space="preserve">. By implementing sustainability initiatives, Toyota not only demonstrates its corporate social responsibility but also creates long-term value for its stakeholders by ensuring the sustainability of its business </w:t>
      </w:r>
      <w:r w:rsidR="00AE3FA6" w:rsidRPr="00C27336">
        <w:t>practices.</w:t>
      </w:r>
    </w:p>
    <w:p w14:paraId="78DE56C6" w14:textId="432D85BD" w:rsidR="00C27336" w:rsidRPr="00067E15" w:rsidRDefault="00067E15" w:rsidP="00A7299C">
      <w:pPr>
        <w:jc w:val="center"/>
        <w:rPr>
          <w:b/>
          <w:bCs/>
        </w:rPr>
      </w:pPr>
      <w:r w:rsidRPr="00067E15">
        <w:rPr>
          <w:b/>
          <w:bCs/>
        </w:rPr>
        <w:t>Strategic</w:t>
      </w:r>
      <w:r w:rsidR="00C27336" w:rsidRPr="00067E15">
        <w:rPr>
          <w:b/>
          <w:bCs/>
        </w:rPr>
        <w:t xml:space="preserve"> Partnerships</w:t>
      </w:r>
    </w:p>
    <w:p w14:paraId="6DFAFC38" w14:textId="56F617D9" w:rsidR="00A7299C" w:rsidRDefault="00A7299C" w:rsidP="00C27336">
      <w:r>
        <w:t>P</w:t>
      </w:r>
      <w:r w:rsidRPr="00A7299C">
        <w:t>artnerships are</w:t>
      </w:r>
      <w:r>
        <w:t xml:space="preserve"> very important</w:t>
      </w:r>
      <w:r w:rsidRPr="00A7299C">
        <w:t xml:space="preserve"> for a company's success, as they can provide access to new technologies, markets, and resources that may not be available internally. Toyota, for example, has formed strategic partnerships with various companies in the automotive industry to advance its innovation and global reach. By collaborating with partners such as Subaru and Mazda, Toyota has been able to share technology and knowledge, leading to the development of new products and services that benefit both parties. These partnerships have also allowed Toyota to expand its presence in key markets around the world, enhancing its competitive advantage in the industry</w:t>
      </w:r>
      <w:r w:rsidR="002620F6">
        <w:t xml:space="preserve"> </w:t>
      </w:r>
      <w:r w:rsidR="002620F6" w:rsidRPr="002620F6">
        <w:t>(Kodama, 2002)</w:t>
      </w:r>
      <w:r w:rsidR="002620F6">
        <w:t>.</w:t>
      </w:r>
    </w:p>
    <w:p w14:paraId="5ACC1517" w14:textId="77777777" w:rsidR="00C77FCB" w:rsidRDefault="00C77FCB">
      <w:pPr>
        <w:rPr>
          <w:rFonts w:asciiTheme="majorHAnsi" w:eastAsiaTheme="majorEastAsia" w:hAnsiTheme="majorHAnsi" w:cstheme="majorBidi"/>
          <w:color w:val="2F5496" w:themeColor="accent1" w:themeShade="BF"/>
          <w:sz w:val="32"/>
          <w:szCs w:val="32"/>
        </w:rPr>
      </w:pPr>
      <w:r>
        <w:br w:type="page"/>
      </w:r>
    </w:p>
    <w:p w14:paraId="20311D1B" w14:textId="0256B466" w:rsidR="00C27336" w:rsidRDefault="00951841" w:rsidP="00A7299C">
      <w:pPr>
        <w:pStyle w:val="Heading1"/>
        <w:jc w:val="center"/>
      </w:pPr>
      <w:bookmarkStart w:id="10" w:name="_Toc161241566"/>
      <w:r>
        <w:lastRenderedPageBreak/>
        <w:t>3.0</w:t>
      </w:r>
      <w:r w:rsidR="00AE3FA6">
        <w:tab/>
      </w:r>
      <w:r w:rsidR="00A7299C">
        <w:t>Conclusion</w:t>
      </w:r>
      <w:bookmarkEnd w:id="10"/>
    </w:p>
    <w:p w14:paraId="747A98F9" w14:textId="77777777" w:rsidR="00A7299C" w:rsidRPr="00A7299C" w:rsidRDefault="00A7299C" w:rsidP="00A7299C"/>
    <w:p w14:paraId="40828A51" w14:textId="51425E24" w:rsidR="00814791" w:rsidRDefault="00814791" w:rsidP="00A7299C">
      <w:r w:rsidRPr="007E6342">
        <w:t>Market forces play a significant role in shaping the strategic capabilities of companies like Toyota. The competitive landscape, customer preferences, and economic conditions all contribute to the challenges and opportunities faced by the organization. For example, changes in consumer demand for more fuel-efficient vehicles have driven Toyota to invest in hybrid and electric vehicle technologies to stay competitive in the market. Additionally, fluctuations in the global economy can impact Toyota's supply chain and production costs, influencing decisions regarding location strategy and operational efficiency</w:t>
      </w:r>
      <w:r w:rsidR="009C4EFD">
        <w:t>.</w:t>
      </w:r>
      <w:r w:rsidRPr="007E6342">
        <w:t xml:space="preserve"> </w:t>
      </w:r>
    </w:p>
    <w:p w14:paraId="376AC34A" w14:textId="00DCD47C" w:rsidR="00A7299C" w:rsidRDefault="00A7299C" w:rsidP="00A7299C">
      <w:r w:rsidRPr="00A7299C">
        <w:t xml:space="preserve">A recap of the key findings in the strategic capability report on Toyota reveals that the company's emphasis on innovation, quality, and lean production has been integral to its success in the automotive industry. Toyota's commitment to continuous improvement, reflected in its Toyota Production System, has enabled the company to achieve high levels of efficiency and effectiveness in its operations. Additionally, a focus on customer satisfaction and </w:t>
      </w:r>
      <w:r w:rsidR="00B55419">
        <w:t xml:space="preserve">a </w:t>
      </w:r>
      <w:r w:rsidRPr="00A7299C">
        <w:t>strong brand reputation have helped Toyota maintain a competitive edge in the global market. Overall, the key findings highlight the importance of strategic capability in driving Toyota's long-term growth and sustainability</w:t>
      </w:r>
      <w:r w:rsidR="00B55419">
        <w:t>.</w:t>
      </w:r>
    </w:p>
    <w:p w14:paraId="6BB918B1" w14:textId="154134A4" w:rsidR="00A7299C" w:rsidRDefault="00A7299C" w:rsidP="00A7299C">
      <w:r w:rsidRPr="00A7299C">
        <w:t xml:space="preserve">In conclusion, Toyota's strategic capabilities have played a crucial role in its success as a leading automotive company. Through continuous investment in innovation, technology, and employee development, Toyota has been able to maintain its competitive edge in the market. Moving forward, it is recommended that Toyota </w:t>
      </w:r>
      <w:r w:rsidR="00B55419">
        <w:t>continue</w:t>
      </w:r>
      <w:r w:rsidRPr="00A7299C">
        <w:t xml:space="preserve"> to prioritize research and development </w:t>
      </w:r>
      <w:r w:rsidR="009C4EFD">
        <w:t>to</w:t>
      </w:r>
      <w:r w:rsidRPr="00A7299C">
        <w:t xml:space="preserve"> stay ahead of the competition.</w:t>
      </w:r>
    </w:p>
    <w:p w14:paraId="4446E60E" w14:textId="77777777" w:rsidR="00C77FCB" w:rsidRDefault="00C77FCB" w:rsidP="00A7299C"/>
    <w:p w14:paraId="3C7B52F1" w14:textId="77777777" w:rsidR="00C77FCB" w:rsidRDefault="00C77FCB" w:rsidP="00A7299C"/>
    <w:p w14:paraId="0001DAEE" w14:textId="77777777" w:rsidR="00C77FCB" w:rsidRDefault="00C77FCB">
      <w:pPr>
        <w:rPr>
          <w:rFonts w:asciiTheme="majorHAnsi" w:eastAsia="Times New Roman" w:hAnsiTheme="majorHAnsi" w:cstheme="majorBidi"/>
          <w:color w:val="2F5496" w:themeColor="accent1" w:themeShade="BF"/>
          <w:sz w:val="32"/>
          <w:szCs w:val="32"/>
          <w:lang w:eastAsia="en-GB"/>
        </w:rPr>
      </w:pPr>
      <w:r>
        <w:rPr>
          <w:rFonts w:eastAsia="Times New Roman"/>
          <w:lang w:eastAsia="en-GB"/>
        </w:rPr>
        <w:br w:type="page"/>
      </w:r>
    </w:p>
    <w:p w14:paraId="2F30FE37" w14:textId="5B7EB2F0" w:rsidR="00C77FCB" w:rsidRDefault="00951841" w:rsidP="00C77FCB">
      <w:pPr>
        <w:pStyle w:val="Heading1"/>
        <w:jc w:val="center"/>
        <w:rPr>
          <w:rFonts w:eastAsia="Times New Roman"/>
          <w:lang w:eastAsia="en-GB"/>
        </w:rPr>
      </w:pPr>
      <w:bookmarkStart w:id="11" w:name="_Toc161241567"/>
      <w:r>
        <w:rPr>
          <w:rFonts w:eastAsia="Times New Roman"/>
          <w:lang w:eastAsia="en-GB"/>
        </w:rPr>
        <w:lastRenderedPageBreak/>
        <w:t>4.0</w:t>
      </w:r>
      <w:r w:rsidR="00AE3FA6">
        <w:rPr>
          <w:rFonts w:eastAsia="Times New Roman"/>
          <w:lang w:eastAsia="en-GB"/>
        </w:rPr>
        <w:t xml:space="preserve"> </w:t>
      </w:r>
      <w:r w:rsidR="00AE3FA6">
        <w:rPr>
          <w:rFonts w:eastAsia="Times New Roman"/>
          <w:lang w:eastAsia="en-GB"/>
        </w:rPr>
        <w:tab/>
      </w:r>
      <w:r w:rsidR="00C77FCB" w:rsidRPr="00C77FCB">
        <w:rPr>
          <w:rFonts w:eastAsia="Times New Roman"/>
          <w:lang w:eastAsia="en-GB"/>
        </w:rPr>
        <w:t>Reference list</w:t>
      </w:r>
      <w:bookmarkEnd w:id="11"/>
    </w:p>
    <w:p w14:paraId="42B38D92" w14:textId="77777777" w:rsidR="00C77FCB" w:rsidRPr="00C77FCB" w:rsidRDefault="00C77FCB" w:rsidP="00C77FCB">
      <w:pPr>
        <w:rPr>
          <w:lang w:eastAsia="en-GB"/>
        </w:rPr>
      </w:pPr>
    </w:p>
    <w:p w14:paraId="26437FE0"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Alghamdi, OmarA. and Agag, G. (2024). Competitive advantage: A longitudinal analysis of the roles of data-driven innovation capabilities, marketing agility, and market turbulence. </w:t>
      </w:r>
      <w:r w:rsidRPr="00C77FCB">
        <w:rPr>
          <w:rFonts w:ascii="Calibri" w:eastAsia="Times New Roman" w:hAnsi="Calibri" w:cs="Calibri"/>
          <w:i/>
          <w:iCs/>
          <w:lang w:eastAsia="en-GB"/>
        </w:rPr>
        <w:t>Journal of Retailing and Consumer Services</w:t>
      </w:r>
      <w:r w:rsidRPr="00C77FCB">
        <w:rPr>
          <w:rFonts w:ascii="Calibri" w:eastAsia="Times New Roman" w:hAnsi="Calibri" w:cs="Calibri"/>
          <w:lang w:eastAsia="en-GB"/>
        </w:rPr>
        <w:t>, [online] 76, p.103547. Available at: https://www.sciencedirect.com/science/article/pii/S0969698923002989 [Accessed 1 Mar. 2024].</w:t>
      </w:r>
    </w:p>
    <w:p w14:paraId="068D6C47" w14:textId="77777777" w:rsidR="00B55419" w:rsidRDefault="00B55419" w:rsidP="00C77FCB">
      <w:pPr>
        <w:spacing w:after="240" w:line="360" w:lineRule="auto"/>
        <w:rPr>
          <w:rFonts w:ascii="Calibri" w:eastAsia="Times New Roman" w:hAnsi="Calibri" w:cs="Calibri"/>
          <w:lang w:eastAsia="en-GB"/>
        </w:rPr>
      </w:pPr>
      <w:proofErr w:type="spellStart"/>
      <w:r w:rsidRPr="00C17AB3">
        <w:rPr>
          <w:rFonts w:ascii="Calibri" w:eastAsia="Times New Roman" w:hAnsi="Calibri" w:cs="Calibri"/>
          <w:lang w:eastAsia="en-GB"/>
        </w:rPr>
        <w:t>Atrilla</w:t>
      </w:r>
      <w:proofErr w:type="spellEnd"/>
      <w:r w:rsidRPr="00C17AB3">
        <w:rPr>
          <w:rFonts w:ascii="Calibri" w:eastAsia="Times New Roman" w:hAnsi="Calibri" w:cs="Calibri"/>
          <w:lang w:eastAsia="en-GB"/>
        </w:rPr>
        <w:t xml:space="preserve">, P., </w:t>
      </w:r>
      <w:proofErr w:type="spellStart"/>
      <w:r w:rsidRPr="00C17AB3">
        <w:rPr>
          <w:rFonts w:ascii="Calibri" w:eastAsia="Times New Roman" w:hAnsi="Calibri" w:cs="Calibri"/>
          <w:lang w:eastAsia="en-GB"/>
        </w:rPr>
        <w:t>Omranb</w:t>
      </w:r>
      <w:proofErr w:type="spellEnd"/>
      <w:r w:rsidRPr="00C17AB3">
        <w:rPr>
          <w:rFonts w:ascii="Calibri" w:eastAsia="Times New Roman" w:hAnsi="Calibri" w:cs="Calibri"/>
          <w:lang w:eastAsia="en-GB"/>
        </w:rPr>
        <w:t xml:space="preserve">, M. and </w:t>
      </w:r>
      <w:proofErr w:type="spellStart"/>
      <w:r w:rsidRPr="00C17AB3">
        <w:rPr>
          <w:rFonts w:ascii="Calibri" w:eastAsia="Times New Roman" w:hAnsi="Calibri" w:cs="Calibri"/>
          <w:lang w:eastAsia="en-GB"/>
        </w:rPr>
        <w:t>Pointonc</w:t>
      </w:r>
      <w:proofErr w:type="spellEnd"/>
      <w:r w:rsidRPr="00C17AB3">
        <w:rPr>
          <w:rFonts w:ascii="Calibri" w:eastAsia="Times New Roman" w:hAnsi="Calibri" w:cs="Calibri"/>
          <w:lang w:eastAsia="en-GB"/>
        </w:rPr>
        <w:t>, J. (2005). COMPANY MISSION STATEMENTS AND FINANCIAL PERFORMANCE. </w:t>
      </w:r>
      <w:r w:rsidRPr="00C17AB3">
        <w:rPr>
          <w:rFonts w:ascii="Calibri" w:eastAsia="Times New Roman" w:hAnsi="Calibri" w:cs="Calibri"/>
          <w:i/>
          <w:iCs/>
          <w:lang w:eastAsia="en-GB"/>
        </w:rPr>
        <w:t>Corporate Ownership and Control</w:t>
      </w:r>
      <w:r w:rsidRPr="00C17AB3">
        <w:rPr>
          <w:rFonts w:ascii="Calibri" w:eastAsia="Times New Roman" w:hAnsi="Calibri" w:cs="Calibri"/>
          <w:lang w:eastAsia="en-GB"/>
        </w:rPr>
        <w:t xml:space="preserve">, 2(3). </w:t>
      </w:r>
      <w:proofErr w:type="spellStart"/>
      <w:r w:rsidRPr="00C17AB3">
        <w:rPr>
          <w:rFonts w:ascii="Calibri" w:eastAsia="Times New Roman" w:hAnsi="Calibri" w:cs="Calibri"/>
          <w:lang w:eastAsia="en-GB"/>
        </w:rPr>
        <w:t>doi:https</w:t>
      </w:r>
      <w:proofErr w:type="spellEnd"/>
      <w:r w:rsidRPr="00C17AB3">
        <w:rPr>
          <w:rFonts w:ascii="Calibri" w:eastAsia="Times New Roman" w:hAnsi="Calibri" w:cs="Calibri"/>
          <w:lang w:eastAsia="en-GB"/>
        </w:rPr>
        <w:t>://doi.org/10.22495/cocv2i3p3</w:t>
      </w:r>
      <w:r>
        <w:rPr>
          <w:rFonts w:ascii="Calibri" w:eastAsia="Times New Roman" w:hAnsi="Calibri" w:cs="Calibri"/>
          <w:lang w:eastAsia="en-GB"/>
        </w:rPr>
        <w:t>.</w:t>
      </w:r>
    </w:p>
    <w:p w14:paraId="7A7F8BBC"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Bhandari, K.R., Ranta, M. and Salo, J. (2022). The resource‐based view, stakeholder capitalism, ESG, and sustainable competitive advantage: The firm’s embeddedness into ecology, society, and governance. </w:t>
      </w:r>
      <w:r w:rsidRPr="00C77FCB">
        <w:rPr>
          <w:rFonts w:ascii="Calibri" w:eastAsia="Times New Roman" w:hAnsi="Calibri" w:cs="Calibri"/>
          <w:i/>
          <w:iCs/>
          <w:lang w:eastAsia="en-GB"/>
        </w:rPr>
        <w:t>Business Strategy and the Environment</w:t>
      </w:r>
      <w:r w:rsidRPr="00C77FCB">
        <w:rPr>
          <w:rFonts w:ascii="Calibri" w:eastAsia="Times New Roman" w:hAnsi="Calibri" w:cs="Calibri"/>
          <w:lang w:eastAsia="en-GB"/>
        </w:rPr>
        <w:t xml:space="preserve">, 31(4).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://doi.org/10.1002/bse.2967.</w:t>
      </w:r>
    </w:p>
    <w:p w14:paraId="0A20ACBD"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Bilich, F. and Neto, A.A. (2021). Strategic total quality management. </w:t>
      </w:r>
      <w:r w:rsidRPr="00C77FCB">
        <w:rPr>
          <w:rFonts w:ascii="Calibri" w:eastAsia="Times New Roman" w:hAnsi="Calibri" w:cs="Calibri"/>
          <w:i/>
          <w:iCs/>
          <w:lang w:eastAsia="en-GB"/>
        </w:rPr>
        <w:t>Total Quality Management</w:t>
      </w:r>
      <w:r w:rsidRPr="00C77FCB">
        <w:rPr>
          <w:rFonts w:ascii="Calibri" w:eastAsia="Times New Roman" w:hAnsi="Calibri" w:cs="Calibri"/>
          <w:lang w:eastAsia="en-GB"/>
        </w:rPr>
        <w:t xml:space="preserve">, 8(2-3), pp.88–89.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://doi.org/10.1080/0954412979767.</w:t>
      </w:r>
    </w:p>
    <w:p w14:paraId="228F8D14"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Brown, A.M. (2017). </w:t>
      </w:r>
      <w:r w:rsidRPr="00C77FCB">
        <w:rPr>
          <w:rFonts w:ascii="Calibri" w:eastAsia="Times New Roman" w:hAnsi="Calibri" w:cs="Calibri"/>
          <w:i/>
          <w:iCs/>
          <w:lang w:eastAsia="en-GB"/>
        </w:rPr>
        <w:t>Emergent strategy: shaping change, changing worlds</w:t>
      </w:r>
      <w:r w:rsidRPr="00C77FCB">
        <w:rPr>
          <w:rFonts w:ascii="Calibri" w:eastAsia="Times New Roman" w:hAnsi="Calibri" w:cs="Calibri"/>
          <w:lang w:eastAsia="en-GB"/>
        </w:rPr>
        <w:t>. AK Press.</w:t>
      </w:r>
    </w:p>
    <w:p w14:paraId="7823F781"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Campbell, A. (2014). </w:t>
      </w:r>
      <w:r w:rsidRPr="00C77FCB">
        <w:rPr>
          <w:rFonts w:ascii="Calibri" w:eastAsia="Times New Roman" w:hAnsi="Calibri" w:cs="Calibri"/>
          <w:i/>
          <w:iCs/>
          <w:lang w:eastAsia="en-GB"/>
        </w:rPr>
        <w:t>Strategy for the corporate level : where to invest, what to cut back and how to grow organisations with multiple divisions</w:t>
      </w:r>
      <w:r w:rsidRPr="00C77FCB">
        <w:rPr>
          <w:rFonts w:ascii="Calibri" w:eastAsia="Times New Roman" w:hAnsi="Calibri" w:cs="Calibri"/>
          <w:lang w:eastAsia="en-GB"/>
        </w:rPr>
        <w:t>. San Francisco, Ca: Jossey-Bass.</w:t>
      </w:r>
    </w:p>
    <w:p w14:paraId="16DAF565" w14:textId="77777777" w:rsidR="00B55419" w:rsidRDefault="00B55419" w:rsidP="00C77FCB">
      <w:pPr>
        <w:spacing w:after="240" w:line="360" w:lineRule="auto"/>
        <w:rPr>
          <w:rFonts w:ascii="Calibri" w:eastAsia="Times New Roman" w:hAnsi="Calibri" w:cs="Calibri"/>
          <w:lang w:eastAsia="en-GB"/>
        </w:rPr>
      </w:pPr>
      <w:r w:rsidRPr="00617C03">
        <w:rPr>
          <w:rFonts w:ascii="Calibri" w:eastAsia="Times New Roman" w:hAnsi="Calibri" w:cs="Calibri"/>
          <w:lang w:eastAsia="en-GB"/>
        </w:rPr>
        <w:t>Carlier, M. (2023). </w:t>
      </w:r>
      <w:r w:rsidRPr="00617C03">
        <w:rPr>
          <w:rFonts w:ascii="Calibri" w:eastAsia="Times New Roman" w:hAnsi="Calibri" w:cs="Calibri"/>
          <w:i/>
          <w:iCs/>
          <w:lang w:eastAsia="en-GB"/>
        </w:rPr>
        <w:t>Toyota total net revenue 2022</w:t>
      </w:r>
      <w:r w:rsidRPr="00617C03">
        <w:rPr>
          <w:rFonts w:ascii="Calibri" w:eastAsia="Times New Roman" w:hAnsi="Calibri" w:cs="Calibri"/>
          <w:lang w:eastAsia="en-GB"/>
        </w:rPr>
        <w:t>. [online] Statista. Available at: https://www.statista.com/statistics/262752/total-net-revenues-of-toyota/#:~:text=Toyota [Accessed 13 Mar. 2024].</w:t>
      </w:r>
    </w:p>
    <w:p w14:paraId="6904DBF6"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Carton, R. and Hofer, C. (2006). </w:t>
      </w:r>
      <w:r w:rsidRPr="00C77FCB">
        <w:rPr>
          <w:rFonts w:ascii="Calibri" w:eastAsia="Times New Roman" w:hAnsi="Calibri" w:cs="Calibri"/>
          <w:i/>
          <w:iCs/>
          <w:lang w:eastAsia="en-GB"/>
        </w:rPr>
        <w:t>Measuring Organizational Performance</w:t>
      </w:r>
      <w:r w:rsidRPr="00C77FCB">
        <w:rPr>
          <w:rFonts w:ascii="Calibri" w:eastAsia="Times New Roman" w:hAnsi="Calibri" w:cs="Calibri"/>
          <w:lang w:eastAsia="en-GB"/>
        </w:rPr>
        <w:t>. Edward Elgar Publishing.</w:t>
      </w:r>
    </w:p>
    <w:p w14:paraId="7A775603"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Chiarini, A. and Vagnoni, E. (2014). World-class manufacturing by Fiat. Comparison with Toyota Production System from a Strategic Management, Management Accounting, Operations Management and Performance Measurement dimension. </w:t>
      </w:r>
      <w:r w:rsidRPr="00C77FCB">
        <w:rPr>
          <w:rFonts w:ascii="Calibri" w:eastAsia="Times New Roman" w:hAnsi="Calibri" w:cs="Calibri"/>
          <w:i/>
          <w:iCs/>
          <w:lang w:eastAsia="en-GB"/>
        </w:rPr>
        <w:t>International Journal of Production Research</w:t>
      </w:r>
      <w:r w:rsidRPr="00C77FCB">
        <w:rPr>
          <w:rFonts w:ascii="Calibri" w:eastAsia="Times New Roman" w:hAnsi="Calibri" w:cs="Calibri"/>
          <w:lang w:eastAsia="en-GB"/>
        </w:rPr>
        <w:t xml:space="preserve">, 53(2), pp.590–606.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://doi.org/10.1080/00207543.2014.958596.</w:t>
      </w:r>
    </w:p>
    <w:p w14:paraId="4F2BB5A3" w14:textId="77777777" w:rsidR="00B55419"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Coup, D. (1999). Toyota’s approach to alternative technology vehicles: The power of diversification strategies. </w:t>
      </w:r>
      <w:r w:rsidRPr="00C77FCB">
        <w:rPr>
          <w:rFonts w:ascii="Calibri" w:eastAsia="Times New Roman" w:hAnsi="Calibri" w:cs="Calibri"/>
          <w:i/>
          <w:iCs/>
          <w:lang w:eastAsia="en-GB"/>
        </w:rPr>
        <w:t>Corporate Environmental Strategy</w:t>
      </w:r>
      <w:r w:rsidRPr="00C77FCB">
        <w:rPr>
          <w:rFonts w:ascii="Calibri" w:eastAsia="Times New Roman" w:hAnsi="Calibri" w:cs="Calibri"/>
          <w:lang w:eastAsia="en-GB"/>
        </w:rPr>
        <w:t xml:space="preserve">, 6(3), pp.258–269.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://doi.org/10.1016/s1066-7938(00)80040-8.</w:t>
      </w:r>
    </w:p>
    <w:p w14:paraId="13973C28" w14:textId="553B7813" w:rsidR="00B55419" w:rsidRPr="00C77FCB" w:rsidRDefault="00B55419" w:rsidP="00C77FCB">
      <w:pPr>
        <w:spacing w:after="240" w:line="360" w:lineRule="auto"/>
        <w:rPr>
          <w:rFonts w:ascii="Calibri" w:eastAsia="Times New Roman" w:hAnsi="Calibri" w:cs="Calibri"/>
          <w:lang w:eastAsia="en-GB"/>
        </w:rPr>
      </w:pPr>
      <w:r w:rsidRPr="00B55419">
        <w:rPr>
          <w:rFonts w:ascii="Calibri" w:eastAsia="Times New Roman" w:hAnsi="Calibri" w:cs="Calibri"/>
          <w:lang w:eastAsia="en-GB"/>
        </w:rPr>
        <w:lastRenderedPageBreak/>
        <w:t>CORPORATION, T.M. (2023). </w:t>
      </w:r>
      <w:r w:rsidRPr="00B55419">
        <w:rPr>
          <w:rFonts w:ascii="Calibri" w:eastAsia="Times New Roman" w:hAnsi="Calibri" w:cs="Calibri"/>
          <w:i/>
          <w:iCs/>
          <w:lang w:eastAsia="en-GB"/>
        </w:rPr>
        <w:t>Toyota Unveils New Technology That Will Change the Future of Cars | Corporate | Global Newsroom</w:t>
      </w:r>
      <w:r w:rsidRPr="00B55419">
        <w:rPr>
          <w:rFonts w:ascii="Calibri" w:eastAsia="Times New Roman" w:hAnsi="Calibri" w:cs="Calibri"/>
          <w:lang w:eastAsia="en-GB"/>
        </w:rPr>
        <w:t>. [online] Toyota Motor Corporation Official Global Website. Available at: https://global.toyota/en/newsroom/corporate/39288520.html#:~:text=As%20of%20March%202023%2C%20we [Accessed 13 Mar. 2024].</w:t>
      </w:r>
    </w:p>
    <w:p w14:paraId="5AE4147E"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Fane, G.R., </w:t>
      </w:r>
      <w:proofErr w:type="spellStart"/>
      <w:r w:rsidRPr="00C77FCB">
        <w:rPr>
          <w:rFonts w:ascii="Calibri" w:eastAsia="Times New Roman" w:hAnsi="Calibri" w:cs="Calibri"/>
          <w:lang w:eastAsia="en-GB"/>
        </w:rPr>
        <w:t>Vaghefi</w:t>
      </w:r>
      <w:proofErr w:type="spellEnd"/>
      <w:r w:rsidRPr="00C77FCB">
        <w:rPr>
          <w:rFonts w:ascii="Calibri" w:eastAsia="Times New Roman" w:hAnsi="Calibri" w:cs="Calibri"/>
          <w:lang w:eastAsia="en-GB"/>
        </w:rPr>
        <w:t xml:space="preserve">, M.R., Deusen, C. and Woods, L.A. (2003). Competitive advantage the Toyota way. </w:t>
      </w:r>
      <w:r w:rsidRPr="00C77FCB">
        <w:rPr>
          <w:rFonts w:ascii="Calibri" w:eastAsia="Times New Roman" w:hAnsi="Calibri" w:cs="Calibri"/>
          <w:i/>
          <w:iCs/>
          <w:lang w:eastAsia="en-GB"/>
        </w:rPr>
        <w:t>Business Strategy Review</w:t>
      </w:r>
      <w:r w:rsidRPr="00C77FCB">
        <w:rPr>
          <w:rFonts w:ascii="Calibri" w:eastAsia="Times New Roman" w:hAnsi="Calibri" w:cs="Calibri"/>
          <w:lang w:eastAsia="en-GB"/>
        </w:rPr>
        <w:t xml:space="preserve">, 14(4), pp.51–60.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://doi.org/10.1111/j..2003.00286.x.</w:t>
      </w:r>
    </w:p>
    <w:p w14:paraId="7AF2FD49"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Ferguson, E. (2023). </w:t>
      </w:r>
      <w:r w:rsidRPr="00C77FCB">
        <w:rPr>
          <w:rFonts w:ascii="Calibri" w:eastAsia="Times New Roman" w:hAnsi="Calibri" w:cs="Calibri"/>
          <w:i/>
          <w:iCs/>
          <w:lang w:eastAsia="en-GB"/>
        </w:rPr>
        <w:t>Toyota PESTEL/PESTLE Analysis &amp; Recommendations</w:t>
      </w:r>
      <w:r w:rsidRPr="00C77FCB">
        <w:rPr>
          <w:rFonts w:ascii="Calibri" w:eastAsia="Times New Roman" w:hAnsi="Calibri" w:cs="Calibri"/>
          <w:lang w:eastAsia="en-GB"/>
        </w:rPr>
        <w:t xml:space="preserve">. [online] </w:t>
      </w:r>
      <w:proofErr w:type="spellStart"/>
      <w:r w:rsidRPr="00C77FCB">
        <w:rPr>
          <w:rFonts w:ascii="Calibri" w:eastAsia="Times New Roman" w:hAnsi="Calibri" w:cs="Calibri"/>
          <w:lang w:eastAsia="en-GB"/>
        </w:rPr>
        <w:t>Panmore</w:t>
      </w:r>
      <w:proofErr w:type="spellEnd"/>
      <w:r w:rsidRPr="00C77FCB">
        <w:rPr>
          <w:rFonts w:ascii="Calibri" w:eastAsia="Times New Roman" w:hAnsi="Calibri" w:cs="Calibri"/>
          <w:lang w:eastAsia="en-GB"/>
        </w:rPr>
        <w:t xml:space="preserve"> Institute. Available at: https://panmore.com/toyota-pestel-pestle-analysis-recommendations [Accessed 1 Mar. 2024].</w:t>
      </w:r>
    </w:p>
    <w:p w14:paraId="56EBDFB7"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Ford, D.N. and Sobek, D.K. (2005). Adapting Real Options to New Product Development by </w:t>
      </w:r>
      <w:proofErr w:type="spellStart"/>
      <w:r w:rsidRPr="00C77FCB">
        <w:rPr>
          <w:rFonts w:ascii="Calibri" w:eastAsia="Times New Roman" w:hAnsi="Calibri" w:cs="Calibri"/>
          <w:lang w:eastAsia="en-GB"/>
        </w:rPr>
        <w:t>Modeling</w:t>
      </w:r>
      <w:proofErr w:type="spellEnd"/>
      <w:r w:rsidRPr="00C77FCB">
        <w:rPr>
          <w:rFonts w:ascii="Calibri" w:eastAsia="Times New Roman" w:hAnsi="Calibri" w:cs="Calibri"/>
          <w:lang w:eastAsia="en-GB"/>
        </w:rPr>
        <w:t xml:space="preserve"> the Second Toyota Paradox. </w:t>
      </w:r>
      <w:r w:rsidRPr="00C77FCB">
        <w:rPr>
          <w:rFonts w:ascii="Calibri" w:eastAsia="Times New Roman" w:hAnsi="Calibri" w:cs="Calibri"/>
          <w:i/>
          <w:iCs/>
          <w:lang w:eastAsia="en-GB"/>
        </w:rPr>
        <w:t>IEEE Transactions on Engineering Management</w:t>
      </w:r>
      <w:r w:rsidRPr="00C77FCB">
        <w:rPr>
          <w:rFonts w:ascii="Calibri" w:eastAsia="Times New Roman" w:hAnsi="Calibri" w:cs="Calibri"/>
          <w:lang w:eastAsia="en-GB"/>
        </w:rPr>
        <w:t xml:space="preserve">, 52(2), pp.175–185.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://doi.org/10.1109/tem.2005.844466.</w:t>
      </w:r>
    </w:p>
    <w:p w14:paraId="31F2559C"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Fujimoto, T. and Matsuo, T. (1997). ‘A History of Body Buffer Management at Toyota - Interview with Mr. </w:t>
      </w:r>
      <w:proofErr w:type="spellStart"/>
      <w:r w:rsidRPr="00C77FCB">
        <w:rPr>
          <w:rFonts w:ascii="Calibri" w:eastAsia="Times New Roman" w:hAnsi="Calibri" w:cs="Calibri"/>
          <w:lang w:eastAsia="en-GB"/>
        </w:rPr>
        <w:t>Kaneyoshi</w:t>
      </w:r>
      <w:proofErr w:type="spellEnd"/>
      <w:r w:rsidRPr="00C77FCB">
        <w:rPr>
          <w:rFonts w:ascii="Calibri" w:eastAsia="Times New Roman" w:hAnsi="Calibri" w:cs="Calibri"/>
          <w:lang w:eastAsia="en-GB"/>
        </w:rPr>
        <w:t xml:space="preserve"> Kusunoki, Chairman of Hino Motors, Ltd.’(in Japanese). </w:t>
      </w:r>
      <w:proofErr w:type="spellStart"/>
      <w:r w:rsidRPr="00C77FCB">
        <w:rPr>
          <w:rFonts w:ascii="Calibri" w:eastAsia="Times New Roman" w:hAnsi="Calibri" w:cs="Calibri"/>
          <w:i/>
          <w:iCs/>
          <w:lang w:eastAsia="en-GB"/>
        </w:rPr>
        <w:t>RePEc</w:t>
      </w:r>
      <w:proofErr w:type="spellEnd"/>
      <w:r w:rsidRPr="00C77FCB">
        <w:rPr>
          <w:rFonts w:ascii="Calibri" w:eastAsia="Times New Roman" w:hAnsi="Calibri" w:cs="Calibri"/>
          <w:i/>
          <w:iCs/>
          <w:lang w:eastAsia="en-GB"/>
        </w:rPr>
        <w:t>: Research Papers in Economics</w:t>
      </w:r>
      <w:r w:rsidRPr="00C77FCB">
        <w:rPr>
          <w:rFonts w:ascii="Calibri" w:eastAsia="Times New Roman" w:hAnsi="Calibri" w:cs="Calibri"/>
          <w:lang w:eastAsia="en-GB"/>
        </w:rPr>
        <w:t>.</w:t>
      </w:r>
    </w:p>
    <w:p w14:paraId="38CB0B41"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Gareth (2011). </w:t>
      </w:r>
      <w:r w:rsidRPr="00C77FCB">
        <w:rPr>
          <w:rFonts w:ascii="Calibri" w:eastAsia="Times New Roman" w:hAnsi="Calibri" w:cs="Calibri"/>
          <w:i/>
          <w:iCs/>
          <w:lang w:eastAsia="en-GB"/>
        </w:rPr>
        <w:t>The Toyota Global Vision</w:t>
      </w:r>
      <w:r w:rsidRPr="00C77FCB">
        <w:rPr>
          <w:rFonts w:ascii="Calibri" w:eastAsia="Times New Roman" w:hAnsi="Calibri" w:cs="Calibri"/>
          <w:lang w:eastAsia="en-GB"/>
        </w:rPr>
        <w:t>. [online] Toyota UK Magazine. Available at: https://mag.toyota.co.uk/the-toyota-global-vision/ [Accessed 29 Feb. 2024].</w:t>
      </w:r>
    </w:p>
    <w:p w14:paraId="607B7E53"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Garner, B. (2015). </w:t>
      </w:r>
      <w:r w:rsidRPr="00C77FCB">
        <w:rPr>
          <w:rFonts w:ascii="Calibri" w:eastAsia="Times New Roman" w:hAnsi="Calibri" w:cs="Calibri"/>
          <w:i/>
          <w:iCs/>
          <w:lang w:eastAsia="en-GB"/>
        </w:rPr>
        <w:t xml:space="preserve">How Toyota Financial Services Created Strategic Alignment Using </w:t>
      </w:r>
      <w:proofErr w:type="spellStart"/>
      <w:r w:rsidRPr="00C77FCB">
        <w:rPr>
          <w:rFonts w:ascii="Calibri" w:eastAsia="Times New Roman" w:hAnsi="Calibri" w:cs="Calibri"/>
          <w:i/>
          <w:iCs/>
          <w:lang w:eastAsia="en-GB"/>
        </w:rPr>
        <w:t>Strategyzer</w:t>
      </w:r>
      <w:proofErr w:type="spellEnd"/>
      <w:r w:rsidRPr="00C77FCB">
        <w:rPr>
          <w:rFonts w:ascii="Calibri" w:eastAsia="Times New Roman" w:hAnsi="Calibri" w:cs="Calibri"/>
          <w:i/>
          <w:iCs/>
          <w:lang w:eastAsia="en-GB"/>
        </w:rPr>
        <w:t xml:space="preserve"> Tools</w:t>
      </w:r>
      <w:r w:rsidRPr="00C77FCB">
        <w:rPr>
          <w:rFonts w:ascii="Calibri" w:eastAsia="Times New Roman" w:hAnsi="Calibri" w:cs="Calibri"/>
          <w:lang w:eastAsia="en-GB"/>
        </w:rPr>
        <w:t>. [online] www.strategyzer.com. Available at: https://www.strategyzer.com/library/how-toyota-financial-services-created-strategic-alignment-using-strategyzer-tools#:~:text=The%20committee%20also%20learned%20during [Accessed 1 Mar. 2024].</w:t>
      </w:r>
    </w:p>
    <w:p w14:paraId="7CAA1B74"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Global, T. (2024). </w:t>
      </w:r>
      <w:r w:rsidRPr="00C77FCB">
        <w:rPr>
          <w:rFonts w:ascii="Calibri" w:eastAsia="Times New Roman" w:hAnsi="Calibri" w:cs="Calibri"/>
          <w:i/>
          <w:iCs/>
          <w:lang w:eastAsia="en-GB"/>
        </w:rPr>
        <w:t>1 LEXUS LBX</w:t>
      </w:r>
      <w:r w:rsidRPr="00C77FCB">
        <w:rPr>
          <w:rFonts w:ascii="Calibri" w:eastAsia="Times New Roman" w:hAnsi="Calibri" w:cs="Calibri"/>
          <w:lang w:eastAsia="en-GB"/>
        </w:rPr>
        <w:t>. [online] Available at: https://global.toyota/pages/global_toyota/ir/financial-results/2024_3q_presentation_2_en.pdf [Accessed 1 Mar. 2024].</w:t>
      </w:r>
    </w:p>
    <w:p w14:paraId="24EC2129"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Iyer, A.V., Sridhar Seshadri and Vasher, R. (2009). </w:t>
      </w:r>
      <w:r w:rsidRPr="00C77FCB">
        <w:rPr>
          <w:rFonts w:ascii="Calibri" w:eastAsia="Times New Roman" w:hAnsi="Calibri" w:cs="Calibri"/>
          <w:i/>
          <w:iCs/>
          <w:lang w:eastAsia="en-GB"/>
        </w:rPr>
        <w:t>Toyota supply chain management : a strategic approach to the principles of Toyota’s renowned system</w:t>
      </w:r>
      <w:r w:rsidRPr="00C77FCB">
        <w:rPr>
          <w:rFonts w:ascii="Calibri" w:eastAsia="Times New Roman" w:hAnsi="Calibri" w:cs="Calibri"/>
          <w:lang w:eastAsia="en-GB"/>
        </w:rPr>
        <w:t xml:space="preserve">. New York: </w:t>
      </w:r>
      <w:proofErr w:type="spellStart"/>
      <w:r w:rsidRPr="00C77FCB">
        <w:rPr>
          <w:rFonts w:ascii="Calibri" w:eastAsia="Times New Roman" w:hAnsi="Calibri" w:cs="Calibri"/>
          <w:lang w:eastAsia="en-GB"/>
        </w:rPr>
        <w:t>Mcgraw-Hill</w:t>
      </w:r>
      <w:proofErr w:type="spellEnd"/>
      <w:r w:rsidRPr="00C77FCB">
        <w:rPr>
          <w:rFonts w:ascii="Calibri" w:eastAsia="Times New Roman" w:hAnsi="Calibri" w:cs="Calibri"/>
          <w:lang w:eastAsia="en-GB"/>
        </w:rPr>
        <w:t>.</w:t>
      </w:r>
    </w:p>
    <w:p w14:paraId="11C0EAA7"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lastRenderedPageBreak/>
        <w:t xml:space="preserve">Kakuro </w:t>
      </w:r>
      <w:proofErr w:type="spellStart"/>
      <w:r w:rsidRPr="00C77FCB">
        <w:rPr>
          <w:rFonts w:ascii="Calibri" w:eastAsia="Times New Roman" w:hAnsi="Calibri" w:cs="Calibri"/>
          <w:lang w:eastAsia="en-GB"/>
        </w:rPr>
        <w:t>Amasaka</w:t>
      </w:r>
      <w:proofErr w:type="spellEnd"/>
      <w:r w:rsidRPr="00C77FCB">
        <w:rPr>
          <w:rFonts w:ascii="Calibri" w:eastAsia="Times New Roman" w:hAnsi="Calibri" w:cs="Calibri"/>
          <w:lang w:eastAsia="en-GB"/>
        </w:rPr>
        <w:t xml:space="preserve"> (2013). The Development of a Total Quality Management System for Transforming Technology into Effective Management Strategy. </w:t>
      </w:r>
      <w:r w:rsidRPr="00C77FCB">
        <w:rPr>
          <w:rFonts w:ascii="Calibri" w:eastAsia="Times New Roman" w:hAnsi="Calibri" w:cs="Calibri"/>
          <w:i/>
          <w:iCs/>
          <w:lang w:eastAsia="en-GB"/>
        </w:rPr>
        <w:t>The International Journal of Management</w:t>
      </w:r>
      <w:r w:rsidRPr="00C77FCB">
        <w:rPr>
          <w:rFonts w:ascii="Calibri" w:eastAsia="Times New Roman" w:hAnsi="Calibri" w:cs="Calibri"/>
          <w:lang w:eastAsia="en-GB"/>
        </w:rPr>
        <w:t>, 30(2), p.610.</w:t>
      </w:r>
    </w:p>
    <w:p w14:paraId="30F6CA75" w14:textId="77777777" w:rsidR="00B55419" w:rsidRPr="00C77FCB" w:rsidRDefault="00B55419" w:rsidP="00B55419">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Kidd, J. and Monden, Y. (1995). Toyota Production System. </w:t>
      </w:r>
      <w:r w:rsidRPr="00C77FCB">
        <w:rPr>
          <w:rFonts w:ascii="Calibri" w:eastAsia="Times New Roman" w:hAnsi="Calibri" w:cs="Calibri"/>
          <w:i/>
          <w:iCs/>
          <w:lang w:eastAsia="en-GB"/>
        </w:rPr>
        <w:t>The Journal of the Operational Research Society</w:t>
      </w:r>
      <w:r w:rsidRPr="00C77FCB">
        <w:rPr>
          <w:rFonts w:ascii="Calibri" w:eastAsia="Times New Roman" w:hAnsi="Calibri" w:cs="Calibri"/>
          <w:lang w:eastAsia="en-GB"/>
        </w:rPr>
        <w:t xml:space="preserve">, 46(5), p.669.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://doi.org/10.2307/2584544.</w:t>
      </w:r>
    </w:p>
    <w:p w14:paraId="06C1B06A"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Kodama, M. (2002). Strategic Partnerships with Innovative Customers: A Japanese Case Study. </w:t>
      </w:r>
      <w:r w:rsidRPr="00C77FCB">
        <w:rPr>
          <w:rFonts w:ascii="Calibri" w:eastAsia="Times New Roman" w:hAnsi="Calibri" w:cs="Calibri"/>
          <w:i/>
          <w:iCs/>
          <w:lang w:eastAsia="en-GB"/>
        </w:rPr>
        <w:t>Information Systems Management</w:t>
      </w:r>
      <w:r w:rsidRPr="00C77FCB">
        <w:rPr>
          <w:rFonts w:ascii="Calibri" w:eastAsia="Times New Roman" w:hAnsi="Calibri" w:cs="Calibri"/>
          <w:lang w:eastAsia="en-GB"/>
        </w:rPr>
        <w:t xml:space="preserve">, 19(2), pp.31–52.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://doi.org/10.1201/1078/43200.19.2.20020228/35139.5.</w:t>
      </w:r>
    </w:p>
    <w:p w14:paraId="4F99980A"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Kronemeyer, L.L., Eilers, K., </w:t>
      </w:r>
      <w:proofErr w:type="spellStart"/>
      <w:r w:rsidRPr="00C77FCB">
        <w:rPr>
          <w:rFonts w:ascii="Calibri" w:eastAsia="Times New Roman" w:hAnsi="Calibri" w:cs="Calibri"/>
          <w:lang w:eastAsia="en-GB"/>
        </w:rPr>
        <w:t>Wustmans</w:t>
      </w:r>
      <w:proofErr w:type="spellEnd"/>
      <w:r w:rsidRPr="00C77FCB">
        <w:rPr>
          <w:rFonts w:ascii="Calibri" w:eastAsia="Times New Roman" w:hAnsi="Calibri" w:cs="Calibri"/>
          <w:lang w:eastAsia="en-GB"/>
        </w:rPr>
        <w:t xml:space="preserve">, M. and Moehrle, M.G. (2020). Monitoring Competitors’ Innovation Activities: </w:t>
      </w:r>
      <w:proofErr w:type="spellStart"/>
      <w:r w:rsidRPr="00C77FCB">
        <w:rPr>
          <w:rFonts w:ascii="Calibri" w:eastAsia="Times New Roman" w:hAnsi="Calibri" w:cs="Calibri"/>
          <w:lang w:eastAsia="en-GB"/>
        </w:rPr>
        <w:t>Analyzing</w:t>
      </w:r>
      <w:proofErr w:type="spellEnd"/>
      <w:r w:rsidRPr="00C77FCB">
        <w:rPr>
          <w:rFonts w:ascii="Calibri" w:eastAsia="Times New Roman" w:hAnsi="Calibri" w:cs="Calibri"/>
          <w:lang w:eastAsia="en-GB"/>
        </w:rPr>
        <w:t xml:space="preserve"> the Competitive Patent Landscape Based on Semantic Anchor Points. </w:t>
      </w:r>
      <w:r w:rsidRPr="00C77FCB">
        <w:rPr>
          <w:rFonts w:ascii="Calibri" w:eastAsia="Times New Roman" w:hAnsi="Calibri" w:cs="Calibri"/>
          <w:i/>
          <w:iCs/>
          <w:lang w:eastAsia="en-GB"/>
        </w:rPr>
        <w:t>IEEE Transactions on Engineering Management</w:t>
      </w:r>
      <w:r w:rsidRPr="00C77FCB">
        <w:rPr>
          <w:rFonts w:ascii="Calibri" w:eastAsia="Times New Roman" w:hAnsi="Calibri" w:cs="Calibri"/>
          <w:lang w:eastAsia="en-GB"/>
        </w:rPr>
        <w:t xml:space="preserve">, pp.1–16.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://doi.org/10.1109/tem.2019.2958518.</w:t>
      </w:r>
    </w:p>
    <w:p w14:paraId="526AA70D"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Lee, E., Gachanja, G., Kinyua, A. and Muchemi (2022). Strategic Drift and Firm Performance: A Review of Literature. </w:t>
      </w:r>
      <w:r w:rsidRPr="00C77FCB">
        <w:rPr>
          <w:rFonts w:ascii="Calibri" w:eastAsia="Times New Roman" w:hAnsi="Calibri" w:cs="Calibri"/>
          <w:i/>
          <w:iCs/>
          <w:lang w:eastAsia="en-GB"/>
        </w:rPr>
        <w:t>International Journal of Managerial Studies and Research</w:t>
      </w:r>
      <w:r w:rsidRPr="00C77FCB">
        <w:rPr>
          <w:rFonts w:ascii="Calibri" w:eastAsia="Times New Roman" w:hAnsi="Calibri" w:cs="Calibri"/>
          <w:lang w:eastAsia="en-GB"/>
        </w:rPr>
        <w:t xml:space="preserve">, [online] 10(1).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://doi.org/10.20431/2349-0349.1001007.</w:t>
      </w:r>
    </w:p>
    <w:p w14:paraId="60977B62"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Lee, J. (2018). Growth strategy from the suppliers’ viewpoint: a case study of Denso and Hitachi Automotive Systems. </w:t>
      </w:r>
      <w:r w:rsidRPr="00C77FCB">
        <w:rPr>
          <w:rFonts w:ascii="Calibri" w:eastAsia="Times New Roman" w:hAnsi="Calibri" w:cs="Calibri"/>
          <w:i/>
          <w:iCs/>
          <w:lang w:eastAsia="en-GB"/>
        </w:rPr>
        <w:t>International Journal of Automotive Technology and Management</w:t>
      </w:r>
      <w:r w:rsidRPr="00C77FCB">
        <w:rPr>
          <w:rFonts w:ascii="Calibri" w:eastAsia="Times New Roman" w:hAnsi="Calibri" w:cs="Calibri"/>
          <w:lang w:eastAsia="en-GB"/>
        </w:rPr>
        <w:t xml:space="preserve">, 18(4), p.371.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://doi.org/10.1504/ijatm.2018.097345.</w:t>
      </w:r>
    </w:p>
    <w:p w14:paraId="2E653A64"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Li, S., Liu, X., Qian, X. and Wei, R. (2022). Research on investment strategy of Toyota based on multiple’s valuation. </w:t>
      </w:r>
      <w:r w:rsidRPr="00C77FCB">
        <w:rPr>
          <w:rFonts w:ascii="Calibri" w:eastAsia="Times New Roman" w:hAnsi="Calibri" w:cs="Calibri"/>
          <w:i/>
          <w:iCs/>
          <w:lang w:eastAsia="en-GB"/>
        </w:rPr>
        <w:t>BCP Business &amp; Management</w:t>
      </w:r>
      <w:r w:rsidRPr="00C77FCB">
        <w:rPr>
          <w:rFonts w:ascii="Calibri" w:eastAsia="Times New Roman" w:hAnsi="Calibri" w:cs="Calibri"/>
          <w:lang w:eastAsia="en-GB"/>
        </w:rPr>
        <w:t xml:space="preserve">, 30, pp.633–639.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://doi.org/10.54691/bcpbm.v30i.2510.</w:t>
      </w:r>
    </w:p>
    <w:p w14:paraId="7C7DD55B"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Liu, Y. (2023). Financial Analysis and Strategic Forecast of Toyota. </w:t>
      </w:r>
      <w:r w:rsidRPr="00C77FCB">
        <w:rPr>
          <w:rFonts w:ascii="Calibri" w:eastAsia="Times New Roman" w:hAnsi="Calibri" w:cs="Calibri"/>
          <w:i/>
          <w:iCs/>
          <w:lang w:eastAsia="en-GB"/>
        </w:rPr>
        <w:t>Advances in Economics Management and Political Sciences</w:t>
      </w:r>
      <w:r w:rsidRPr="00C77FCB">
        <w:rPr>
          <w:rFonts w:ascii="Calibri" w:eastAsia="Times New Roman" w:hAnsi="Calibri" w:cs="Calibri"/>
          <w:lang w:eastAsia="en-GB"/>
        </w:rPr>
        <w:t xml:space="preserve">, 43(1), pp.218–224.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://doi.org/10.54254/2754-1169/43/20232167.</w:t>
      </w:r>
    </w:p>
    <w:p w14:paraId="026F0BC2"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Manna, D.R., Marco, G., Khalil, B.L. and Meier, S. (2011). Sustainable Markets: Case Study Of Toyota Motor Sales, U.S.A., Inc. </w:t>
      </w:r>
      <w:r w:rsidRPr="00C77FCB">
        <w:rPr>
          <w:rFonts w:ascii="Calibri" w:eastAsia="Times New Roman" w:hAnsi="Calibri" w:cs="Calibri"/>
          <w:i/>
          <w:iCs/>
          <w:lang w:eastAsia="en-GB"/>
        </w:rPr>
        <w:t>Journal of Business Case Studies (JBCS)</w:t>
      </w:r>
      <w:r w:rsidRPr="00C77FCB">
        <w:rPr>
          <w:rFonts w:ascii="Calibri" w:eastAsia="Times New Roman" w:hAnsi="Calibri" w:cs="Calibri"/>
          <w:lang w:eastAsia="en-GB"/>
        </w:rPr>
        <w:t xml:space="preserve">, 7(3), p.63.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://doi.org/10.19030/jbcs.v7i3.4265.</w:t>
      </w:r>
    </w:p>
    <w:p w14:paraId="7922C327"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lastRenderedPageBreak/>
        <w:t xml:space="preserve">Mohamad Rizan, Fathi </w:t>
      </w:r>
      <w:proofErr w:type="spellStart"/>
      <w:r w:rsidRPr="00C77FCB">
        <w:rPr>
          <w:rFonts w:ascii="Calibri" w:eastAsia="Times New Roman" w:hAnsi="Calibri" w:cs="Calibri"/>
          <w:lang w:eastAsia="en-GB"/>
        </w:rPr>
        <w:t>Balfas</w:t>
      </w:r>
      <w:proofErr w:type="spellEnd"/>
      <w:r w:rsidRPr="00C77FCB">
        <w:rPr>
          <w:rFonts w:ascii="Calibri" w:eastAsia="Times New Roman" w:hAnsi="Calibri" w:cs="Calibri"/>
          <w:lang w:eastAsia="en-GB"/>
        </w:rPr>
        <w:t xml:space="preserve"> and </w:t>
      </w:r>
      <w:proofErr w:type="spellStart"/>
      <w:r w:rsidRPr="00C77FCB">
        <w:rPr>
          <w:rFonts w:ascii="Calibri" w:eastAsia="Times New Roman" w:hAnsi="Calibri" w:cs="Calibri"/>
          <w:lang w:eastAsia="en-GB"/>
        </w:rPr>
        <w:t>Unggul</w:t>
      </w:r>
      <w:proofErr w:type="spellEnd"/>
      <w:r w:rsidRPr="00C77FCB">
        <w:rPr>
          <w:rFonts w:ascii="Calibri" w:eastAsia="Times New Roman" w:hAnsi="Calibri" w:cs="Calibri"/>
          <w:lang w:eastAsia="en-GB"/>
        </w:rPr>
        <w:t xml:space="preserve"> </w:t>
      </w:r>
      <w:proofErr w:type="spellStart"/>
      <w:r w:rsidRPr="00C77FCB">
        <w:rPr>
          <w:rFonts w:ascii="Calibri" w:eastAsia="Times New Roman" w:hAnsi="Calibri" w:cs="Calibri"/>
          <w:lang w:eastAsia="en-GB"/>
        </w:rPr>
        <w:t>Purwohedi</w:t>
      </w:r>
      <w:proofErr w:type="spellEnd"/>
      <w:r w:rsidRPr="00C77FCB">
        <w:rPr>
          <w:rFonts w:ascii="Calibri" w:eastAsia="Times New Roman" w:hAnsi="Calibri" w:cs="Calibri"/>
          <w:lang w:eastAsia="en-GB"/>
        </w:rPr>
        <w:t xml:space="preserve"> (2019). The Influence of Strategic Orientation, Organizational Innovation Capabilities and Strategic Planning on the Performance of Technology-Based Firms. </w:t>
      </w:r>
      <w:r w:rsidRPr="00C77FCB">
        <w:rPr>
          <w:rFonts w:ascii="Calibri" w:eastAsia="Times New Roman" w:hAnsi="Calibri" w:cs="Calibri"/>
          <w:i/>
          <w:iCs/>
          <w:lang w:eastAsia="en-GB"/>
        </w:rPr>
        <w:t>Academy of Strategic Management Journal</w:t>
      </w:r>
      <w:r w:rsidRPr="00C77FCB">
        <w:rPr>
          <w:rFonts w:ascii="Calibri" w:eastAsia="Times New Roman" w:hAnsi="Calibri" w:cs="Calibri"/>
          <w:lang w:eastAsia="en-GB"/>
        </w:rPr>
        <w:t>, 18(3), p.1.</w:t>
      </w:r>
    </w:p>
    <w:p w14:paraId="45A5996B"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Morgan, J.M. and Liker, J.K. (2020). </w:t>
      </w:r>
      <w:r w:rsidRPr="00C77FCB">
        <w:rPr>
          <w:rFonts w:ascii="Calibri" w:eastAsia="Times New Roman" w:hAnsi="Calibri" w:cs="Calibri"/>
          <w:i/>
          <w:iCs/>
          <w:lang w:eastAsia="en-GB"/>
        </w:rPr>
        <w:t>The Toyota product development system : integrating people, process, and technology</w:t>
      </w:r>
      <w:r w:rsidRPr="00C77FCB">
        <w:rPr>
          <w:rFonts w:ascii="Calibri" w:eastAsia="Times New Roman" w:hAnsi="Calibri" w:cs="Calibri"/>
          <w:lang w:eastAsia="en-GB"/>
        </w:rPr>
        <w:t>. New York: Productivity Press.</w:t>
      </w:r>
    </w:p>
    <w:p w14:paraId="7CFB7E27" w14:textId="77777777" w:rsidR="00B55419" w:rsidRPr="00C77FCB" w:rsidRDefault="00B55419" w:rsidP="00C77FCB">
      <w:pPr>
        <w:spacing w:after="240" w:line="360" w:lineRule="auto"/>
        <w:rPr>
          <w:rFonts w:ascii="Calibri" w:eastAsia="Times New Roman" w:hAnsi="Calibri" w:cs="Calibri"/>
          <w:lang w:eastAsia="en-GB"/>
        </w:rPr>
      </w:pPr>
      <w:proofErr w:type="spellStart"/>
      <w:r w:rsidRPr="00C77FCB">
        <w:rPr>
          <w:rFonts w:ascii="Calibri" w:eastAsia="Times New Roman" w:hAnsi="Calibri" w:cs="Calibri"/>
          <w:lang w:eastAsia="en-GB"/>
        </w:rPr>
        <w:t>Mostovaia</w:t>
      </w:r>
      <w:proofErr w:type="spellEnd"/>
      <w:r w:rsidRPr="00C77FCB">
        <w:rPr>
          <w:rFonts w:ascii="Calibri" w:eastAsia="Times New Roman" w:hAnsi="Calibri" w:cs="Calibri"/>
          <w:lang w:eastAsia="en-GB"/>
        </w:rPr>
        <w:t xml:space="preserve">, A. (2023). Origins and Development of Japanese Automotive Industry in 1920-1945, the Case of Toyota Motor Company. </w:t>
      </w:r>
      <w:proofErr w:type="spellStart"/>
      <w:r w:rsidRPr="00C77FCB">
        <w:rPr>
          <w:rFonts w:ascii="Calibri" w:eastAsia="Times New Roman" w:hAnsi="Calibri" w:cs="Calibri"/>
          <w:i/>
          <w:iCs/>
          <w:lang w:eastAsia="en-GB"/>
        </w:rPr>
        <w:t>Problemy</w:t>
      </w:r>
      <w:proofErr w:type="spellEnd"/>
      <w:r w:rsidRPr="00C77FCB">
        <w:rPr>
          <w:rFonts w:ascii="Calibri" w:eastAsia="Times New Roman" w:hAnsi="Calibri" w:cs="Calibri"/>
          <w:i/>
          <w:iCs/>
          <w:lang w:eastAsia="en-GB"/>
        </w:rPr>
        <w:t xml:space="preserve"> </w:t>
      </w:r>
      <w:proofErr w:type="spellStart"/>
      <w:r w:rsidRPr="00C77FCB">
        <w:rPr>
          <w:rFonts w:ascii="Calibri" w:eastAsia="Times New Roman" w:hAnsi="Calibri" w:cs="Calibri"/>
          <w:i/>
          <w:iCs/>
          <w:lang w:eastAsia="en-GB"/>
        </w:rPr>
        <w:t>dalnego</w:t>
      </w:r>
      <w:proofErr w:type="spellEnd"/>
      <w:r w:rsidRPr="00C77FCB">
        <w:rPr>
          <w:rFonts w:ascii="Calibri" w:eastAsia="Times New Roman" w:hAnsi="Calibri" w:cs="Calibri"/>
          <w:i/>
          <w:iCs/>
          <w:lang w:eastAsia="en-GB"/>
        </w:rPr>
        <w:t xml:space="preserve"> </w:t>
      </w:r>
      <w:proofErr w:type="spellStart"/>
      <w:r w:rsidRPr="00C77FCB">
        <w:rPr>
          <w:rFonts w:ascii="Calibri" w:eastAsia="Times New Roman" w:hAnsi="Calibri" w:cs="Calibri"/>
          <w:i/>
          <w:iCs/>
          <w:lang w:eastAsia="en-GB"/>
        </w:rPr>
        <w:t>vostoka</w:t>
      </w:r>
      <w:proofErr w:type="spellEnd"/>
      <w:r w:rsidRPr="00C77FCB">
        <w:rPr>
          <w:rFonts w:ascii="Calibri" w:eastAsia="Times New Roman" w:hAnsi="Calibri" w:cs="Calibri"/>
          <w:lang w:eastAsia="en-GB"/>
        </w:rPr>
        <w:t xml:space="preserve">, (1), p.121.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://doi.org/10.31857/s013128120024395-5.</w:t>
      </w:r>
    </w:p>
    <w:p w14:paraId="572387AA"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PEREIRA, D. (2023). </w:t>
      </w:r>
      <w:r w:rsidRPr="00C77FCB">
        <w:rPr>
          <w:rFonts w:ascii="Calibri" w:eastAsia="Times New Roman" w:hAnsi="Calibri" w:cs="Calibri"/>
          <w:i/>
          <w:iCs/>
          <w:lang w:eastAsia="en-GB"/>
        </w:rPr>
        <w:t>Toyota SWOT Analysis (2023)</w:t>
      </w:r>
      <w:r w:rsidRPr="00C77FCB">
        <w:rPr>
          <w:rFonts w:ascii="Calibri" w:eastAsia="Times New Roman" w:hAnsi="Calibri" w:cs="Calibri"/>
          <w:lang w:eastAsia="en-GB"/>
        </w:rPr>
        <w:t>. [online] The Business Model Analyst. Available at: https://businessmodelanalyst.com/toyota-swot-analysis/ [Accessed 29 Feb. 2024].</w:t>
      </w:r>
    </w:p>
    <w:p w14:paraId="09187B5F"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Press, A. (2023). Toyota recalls 1m cars over defect that could cause airbags not to deploy. </w:t>
      </w:r>
      <w:r w:rsidRPr="00C77FCB">
        <w:rPr>
          <w:rFonts w:ascii="Calibri" w:eastAsia="Times New Roman" w:hAnsi="Calibri" w:cs="Calibri"/>
          <w:i/>
          <w:iCs/>
          <w:lang w:eastAsia="en-GB"/>
        </w:rPr>
        <w:t>The Guardian</w:t>
      </w:r>
      <w:r w:rsidRPr="00C77FCB">
        <w:rPr>
          <w:rFonts w:ascii="Calibri" w:eastAsia="Times New Roman" w:hAnsi="Calibri" w:cs="Calibri"/>
          <w:lang w:eastAsia="en-GB"/>
        </w:rPr>
        <w:t>. [online] 21 Dec. Available at: https://www.theguardian.com/business/2023/dec/20/toyota-vehicle-recall-lexus-camry-corolla-rav4 [Accessed 1 Mar. 2024].</w:t>
      </w:r>
    </w:p>
    <w:p w14:paraId="0B41B399"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RYBAKOVA, L.V. and LANKINA, M.A. (2021). MANAGEMENT OF CHANGES IN THE ACTIVITIES OF LLC ‘ATIK-MOTORS’ ASC ‘TOYOTA’. </w:t>
      </w:r>
      <w:r w:rsidRPr="00C77FCB">
        <w:rPr>
          <w:rFonts w:ascii="Calibri" w:eastAsia="Times New Roman" w:hAnsi="Calibri" w:cs="Calibri"/>
          <w:i/>
          <w:iCs/>
          <w:lang w:eastAsia="en-GB"/>
        </w:rPr>
        <w:t>Messenger AmSU</w:t>
      </w:r>
      <w:r w:rsidRPr="00C77FCB">
        <w:rPr>
          <w:rFonts w:ascii="Calibri" w:eastAsia="Times New Roman" w:hAnsi="Calibri" w:cs="Calibri"/>
          <w:lang w:eastAsia="en-GB"/>
        </w:rPr>
        <w:t xml:space="preserve">, (95), pp.128–132.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://doi.org/10.22250/jasu.95.24.</w:t>
      </w:r>
    </w:p>
    <w:p w14:paraId="72939E04"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Shih, W. (2022). </w:t>
      </w:r>
      <w:r w:rsidRPr="00C77FCB">
        <w:rPr>
          <w:rFonts w:ascii="Calibri" w:eastAsia="Times New Roman" w:hAnsi="Calibri" w:cs="Calibri"/>
          <w:i/>
          <w:iCs/>
          <w:lang w:eastAsia="en-GB"/>
        </w:rPr>
        <w:t>What really makes Toyota’s production system resilient</w:t>
      </w:r>
      <w:r w:rsidRPr="00C77FCB">
        <w:rPr>
          <w:rFonts w:ascii="Calibri" w:eastAsia="Times New Roman" w:hAnsi="Calibri" w:cs="Calibri"/>
          <w:lang w:eastAsia="en-GB"/>
        </w:rPr>
        <w:t>. [online] Harvard Business Review. Available at: https://hbr.org/2022/11/what-really-makes-toyotas-production-system-resilient [Accessed 1 Mar. 2024].</w:t>
      </w:r>
    </w:p>
    <w:p w14:paraId="2421EA74" w14:textId="77777777" w:rsidR="00B55419" w:rsidRPr="00C77FCB" w:rsidRDefault="00B55419" w:rsidP="00C77FCB">
      <w:pPr>
        <w:spacing w:after="240" w:line="360" w:lineRule="auto"/>
        <w:rPr>
          <w:rFonts w:ascii="Calibri" w:eastAsia="Times New Roman" w:hAnsi="Calibri" w:cs="Calibri"/>
          <w:lang w:eastAsia="en-GB"/>
        </w:rPr>
      </w:pPr>
      <w:proofErr w:type="spellStart"/>
      <w:r w:rsidRPr="00C77FCB">
        <w:rPr>
          <w:rFonts w:ascii="Calibri" w:eastAsia="Times New Roman" w:hAnsi="Calibri" w:cs="Calibri"/>
          <w:lang w:eastAsia="en-GB"/>
        </w:rPr>
        <w:t>Shumin</w:t>
      </w:r>
      <w:proofErr w:type="spellEnd"/>
      <w:r w:rsidRPr="00C77FCB">
        <w:rPr>
          <w:rFonts w:ascii="Calibri" w:eastAsia="Times New Roman" w:hAnsi="Calibri" w:cs="Calibri"/>
          <w:lang w:eastAsia="en-GB"/>
        </w:rPr>
        <w:t xml:space="preserve">, C. (2023). The Motivation and Performance Analysis of the Multinational Strategic Alliance between BYD and Toyota. </w:t>
      </w:r>
      <w:r w:rsidRPr="00C77FCB">
        <w:rPr>
          <w:rFonts w:ascii="Calibri" w:eastAsia="Times New Roman" w:hAnsi="Calibri" w:cs="Calibri"/>
          <w:i/>
          <w:iCs/>
          <w:lang w:eastAsia="en-GB"/>
        </w:rPr>
        <w:t>Information Systems and Economics</w:t>
      </w:r>
      <w:r w:rsidRPr="00C77FCB">
        <w:rPr>
          <w:rFonts w:ascii="Calibri" w:eastAsia="Times New Roman" w:hAnsi="Calibri" w:cs="Calibri"/>
          <w:lang w:eastAsia="en-GB"/>
        </w:rPr>
        <w:t xml:space="preserve">, 4(2).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://doi.org/10.23977/infse.2023.040207.</w:t>
      </w:r>
    </w:p>
    <w:p w14:paraId="442C264D"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Suto, M. and Hashimoto, M. (2006). Will the Japanese Corporate Governance System Survive? Challenges of Toyota and Sony. </w:t>
      </w:r>
      <w:r w:rsidRPr="00C77FCB">
        <w:rPr>
          <w:rFonts w:ascii="Calibri" w:eastAsia="Times New Roman" w:hAnsi="Calibri" w:cs="Calibri"/>
          <w:i/>
          <w:iCs/>
          <w:lang w:eastAsia="en-GB"/>
        </w:rPr>
        <w:t>Chapters</w:t>
      </w:r>
      <w:r w:rsidRPr="00C77FCB">
        <w:rPr>
          <w:rFonts w:ascii="Calibri" w:eastAsia="Times New Roman" w:hAnsi="Calibri" w:cs="Calibri"/>
          <w:lang w:eastAsia="en-GB"/>
        </w:rPr>
        <w:t>.</w:t>
      </w:r>
    </w:p>
    <w:p w14:paraId="6CC640B8"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Takeuchi, I. (2023). Navigating Competition through Alliances: An Analysis of Toyota’s Strategy in the Japanese Auto Industry. </w:t>
      </w:r>
      <w:r w:rsidRPr="00C77FCB">
        <w:rPr>
          <w:rFonts w:ascii="Calibri" w:eastAsia="Times New Roman" w:hAnsi="Calibri" w:cs="Calibri"/>
          <w:i/>
          <w:iCs/>
          <w:lang w:eastAsia="en-GB"/>
        </w:rPr>
        <w:t>Journal of strategic management</w:t>
      </w:r>
      <w:r w:rsidRPr="00C77FCB">
        <w:rPr>
          <w:rFonts w:ascii="Calibri" w:eastAsia="Times New Roman" w:hAnsi="Calibri" w:cs="Calibri"/>
          <w:lang w:eastAsia="en-GB"/>
        </w:rPr>
        <w:t xml:space="preserve">, 7(6), pp.1–12.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://doi.org/10.53819/81018102t4188.</w:t>
      </w:r>
    </w:p>
    <w:p w14:paraId="0CADD081"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lastRenderedPageBreak/>
        <w:t xml:space="preserve">Toyota UK (2023). </w:t>
      </w:r>
      <w:r w:rsidRPr="00C77FCB">
        <w:rPr>
          <w:rFonts w:ascii="Calibri" w:eastAsia="Times New Roman" w:hAnsi="Calibri" w:cs="Calibri"/>
          <w:i/>
          <w:iCs/>
          <w:lang w:eastAsia="en-GB"/>
        </w:rPr>
        <w:t>Toyota Unveils New Technology That Will Change the Future of Cars</w:t>
      </w:r>
      <w:r w:rsidRPr="00C77FCB">
        <w:rPr>
          <w:rFonts w:ascii="Calibri" w:eastAsia="Times New Roman" w:hAnsi="Calibri" w:cs="Calibri"/>
          <w:lang w:eastAsia="en-GB"/>
        </w:rPr>
        <w:t>. [online] Toyota Media Site. Available at: https://media.toyota.co.uk/toyota-unveils-new-technology-that-will-change-the-future-of-cars/ [Accessed 1 Mar. 2024].</w:t>
      </w:r>
    </w:p>
    <w:p w14:paraId="03248982" w14:textId="77777777" w:rsidR="00B55419" w:rsidRPr="00C77FCB"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Wang, C., Tang, F., Zhang, Q. and Zhang, W. (2023). How does corporate social responsibility contribute to innovation performance? The moderating role of social media strategic capability and big data analytics capability. </w:t>
      </w:r>
      <w:r w:rsidRPr="00C77FCB">
        <w:rPr>
          <w:rFonts w:ascii="Calibri" w:eastAsia="Times New Roman" w:hAnsi="Calibri" w:cs="Calibri"/>
          <w:i/>
          <w:iCs/>
          <w:lang w:eastAsia="en-GB"/>
        </w:rPr>
        <w:t>European Journal of Innovation Management</w:t>
      </w:r>
      <w:r w:rsidRPr="00C77FCB">
        <w:rPr>
          <w:rFonts w:ascii="Calibri" w:eastAsia="Times New Roman" w:hAnsi="Calibri" w:cs="Calibri"/>
          <w:lang w:eastAsia="en-GB"/>
        </w:rPr>
        <w:t xml:space="preserve">.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://doi.org/10.1108/ejim-11-2022-0636.</w:t>
      </w:r>
    </w:p>
    <w:p w14:paraId="2BBBECE3" w14:textId="77777777" w:rsidR="00B55419" w:rsidRDefault="00B55419" w:rsidP="00C77FCB">
      <w:pPr>
        <w:spacing w:after="240" w:line="360" w:lineRule="auto"/>
        <w:rPr>
          <w:rFonts w:ascii="Calibri" w:eastAsia="Times New Roman" w:hAnsi="Calibri" w:cs="Calibri"/>
          <w:lang w:eastAsia="en-GB"/>
        </w:rPr>
      </w:pPr>
      <w:r w:rsidRPr="00C77FCB">
        <w:rPr>
          <w:rFonts w:ascii="Calibri" w:eastAsia="Times New Roman" w:hAnsi="Calibri" w:cs="Calibri"/>
          <w:lang w:eastAsia="en-GB"/>
        </w:rPr>
        <w:t xml:space="preserve">Wang, Z. (2021). EXPLORING THE POTENTIAL OF LEAN PHILOSOPHY TO SPREAD THE VALUE OF SUSTAINABILITY IN THE JAPANESE AUTOMOBILE INDUSTRY: THE CASE OF TOYOTA MOTOR CORPORATION. </w:t>
      </w:r>
      <w:r w:rsidRPr="00C77FCB">
        <w:rPr>
          <w:rFonts w:ascii="Calibri" w:eastAsia="Times New Roman" w:hAnsi="Calibri" w:cs="Calibri"/>
          <w:i/>
          <w:iCs/>
          <w:lang w:eastAsia="en-GB"/>
        </w:rPr>
        <w:t>Management of Development of Complex Systems</w:t>
      </w:r>
      <w:r w:rsidRPr="00C77FCB">
        <w:rPr>
          <w:rFonts w:ascii="Calibri" w:eastAsia="Times New Roman" w:hAnsi="Calibri" w:cs="Calibri"/>
          <w:lang w:eastAsia="en-GB"/>
        </w:rPr>
        <w:t xml:space="preserve">, (45), pp.176–181. </w:t>
      </w:r>
      <w:proofErr w:type="spellStart"/>
      <w:r w:rsidRPr="00C77FCB">
        <w:rPr>
          <w:rFonts w:ascii="Calibri" w:eastAsia="Times New Roman" w:hAnsi="Calibri" w:cs="Calibri"/>
          <w:lang w:eastAsia="en-GB"/>
        </w:rPr>
        <w:t>doi:https</w:t>
      </w:r>
      <w:proofErr w:type="spellEnd"/>
      <w:r w:rsidRPr="00C77FCB">
        <w:rPr>
          <w:rFonts w:ascii="Calibri" w:eastAsia="Times New Roman" w:hAnsi="Calibri" w:cs="Calibri"/>
          <w:lang w:eastAsia="en-GB"/>
        </w:rPr>
        <w:t>://doi.org/10.32347/2412-9933.2021.45.176-181.</w:t>
      </w:r>
    </w:p>
    <w:p w14:paraId="08B7B11B" w14:textId="77777777" w:rsidR="00520E98" w:rsidRDefault="00520E98" w:rsidP="00C77FCB">
      <w:pPr>
        <w:spacing w:after="240" w:line="360" w:lineRule="auto"/>
        <w:rPr>
          <w:rFonts w:ascii="Calibri" w:eastAsia="Times New Roman" w:hAnsi="Calibri" w:cs="Calibri"/>
          <w:lang w:eastAsia="en-GB"/>
        </w:rPr>
      </w:pPr>
    </w:p>
    <w:p w14:paraId="3E542E2E" w14:textId="5C189B82" w:rsidR="00AE3FA6" w:rsidRDefault="00AE3FA6">
      <w:pPr>
        <w:rPr>
          <w:rFonts w:ascii="Calibri" w:eastAsia="Times New Roman" w:hAnsi="Calibri" w:cs="Calibri"/>
          <w:lang w:eastAsia="en-GB"/>
        </w:rPr>
      </w:pPr>
      <w:r>
        <w:rPr>
          <w:rFonts w:ascii="Calibri" w:eastAsia="Times New Roman" w:hAnsi="Calibri" w:cs="Calibri"/>
          <w:lang w:eastAsia="en-GB"/>
        </w:rPr>
        <w:br w:type="page"/>
      </w:r>
    </w:p>
    <w:p w14:paraId="3712BE4B" w14:textId="77777777" w:rsidR="00AE3FA6" w:rsidRDefault="00AE3FA6" w:rsidP="00C77FCB">
      <w:pPr>
        <w:spacing w:after="240" w:line="360" w:lineRule="auto"/>
        <w:rPr>
          <w:rFonts w:ascii="Calibri" w:eastAsia="Times New Roman" w:hAnsi="Calibri" w:cs="Calibri"/>
          <w:lang w:eastAsia="en-GB"/>
        </w:rPr>
      </w:pPr>
    </w:p>
    <w:p w14:paraId="1AEB279A" w14:textId="77C50332" w:rsidR="00AE3FA6" w:rsidRDefault="00AE3FA6" w:rsidP="00AE3FA6">
      <w:pPr>
        <w:pStyle w:val="Heading1"/>
        <w:jc w:val="center"/>
        <w:rPr>
          <w:rFonts w:eastAsia="Times New Roman"/>
          <w:lang w:eastAsia="en-GB"/>
        </w:rPr>
      </w:pPr>
      <w:bookmarkStart w:id="12" w:name="_Toc161241568"/>
      <w:r>
        <w:rPr>
          <w:rFonts w:eastAsia="Times New Roman"/>
          <w:lang w:eastAsia="en-GB"/>
        </w:rPr>
        <w:t>Appendix</w:t>
      </w:r>
      <w:bookmarkEnd w:id="12"/>
    </w:p>
    <w:p w14:paraId="38DF951F" w14:textId="77777777" w:rsidR="00814791" w:rsidRPr="00814791" w:rsidRDefault="00814791" w:rsidP="00814791">
      <w:pPr>
        <w:rPr>
          <w:lang w:eastAsia="en-GB"/>
        </w:rPr>
      </w:pPr>
    </w:p>
    <w:p w14:paraId="57DF7704" w14:textId="47BAB0BA" w:rsidR="00814791" w:rsidRPr="00814791" w:rsidRDefault="00814791" w:rsidP="00814791">
      <w:pPr>
        <w:rPr>
          <w:lang w:eastAsia="en-GB"/>
        </w:rPr>
      </w:pPr>
      <w:r w:rsidRPr="00814791">
        <w:rPr>
          <w:noProof/>
          <w:lang w:eastAsia="en-GB"/>
        </w:rPr>
        <w:drawing>
          <wp:inline distT="0" distB="0" distL="0" distR="0" wp14:anchorId="601A9A92" wp14:editId="697E293A">
            <wp:extent cx="5731510" cy="4325620"/>
            <wp:effectExtent l="0" t="0" r="2540" b="0"/>
            <wp:docPr id="1298566138" name="Picture 1" descr="A graph of growth in blue and wh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566138" name="Picture 1" descr="A graph of growth in blue and white&#10;&#10;Description automatically generated with medium confidence"/>
                    <pic:cNvPicPr/>
                  </pic:nvPicPr>
                  <pic:blipFill>
                    <a:blip r:embed="rId7"/>
                    <a:stretch>
                      <a:fillRect/>
                    </a:stretch>
                  </pic:blipFill>
                  <pic:spPr>
                    <a:xfrm>
                      <a:off x="0" y="0"/>
                      <a:ext cx="5731510" cy="4325620"/>
                    </a:xfrm>
                    <a:prstGeom prst="rect">
                      <a:avLst/>
                    </a:prstGeom>
                  </pic:spPr>
                </pic:pic>
              </a:graphicData>
            </a:graphic>
          </wp:inline>
        </w:drawing>
      </w:r>
    </w:p>
    <w:p w14:paraId="01B1EDD6" w14:textId="77777777" w:rsidR="00814791" w:rsidRDefault="00814791" w:rsidP="00814791">
      <w:pPr>
        <w:rPr>
          <w:lang w:eastAsia="en-GB"/>
        </w:rPr>
      </w:pPr>
    </w:p>
    <w:p w14:paraId="25622394" w14:textId="4C8B96D1" w:rsidR="00814791" w:rsidRPr="00814791" w:rsidRDefault="00814791" w:rsidP="00814791">
      <w:pPr>
        <w:rPr>
          <w:b/>
          <w:bCs/>
          <w:lang w:eastAsia="en-GB"/>
        </w:rPr>
      </w:pPr>
      <w:r w:rsidRPr="00814791">
        <w:rPr>
          <w:b/>
          <w:bCs/>
          <w:lang w:eastAsia="en-GB"/>
        </w:rPr>
        <w:t>PESTLE</w:t>
      </w:r>
    </w:p>
    <w:p w14:paraId="439E154C" w14:textId="77777777" w:rsidR="00814791" w:rsidRDefault="00814791" w:rsidP="00814791">
      <w:pPr>
        <w:rPr>
          <w:b/>
          <w:bCs/>
        </w:rPr>
      </w:pPr>
    </w:p>
    <w:p w14:paraId="22A3E904" w14:textId="77777777" w:rsidR="00814791" w:rsidRDefault="00814791" w:rsidP="00814791">
      <w:r>
        <w:t xml:space="preserve">Toyota, a leading global automotive manufacturer, operates in an environment influenced by various external factors. A PESTLE analysis helps identify and evaluate these factors, which are categorized as political, economic, socio-cultural, technological, legal, and environmental. As </w:t>
      </w:r>
      <w:r w:rsidRPr="006A4C90">
        <w:t xml:space="preserve">Ferguson </w:t>
      </w:r>
      <w:r>
        <w:t>(</w:t>
      </w:r>
      <w:r w:rsidRPr="006A4C90">
        <w:t>2023)</w:t>
      </w:r>
      <w:r>
        <w:t xml:space="preserve"> analysis states:</w:t>
      </w:r>
    </w:p>
    <w:p w14:paraId="052F0138" w14:textId="77777777" w:rsidR="00814791" w:rsidRPr="00814791" w:rsidRDefault="00814791" w:rsidP="00814791">
      <w:pPr>
        <w:rPr>
          <w:b/>
          <w:bCs/>
        </w:rPr>
      </w:pPr>
      <w:r w:rsidRPr="00814791">
        <w:rPr>
          <w:b/>
          <w:bCs/>
        </w:rPr>
        <w:t>Political Factors</w:t>
      </w:r>
    </w:p>
    <w:p w14:paraId="774E6EBF" w14:textId="77777777" w:rsidR="00814791" w:rsidRDefault="00814791" w:rsidP="00814791">
      <w:r>
        <w:t>Government regulations and policies have a significant impact on Toyota's operations. Governments impose safety, emission, and fuel efficiency standards that directly affect the manufacturing, production, and sales processes. Toyota's compliance with these regulations ensures its adherence to legal requirements and avoids potential penalties. Additionally, political stability in countries where Toyota operates is crucial for the consistent growth and sustainability of its business.</w:t>
      </w:r>
    </w:p>
    <w:p w14:paraId="16FB9870" w14:textId="77777777" w:rsidR="00814791" w:rsidRPr="00814791" w:rsidRDefault="00814791" w:rsidP="00814791">
      <w:pPr>
        <w:rPr>
          <w:b/>
          <w:bCs/>
        </w:rPr>
      </w:pPr>
      <w:r w:rsidRPr="00814791">
        <w:rPr>
          <w:b/>
          <w:bCs/>
        </w:rPr>
        <w:t>Economic Factors</w:t>
      </w:r>
    </w:p>
    <w:p w14:paraId="4D13CEB0" w14:textId="77777777" w:rsidR="00814791" w:rsidRDefault="00814791" w:rsidP="00814791">
      <w:r>
        <w:lastRenderedPageBreak/>
        <w:t>Economic conditions greatly influence the demand for automobiles, which directly affects Toyota's sales and profitability. Factors such as economic growth, inflation rates, unemployment, and disposable income play a significant role in consumer purchasing power and their ability to afford vehicles. Fluctuations in exchange rates can also affect Toyota's financial performance, particularly for international operations. High-interest rates may discourage consumers from obtaining loans and purchasing vehicles, impacting Toyota's sales.</w:t>
      </w:r>
    </w:p>
    <w:p w14:paraId="0BED1327" w14:textId="77777777" w:rsidR="00814791" w:rsidRPr="00814791" w:rsidRDefault="00814791" w:rsidP="00814791">
      <w:pPr>
        <w:rPr>
          <w:b/>
          <w:bCs/>
        </w:rPr>
      </w:pPr>
      <w:r w:rsidRPr="00814791">
        <w:rPr>
          <w:b/>
          <w:bCs/>
        </w:rPr>
        <w:t>Socio-cultural Factors</w:t>
      </w:r>
    </w:p>
    <w:p w14:paraId="21047126" w14:textId="77777777" w:rsidR="00814791" w:rsidRDefault="00814791" w:rsidP="00814791">
      <w:r>
        <w:t>Socio-cultural factors encompass demographic trends, environmental awareness, and customer preferences and lifestyles. Changes in population demographics, such as aging populations or urbanization, can significantly impact consumer preferences and demand for specific vehicle types. The growing concern for the environment and sustainability has led to an increase in demand for fuel-efficient or electric vehicles. Additionally, consumer preferences and lifestyles play a crucial role in shaping Toyota's product development and marketing strategies to cater to evolving customer needs.</w:t>
      </w:r>
    </w:p>
    <w:p w14:paraId="42757833" w14:textId="77777777" w:rsidR="00814791" w:rsidRPr="00814791" w:rsidRDefault="00814791" w:rsidP="00814791">
      <w:pPr>
        <w:rPr>
          <w:b/>
          <w:bCs/>
        </w:rPr>
      </w:pPr>
      <w:r w:rsidRPr="00814791">
        <w:rPr>
          <w:b/>
          <w:bCs/>
        </w:rPr>
        <w:t>Technological Factors</w:t>
      </w:r>
    </w:p>
    <w:p w14:paraId="2F911B9D" w14:textId="77777777" w:rsidR="00814791" w:rsidRDefault="00814791" w:rsidP="00814791">
      <w:r>
        <w:t>Technological advancements have transformed the automotive industry, and Toyota has remained at the forefront by incorporating innovative technologies in their vehicles. Research and development investments have led to the integration of advanced features such as hybrid systems and autonomous driving capabilities. The adoption of manufacturing technologies and automation has enhanced production efficiency and improved product quality. Furthermore, increasing connectivity in vehicles and digital trends have presented opportunities and challenges for Toyota in terms of integrating technology into their vehicles and enhancing the overall customer experience.</w:t>
      </w:r>
    </w:p>
    <w:p w14:paraId="6CDD1CC4" w14:textId="77777777" w:rsidR="00814791" w:rsidRDefault="00814791" w:rsidP="00814791"/>
    <w:p w14:paraId="79A57706" w14:textId="77777777" w:rsidR="00814791" w:rsidRDefault="00814791" w:rsidP="00814791"/>
    <w:p w14:paraId="5BD409B4" w14:textId="77777777" w:rsidR="00814791" w:rsidRPr="00814791" w:rsidRDefault="00814791" w:rsidP="00814791">
      <w:pPr>
        <w:rPr>
          <w:b/>
          <w:bCs/>
        </w:rPr>
      </w:pPr>
      <w:r w:rsidRPr="00814791">
        <w:rPr>
          <w:b/>
          <w:bCs/>
        </w:rPr>
        <w:t>Legal Factors</w:t>
      </w:r>
    </w:p>
    <w:p w14:paraId="70852736" w14:textId="77777777" w:rsidR="00814791" w:rsidRDefault="00814791" w:rsidP="00814791">
      <w:r>
        <w:t>Legal factors encompass environmental regulations, safety standards, and intellectual property protection. Compliance with environmental standards and regulations related to emissions and waste disposal is crucial for Toyota's operations and product development. Adhering to strict safety regulations impacts vehicle design, production processes, and marketing practices. Furthermore, protecting their patents and intellectual property rights is essential for Toyota to prevent unauthorized use and maintain a competitive advantage in the market.</w:t>
      </w:r>
    </w:p>
    <w:p w14:paraId="3F3E473E" w14:textId="77777777" w:rsidR="00814791" w:rsidRPr="00814791" w:rsidRDefault="00814791" w:rsidP="00814791">
      <w:pPr>
        <w:rPr>
          <w:b/>
          <w:bCs/>
        </w:rPr>
      </w:pPr>
      <w:r w:rsidRPr="00814791">
        <w:rPr>
          <w:b/>
          <w:bCs/>
        </w:rPr>
        <w:t>Environmental Factors</w:t>
      </w:r>
    </w:p>
    <w:p w14:paraId="533FDC7B" w14:textId="77777777" w:rsidR="00814791" w:rsidRPr="00A7299C" w:rsidRDefault="00814791" w:rsidP="00814791">
      <w:r>
        <w:t>Environmental sustainability is of increasing importance in the automotive industry, and Toyota has embraced this challenge. Toyota actively focuses on reducing carbon emissions, promoting fuel efficiency, and developing eco-friendly vehicles. The company aligns its strategies with global environmental goals and caters to consumer demand for eco-conscious options. Additionally, climate change and the concept of carbon footprint directly affect Toyota's product development, driving the need for more environmentally friendly vehicles. Resource availability, such as raw materials, also plays a critical role in Toyota's production and supply chain management.</w:t>
      </w:r>
    </w:p>
    <w:p w14:paraId="1CC5D528" w14:textId="77777777" w:rsidR="00814791" w:rsidRPr="00814791" w:rsidRDefault="00814791" w:rsidP="00814791">
      <w:pPr>
        <w:rPr>
          <w:lang w:eastAsia="en-GB"/>
        </w:rPr>
      </w:pPr>
    </w:p>
    <w:p w14:paraId="35B7ED9F" w14:textId="77777777" w:rsidR="00C77FCB" w:rsidRPr="00A7299C" w:rsidRDefault="00C77FCB" w:rsidP="00A7299C"/>
    <w:p w14:paraId="75F5A49D" w14:textId="77777777" w:rsidR="00A7299C" w:rsidRPr="00A7299C" w:rsidRDefault="00A7299C" w:rsidP="00A7299C"/>
    <w:p w14:paraId="62CD63F0" w14:textId="77777777" w:rsidR="00A7299C" w:rsidRPr="00A7299C" w:rsidRDefault="00A7299C" w:rsidP="00A7299C"/>
    <w:p w14:paraId="0840E441" w14:textId="77777777" w:rsidR="00C27336" w:rsidRDefault="00C27336" w:rsidP="00C27336"/>
    <w:p w14:paraId="2478D29A" w14:textId="77777777" w:rsidR="00C27336" w:rsidRPr="00C27336" w:rsidRDefault="00C27336" w:rsidP="00C27336"/>
    <w:p w14:paraId="448353CC" w14:textId="77777777" w:rsidR="00C27336" w:rsidRPr="00C27336" w:rsidRDefault="00C27336" w:rsidP="00C27336"/>
    <w:p w14:paraId="4456493C" w14:textId="77777777" w:rsidR="00C27336" w:rsidRDefault="00C27336" w:rsidP="00C27336"/>
    <w:p w14:paraId="1FF84EF1" w14:textId="77777777" w:rsidR="00C27336" w:rsidRPr="00C27336" w:rsidRDefault="00C27336" w:rsidP="00C27336"/>
    <w:p w14:paraId="165CACEC" w14:textId="77777777" w:rsidR="00C27336" w:rsidRPr="008471CE" w:rsidRDefault="00C27336" w:rsidP="008471CE"/>
    <w:p w14:paraId="4880DFAD" w14:textId="77777777" w:rsidR="008471CE" w:rsidRPr="008471CE" w:rsidRDefault="008471CE" w:rsidP="008471CE"/>
    <w:p w14:paraId="278D0C87" w14:textId="77777777" w:rsidR="008471CE" w:rsidRPr="008471CE" w:rsidRDefault="008471CE" w:rsidP="008471CE"/>
    <w:p w14:paraId="5818F511" w14:textId="77777777" w:rsidR="008471CE" w:rsidRPr="009A2F75" w:rsidRDefault="008471CE" w:rsidP="009A2F75"/>
    <w:p w14:paraId="7A06E99A" w14:textId="77777777" w:rsidR="009A2F75" w:rsidRPr="009A2F75" w:rsidRDefault="009A2F75" w:rsidP="009A2F75"/>
    <w:p w14:paraId="617EB030" w14:textId="77777777" w:rsidR="009A2F75" w:rsidRPr="009A2F75" w:rsidRDefault="009A2F75" w:rsidP="009A2F75"/>
    <w:p w14:paraId="415B49DC" w14:textId="77777777" w:rsidR="009A2F75" w:rsidRPr="009A2F75" w:rsidRDefault="009A2F75" w:rsidP="009A2F75"/>
    <w:p w14:paraId="0AA037EC" w14:textId="77777777" w:rsidR="009A2F75" w:rsidRDefault="009A2F75" w:rsidP="00D91496"/>
    <w:p w14:paraId="061D4289" w14:textId="77777777" w:rsidR="009A2F75" w:rsidRPr="00D91496" w:rsidRDefault="009A2F75" w:rsidP="00D91496"/>
    <w:p w14:paraId="2A1F51F7" w14:textId="77777777" w:rsidR="00D91496" w:rsidRPr="00D91496" w:rsidRDefault="00D91496" w:rsidP="00D91496"/>
    <w:p w14:paraId="3E53FF87" w14:textId="040E1322" w:rsidR="00D91496" w:rsidRPr="00D91496" w:rsidRDefault="00D91496" w:rsidP="00D91496"/>
    <w:p w14:paraId="0881DFFF" w14:textId="77777777" w:rsidR="00D91496" w:rsidRDefault="00D91496" w:rsidP="009E1AB8"/>
    <w:p w14:paraId="6534E862" w14:textId="77777777" w:rsidR="009E1AB8" w:rsidRPr="009E1AB8" w:rsidRDefault="009E1AB8" w:rsidP="009E1AB8"/>
    <w:p w14:paraId="48DCC89F" w14:textId="77777777" w:rsidR="009E1AB8" w:rsidRPr="009E1AB8" w:rsidRDefault="009E1AB8" w:rsidP="009E1AB8"/>
    <w:p w14:paraId="7266BD42" w14:textId="77777777" w:rsidR="009E1AB8" w:rsidRDefault="009E1AB8" w:rsidP="009E1AB8"/>
    <w:p w14:paraId="2E7B4BCE" w14:textId="77777777" w:rsidR="009E1AB8" w:rsidRPr="009E1AB8" w:rsidRDefault="009E1AB8" w:rsidP="009E1AB8"/>
    <w:p w14:paraId="452F18C6" w14:textId="77777777" w:rsidR="009E1AB8" w:rsidRPr="009E1AB8" w:rsidRDefault="009E1AB8" w:rsidP="009E1AB8"/>
    <w:p w14:paraId="5C8E316D" w14:textId="77777777" w:rsidR="009E1AB8" w:rsidRPr="009E1AB8" w:rsidRDefault="009E1AB8" w:rsidP="009E1AB8"/>
    <w:p w14:paraId="7CF22D48" w14:textId="77777777" w:rsidR="007E6342" w:rsidRPr="007E6342" w:rsidRDefault="007E6342" w:rsidP="007E6342"/>
    <w:p w14:paraId="166FF034" w14:textId="77777777" w:rsidR="007E6342" w:rsidRDefault="007E6342" w:rsidP="007E6342"/>
    <w:p w14:paraId="3A6AC5E3" w14:textId="77777777" w:rsidR="007E6342" w:rsidRPr="007E6342" w:rsidRDefault="007E6342" w:rsidP="007E6342"/>
    <w:p w14:paraId="03A4B66F" w14:textId="77777777" w:rsidR="007E6342" w:rsidRDefault="007E6342" w:rsidP="007E6342">
      <w:pPr>
        <w:rPr>
          <w:b/>
          <w:bCs/>
        </w:rPr>
      </w:pPr>
    </w:p>
    <w:p w14:paraId="1D5EEB42" w14:textId="77777777" w:rsidR="007E6342" w:rsidRPr="007E6342" w:rsidRDefault="007E6342" w:rsidP="007E6342">
      <w:pPr>
        <w:rPr>
          <w:b/>
          <w:bCs/>
        </w:rPr>
      </w:pPr>
    </w:p>
    <w:p w14:paraId="608F2CCB" w14:textId="77777777" w:rsidR="007E6342" w:rsidRPr="007E6342" w:rsidRDefault="007E6342" w:rsidP="007E6342"/>
    <w:p w14:paraId="1F4D8B0C" w14:textId="77777777" w:rsidR="00450C97" w:rsidRDefault="00450C97" w:rsidP="00AF76E9">
      <w:pPr>
        <w:rPr>
          <w:b/>
          <w:bCs/>
        </w:rPr>
      </w:pPr>
    </w:p>
    <w:p w14:paraId="30B7F29C" w14:textId="77777777" w:rsidR="00450C97" w:rsidRPr="00AF76E9" w:rsidRDefault="00450C97" w:rsidP="00AF76E9"/>
    <w:p w14:paraId="7637FD15" w14:textId="77777777" w:rsidR="00AF76E9" w:rsidRPr="00AF76E9" w:rsidRDefault="00AF76E9" w:rsidP="00AF76E9"/>
    <w:p w14:paraId="099427A3" w14:textId="77777777" w:rsidR="00756058" w:rsidRPr="00756058" w:rsidRDefault="00756058" w:rsidP="00756058">
      <w:pPr>
        <w:spacing w:after="100"/>
      </w:pPr>
    </w:p>
    <w:p w14:paraId="76428B68" w14:textId="77777777" w:rsidR="00756058" w:rsidRDefault="00756058" w:rsidP="00756058">
      <w:pPr>
        <w:spacing w:after="100"/>
      </w:pPr>
    </w:p>
    <w:p w14:paraId="5BB64AA9" w14:textId="77777777" w:rsidR="00756058" w:rsidRPr="00756058" w:rsidRDefault="00756058" w:rsidP="00756058"/>
    <w:sectPr w:rsidR="00756058" w:rsidRPr="00756058" w:rsidSect="004C25F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5135CC"/>
    <w:multiLevelType w:val="multilevel"/>
    <w:tmpl w:val="47AACF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A70BA7"/>
    <w:multiLevelType w:val="multilevel"/>
    <w:tmpl w:val="77F0B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EE09DA"/>
    <w:multiLevelType w:val="multilevel"/>
    <w:tmpl w:val="3DFA0B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275A6406"/>
    <w:multiLevelType w:val="hybridMultilevel"/>
    <w:tmpl w:val="30F80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7A1582"/>
    <w:multiLevelType w:val="multilevel"/>
    <w:tmpl w:val="A57E86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5E4154"/>
    <w:multiLevelType w:val="multilevel"/>
    <w:tmpl w:val="E2F69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2F82B7F"/>
    <w:multiLevelType w:val="multilevel"/>
    <w:tmpl w:val="BA12BE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6115B0E"/>
    <w:multiLevelType w:val="hybridMultilevel"/>
    <w:tmpl w:val="0C822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6B86854"/>
    <w:multiLevelType w:val="multilevel"/>
    <w:tmpl w:val="5FDCD518"/>
    <w:lvl w:ilvl="0">
      <w:start w:val="2"/>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9" w15:restartNumberingAfterBreak="0">
    <w:nsid w:val="6F9C756C"/>
    <w:multiLevelType w:val="multilevel"/>
    <w:tmpl w:val="FFE225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2573EAD"/>
    <w:multiLevelType w:val="multilevel"/>
    <w:tmpl w:val="4970B7A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1497459330">
    <w:abstractNumId w:val="10"/>
  </w:num>
  <w:num w:numId="2" w16cid:durableId="26298767">
    <w:abstractNumId w:val="2"/>
  </w:num>
  <w:num w:numId="3" w16cid:durableId="1205288014">
    <w:abstractNumId w:val="8"/>
  </w:num>
  <w:num w:numId="4" w16cid:durableId="1025641546">
    <w:abstractNumId w:val="3"/>
  </w:num>
  <w:num w:numId="5" w16cid:durableId="2051877369">
    <w:abstractNumId w:val="7"/>
  </w:num>
  <w:num w:numId="6" w16cid:durableId="455416225">
    <w:abstractNumId w:val="9"/>
  </w:num>
  <w:num w:numId="7" w16cid:durableId="93788903">
    <w:abstractNumId w:val="0"/>
  </w:num>
  <w:num w:numId="8" w16cid:durableId="412555434">
    <w:abstractNumId w:val="1"/>
  </w:num>
  <w:num w:numId="9" w16cid:durableId="1850413865">
    <w:abstractNumId w:val="4"/>
  </w:num>
  <w:num w:numId="10" w16cid:durableId="295378268">
    <w:abstractNumId w:val="5"/>
  </w:num>
  <w:num w:numId="11" w16cid:durableId="179752322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B08"/>
    <w:rsid w:val="00067E15"/>
    <w:rsid w:val="000A360A"/>
    <w:rsid w:val="000B5C65"/>
    <w:rsid w:val="001E3A1D"/>
    <w:rsid w:val="002112FF"/>
    <w:rsid w:val="00244296"/>
    <w:rsid w:val="002620F6"/>
    <w:rsid w:val="002D68D9"/>
    <w:rsid w:val="0031011D"/>
    <w:rsid w:val="00352F73"/>
    <w:rsid w:val="0035751F"/>
    <w:rsid w:val="003A0200"/>
    <w:rsid w:val="003A7087"/>
    <w:rsid w:val="003F7809"/>
    <w:rsid w:val="00420E57"/>
    <w:rsid w:val="00427EF7"/>
    <w:rsid w:val="00450C97"/>
    <w:rsid w:val="004C25FB"/>
    <w:rsid w:val="004D59CF"/>
    <w:rsid w:val="00520E98"/>
    <w:rsid w:val="00530B43"/>
    <w:rsid w:val="00546B18"/>
    <w:rsid w:val="005F65B4"/>
    <w:rsid w:val="0060624D"/>
    <w:rsid w:val="00617C03"/>
    <w:rsid w:val="006350FE"/>
    <w:rsid w:val="006A4C90"/>
    <w:rsid w:val="00756058"/>
    <w:rsid w:val="007A0DF1"/>
    <w:rsid w:val="007E6342"/>
    <w:rsid w:val="00814791"/>
    <w:rsid w:val="00833130"/>
    <w:rsid w:val="00841C43"/>
    <w:rsid w:val="008471CE"/>
    <w:rsid w:val="008A7A7F"/>
    <w:rsid w:val="00920EDE"/>
    <w:rsid w:val="009445CD"/>
    <w:rsid w:val="00951841"/>
    <w:rsid w:val="009A2F75"/>
    <w:rsid w:val="009C4EFD"/>
    <w:rsid w:val="009E1AB8"/>
    <w:rsid w:val="00A32A05"/>
    <w:rsid w:val="00A7299C"/>
    <w:rsid w:val="00AE3FA6"/>
    <w:rsid w:val="00AF76E9"/>
    <w:rsid w:val="00B55419"/>
    <w:rsid w:val="00C17AB3"/>
    <w:rsid w:val="00C27336"/>
    <w:rsid w:val="00C77FCB"/>
    <w:rsid w:val="00CC1330"/>
    <w:rsid w:val="00D66847"/>
    <w:rsid w:val="00D91496"/>
    <w:rsid w:val="00DA380E"/>
    <w:rsid w:val="00E30B08"/>
    <w:rsid w:val="00EF2B20"/>
    <w:rsid w:val="00F91E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A9D197"/>
  <w15:chartTrackingRefBased/>
  <w15:docId w15:val="{EDBEAFF1-50D0-4E9D-8C05-70EB54BDF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60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E63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6058"/>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56058"/>
    <w:pPr>
      <w:ind w:left="720"/>
      <w:contextualSpacing/>
    </w:pPr>
  </w:style>
  <w:style w:type="character" w:customStyle="1" w:styleId="Heading2Char">
    <w:name w:val="Heading 2 Char"/>
    <w:basedOn w:val="DefaultParagraphFont"/>
    <w:link w:val="Heading2"/>
    <w:uiPriority w:val="9"/>
    <w:rsid w:val="007E634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77FCB"/>
    <w:pPr>
      <w:outlineLvl w:val="9"/>
    </w:pPr>
    <w:rPr>
      <w:lang w:eastAsia="en-GB"/>
    </w:rPr>
  </w:style>
  <w:style w:type="paragraph" w:styleId="TOC1">
    <w:name w:val="toc 1"/>
    <w:basedOn w:val="Normal"/>
    <w:next w:val="Normal"/>
    <w:autoRedefine/>
    <w:uiPriority w:val="39"/>
    <w:unhideWhenUsed/>
    <w:rsid w:val="00C77FCB"/>
    <w:pPr>
      <w:spacing w:after="100"/>
    </w:pPr>
  </w:style>
  <w:style w:type="paragraph" w:styleId="TOC2">
    <w:name w:val="toc 2"/>
    <w:basedOn w:val="Normal"/>
    <w:next w:val="Normal"/>
    <w:autoRedefine/>
    <w:uiPriority w:val="39"/>
    <w:unhideWhenUsed/>
    <w:rsid w:val="00C77FCB"/>
    <w:pPr>
      <w:spacing w:after="100"/>
      <w:ind w:left="220"/>
    </w:pPr>
  </w:style>
  <w:style w:type="character" w:styleId="Hyperlink">
    <w:name w:val="Hyperlink"/>
    <w:basedOn w:val="DefaultParagraphFont"/>
    <w:uiPriority w:val="99"/>
    <w:unhideWhenUsed/>
    <w:rsid w:val="00C77FCB"/>
    <w:rPr>
      <w:color w:val="0563C1" w:themeColor="hyperlink"/>
      <w:u w:val="single"/>
    </w:rPr>
  </w:style>
  <w:style w:type="paragraph" w:styleId="NoSpacing">
    <w:name w:val="No Spacing"/>
    <w:link w:val="NoSpacingChar"/>
    <w:uiPriority w:val="1"/>
    <w:qFormat/>
    <w:rsid w:val="002112FF"/>
    <w:pPr>
      <w:spacing w:after="0" w:line="240" w:lineRule="auto"/>
    </w:pPr>
    <w:rPr>
      <w:rFonts w:eastAsiaTheme="minorEastAsia"/>
      <w:lang w:eastAsia="en-GB"/>
    </w:rPr>
  </w:style>
  <w:style w:type="character" w:customStyle="1" w:styleId="NoSpacingChar">
    <w:name w:val="No Spacing Char"/>
    <w:basedOn w:val="DefaultParagraphFont"/>
    <w:link w:val="NoSpacing"/>
    <w:uiPriority w:val="1"/>
    <w:rsid w:val="002112FF"/>
    <w:rPr>
      <w:rFonts w:eastAsiaTheme="minorEastAsia"/>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358282">
      <w:bodyDiv w:val="1"/>
      <w:marLeft w:val="0"/>
      <w:marRight w:val="0"/>
      <w:marTop w:val="0"/>
      <w:marBottom w:val="0"/>
      <w:divBdr>
        <w:top w:val="none" w:sz="0" w:space="0" w:color="auto"/>
        <w:left w:val="none" w:sz="0" w:space="0" w:color="auto"/>
        <w:bottom w:val="none" w:sz="0" w:space="0" w:color="auto"/>
        <w:right w:val="none" w:sz="0" w:space="0" w:color="auto"/>
      </w:divBdr>
    </w:div>
    <w:div w:id="21103010">
      <w:bodyDiv w:val="1"/>
      <w:marLeft w:val="0"/>
      <w:marRight w:val="0"/>
      <w:marTop w:val="0"/>
      <w:marBottom w:val="0"/>
      <w:divBdr>
        <w:top w:val="none" w:sz="0" w:space="0" w:color="auto"/>
        <w:left w:val="none" w:sz="0" w:space="0" w:color="auto"/>
        <w:bottom w:val="none" w:sz="0" w:space="0" w:color="auto"/>
        <w:right w:val="none" w:sz="0" w:space="0" w:color="auto"/>
      </w:divBdr>
    </w:div>
    <w:div w:id="28649593">
      <w:bodyDiv w:val="1"/>
      <w:marLeft w:val="0"/>
      <w:marRight w:val="0"/>
      <w:marTop w:val="0"/>
      <w:marBottom w:val="0"/>
      <w:divBdr>
        <w:top w:val="none" w:sz="0" w:space="0" w:color="auto"/>
        <w:left w:val="none" w:sz="0" w:space="0" w:color="auto"/>
        <w:bottom w:val="none" w:sz="0" w:space="0" w:color="auto"/>
        <w:right w:val="none" w:sz="0" w:space="0" w:color="auto"/>
      </w:divBdr>
    </w:div>
    <w:div w:id="63645587">
      <w:bodyDiv w:val="1"/>
      <w:marLeft w:val="0"/>
      <w:marRight w:val="0"/>
      <w:marTop w:val="0"/>
      <w:marBottom w:val="0"/>
      <w:divBdr>
        <w:top w:val="none" w:sz="0" w:space="0" w:color="auto"/>
        <w:left w:val="none" w:sz="0" w:space="0" w:color="auto"/>
        <w:bottom w:val="none" w:sz="0" w:space="0" w:color="auto"/>
        <w:right w:val="none" w:sz="0" w:space="0" w:color="auto"/>
      </w:divBdr>
    </w:div>
    <w:div w:id="69617197">
      <w:bodyDiv w:val="1"/>
      <w:marLeft w:val="0"/>
      <w:marRight w:val="0"/>
      <w:marTop w:val="0"/>
      <w:marBottom w:val="0"/>
      <w:divBdr>
        <w:top w:val="none" w:sz="0" w:space="0" w:color="auto"/>
        <w:left w:val="none" w:sz="0" w:space="0" w:color="auto"/>
        <w:bottom w:val="none" w:sz="0" w:space="0" w:color="auto"/>
        <w:right w:val="none" w:sz="0" w:space="0" w:color="auto"/>
      </w:divBdr>
      <w:divsChild>
        <w:div w:id="1704355400">
          <w:marLeft w:val="0"/>
          <w:marRight w:val="0"/>
          <w:marTop w:val="0"/>
          <w:marBottom w:val="0"/>
          <w:divBdr>
            <w:top w:val="none" w:sz="0" w:space="0" w:color="auto"/>
            <w:left w:val="none" w:sz="0" w:space="0" w:color="auto"/>
            <w:bottom w:val="none" w:sz="0" w:space="0" w:color="auto"/>
            <w:right w:val="none" w:sz="0" w:space="0" w:color="auto"/>
          </w:divBdr>
        </w:div>
      </w:divsChild>
    </w:div>
    <w:div w:id="73356149">
      <w:bodyDiv w:val="1"/>
      <w:marLeft w:val="0"/>
      <w:marRight w:val="0"/>
      <w:marTop w:val="0"/>
      <w:marBottom w:val="0"/>
      <w:divBdr>
        <w:top w:val="none" w:sz="0" w:space="0" w:color="auto"/>
        <w:left w:val="none" w:sz="0" w:space="0" w:color="auto"/>
        <w:bottom w:val="none" w:sz="0" w:space="0" w:color="auto"/>
        <w:right w:val="none" w:sz="0" w:space="0" w:color="auto"/>
      </w:divBdr>
    </w:div>
    <w:div w:id="132254506">
      <w:bodyDiv w:val="1"/>
      <w:marLeft w:val="0"/>
      <w:marRight w:val="0"/>
      <w:marTop w:val="0"/>
      <w:marBottom w:val="0"/>
      <w:divBdr>
        <w:top w:val="none" w:sz="0" w:space="0" w:color="auto"/>
        <w:left w:val="none" w:sz="0" w:space="0" w:color="auto"/>
        <w:bottom w:val="none" w:sz="0" w:space="0" w:color="auto"/>
        <w:right w:val="none" w:sz="0" w:space="0" w:color="auto"/>
      </w:divBdr>
    </w:div>
    <w:div w:id="152379042">
      <w:bodyDiv w:val="1"/>
      <w:marLeft w:val="0"/>
      <w:marRight w:val="0"/>
      <w:marTop w:val="0"/>
      <w:marBottom w:val="0"/>
      <w:divBdr>
        <w:top w:val="none" w:sz="0" w:space="0" w:color="auto"/>
        <w:left w:val="none" w:sz="0" w:space="0" w:color="auto"/>
        <w:bottom w:val="none" w:sz="0" w:space="0" w:color="auto"/>
        <w:right w:val="none" w:sz="0" w:space="0" w:color="auto"/>
      </w:divBdr>
    </w:div>
    <w:div w:id="189607081">
      <w:bodyDiv w:val="1"/>
      <w:marLeft w:val="0"/>
      <w:marRight w:val="0"/>
      <w:marTop w:val="0"/>
      <w:marBottom w:val="0"/>
      <w:divBdr>
        <w:top w:val="none" w:sz="0" w:space="0" w:color="auto"/>
        <w:left w:val="none" w:sz="0" w:space="0" w:color="auto"/>
        <w:bottom w:val="none" w:sz="0" w:space="0" w:color="auto"/>
        <w:right w:val="none" w:sz="0" w:space="0" w:color="auto"/>
      </w:divBdr>
    </w:div>
    <w:div w:id="233206113">
      <w:bodyDiv w:val="1"/>
      <w:marLeft w:val="0"/>
      <w:marRight w:val="0"/>
      <w:marTop w:val="0"/>
      <w:marBottom w:val="0"/>
      <w:divBdr>
        <w:top w:val="none" w:sz="0" w:space="0" w:color="auto"/>
        <w:left w:val="none" w:sz="0" w:space="0" w:color="auto"/>
        <w:bottom w:val="none" w:sz="0" w:space="0" w:color="auto"/>
        <w:right w:val="none" w:sz="0" w:space="0" w:color="auto"/>
      </w:divBdr>
    </w:div>
    <w:div w:id="336229123">
      <w:bodyDiv w:val="1"/>
      <w:marLeft w:val="0"/>
      <w:marRight w:val="0"/>
      <w:marTop w:val="0"/>
      <w:marBottom w:val="0"/>
      <w:divBdr>
        <w:top w:val="none" w:sz="0" w:space="0" w:color="auto"/>
        <w:left w:val="none" w:sz="0" w:space="0" w:color="auto"/>
        <w:bottom w:val="none" w:sz="0" w:space="0" w:color="auto"/>
        <w:right w:val="none" w:sz="0" w:space="0" w:color="auto"/>
      </w:divBdr>
    </w:div>
    <w:div w:id="341786400">
      <w:bodyDiv w:val="1"/>
      <w:marLeft w:val="0"/>
      <w:marRight w:val="0"/>
      <w:marTop w:val="0"/>
      <w:marBottom w:val="0"/>
      <w:divBdr>
        <w:top w:val="none" w:sz="0" w:space="0" w:color="auto"/>
        <w:left w:val="none" w:sz="0" w:space="0" w:color="auto"/>
        <w:bottom w:val="none" w:sz="0" w:space="0" w:color="auto"/>
        <w:right w:val="none" w:sz="0" w:space="0" w:color="auto"/>
      </w:divBdr>
    </w:div>
    <w:div w:id="359747249">
      <w:bodyDiv w:val="1"/>
      <w:marLeft w:val="0"/>
      <w:marRight w:val="0"/>
      <w:marTop w:val="0"/>
      <w:marBottom w:val="0"/>
      <w:divBdr>
        <w:top w:val="none" w:sz="0" w:space="0" w:color="auto"/>
        <w:left w:val="none" w:sz="0" w:space="0" w:color="auto"/>
        <w:bottom w:val="none" w:sz="0" w:space="0" w:color="auto"/>
        <w:right w:val="none" w:sz="0" w:space="0" w:color="auto"/>
      </w:divBdr>
    </w:div>
    <w:div w:id="419647109">
      <w:bodyDiv w:val="1"/>
      <w:marLeft w:val="0"/>
      <w:marRight w:val="0"/>
      <w:marTop w:val="0"/>
      <w:marBottom w:val="0"/>
      <w:divBdr>
        <w:top w:val="none" w:sz="0" w:space="0" w:color="auto"/>
        <w:left w:val="none" w:sz="0" w:space="0" w:color="auto"/>
        <w:bottom w:val="none" w:sz="0" w:space="0" w:color="auto"/>
        <w:right w:val="none" w:sz="0" w:space="0" w:color="auto"/>
      </w:divBdr>
    </w:div>
    <w:div w:id="449589436">
      <w:bodyDiv w:val="1"/>
      <w:marLeft w:val="0"/>
      <w:marRight w:val="0"/>
      <w:marTop w:val="0"/>
      <w:marBottom w:val="0"/>
      <w:divBdr>
        <w:top w:val="none" w:sz="0" w:space="0" w:color="auto"/>
        <w:left w:val="none" w:sz="0" w:space="0" w:color="auto"/>
        <w:bottom w:val="none" w:sz="0" w:space="0" w:color="auto"/>
        <w:right w:val="none" w:sz="0" w:space="0" w:color="auto"/>
      </w:divBdr>
    </w:div>
    <w:div w:id="547959184">
      <w:bodyDiv w:val="1"/>
      <w:marLeft w:val="0"/>
      <w:marRight w:val="0"/>
      <w:marTop w:val="0"/>
      <w:marBottom w:val="0"/>
      <w:divBdr>
        <w:top w:val="none" w:sz="0" w:space="0" w:color="auto"/>
        <w:left w:val="none" w:sz="0" w:space="0" w:color="auto"/>
        <w:bottom w:val="none" w:sz="0" w:space="0" w:color="auto"/>
        <w:right w:val="none" w:sz="0" w:space="0" w:color="auto"/>
      </w:divBdr>
    </w:div>
    <w:div w:id="551113108">
      <w:bodyDiv w:val="1"/>
      <w:marLeft w:val="0"/>
      <w:marRight w:val="0"/>
      <w:marTop w:val="0"/>
      <w:marBottom w:val="0"/>
      <w:divBdr>
        <w:top w:val="none" w:sz="0" w:space="0" w:color="auto"/>
        <w:left w:val="none" w:sz="0" w:space="0" w:color="auto"/>
        <w:bottom w:val="none" w:sz="0" w:space="0" w:color="auto"/>
        <w:right w:val="none" w:sz="0" w:space="0" w:color="auto"/>
      </w:divBdr>
    </w:div>
    <w:div w:id="573587772">
      <w:bodyDiv w:val="1"/>
      <w:marLeft w:val="0"/>
      <w:marRight w:val="0"/>
      <w:marTop w:val="0"/>
      <w:marBottom w:val="0"/>
      <w:divBdr>
        <w:top w:val="none" w:sz="0" w:space="0" w:color="auto"/>
        <w:left w:val="none" w:sz="0" w:space="0" w:color="auto"/>
        <w:bottom w:val="none" w:sz="0" w:space="0" w:color="auto"/>
        <w:right w:val="none" w:sz="0" w:space="0" w:color="auto"/>
      </w:divBdr>
    </w:div>
    <w:div w:id="593319868">
      <w:bodyDiv w:val="1"/>
      <w:marLeft w:val="0"/>
      <w:marRight w:val="0"/>
      <w:marTop w:val="0"/>
      <w:marBottom w:val="0"/>
      <w:divBdr>
        <w:top w:val="none" w:sz="0" w:space="0" w:color="auto"/>
        <w:left w:val="none" w:sz="0" w:space="0" w:color="auto"/>
        <w:bottom w:val="none" w:sz="0" w:space="0" w:color="auto"/>
        <w:right w:val="none" w:sz="0" w:space="0" w:color="auto"/>
      </w:divBdr>
    </w:div>
    <w:div w:id="636254435">
      <w:bodyDiv w:val="1"/>
      <w:marLeft w:val="0"/>
      <w:marRight w:val="0"/>
      <w:marTop w:val="0"/>
      <w:marBottom w:val="0"/>
      <w:divBdr>
        <w:top w:val="none" w:sz="0" w:space="0" w:color="auto"/>
        <w:left w:val="none" w:sz="0" w:space="0" w:color="auto"/>
        <w:bottom w:val="none" w:sz="0" w:space="0" w:color="auto"/>
        <w:right w:val="none" w:sz="0" w:space="0" w:color="auto"/>
      </w:divBdr>
    </w:div>
    <w:div w:id="683870556">
      <w:bodyDiv w:val="1"/>
      <w:marLeft w:val="0"/>
      <w:marRight w:val="0"/>
      <w:marTop w:val="0"/>
      <w:marBottom w:val="0"/>
      <w:divBdr>
        <w:top w:val="none" w:sz="0" w:space="0" w:color="auto"/>
        <w:left w:val="none" w:sz="0" w:space="0" w:color="auto"/>
        <w:bottom w:val="none" w:sz="0" w:space="0" w:color="auto"/>
        <w:right w:val="none" w:sz="0" w:space="0" w:color="auto"/>
      </w:divBdr>
    </w:div>
    <w:div w:id="758136728">
      <w:bodyDiv w:val="1"/>
      <w:marLeft w:val="0"/>
      <w:marRight w:val="0"/>
      <w:marTop w:val="0"/>
      <w:marBottom w:val="0"/>
      <w:divBdr>
        <w:top w:val="none" w:sz="0" w:space="0" w:color="auto"/>
        <w:left w:val="none" w:sz="0" w:space="0" w:color="auto"/>
        <w:bottom w:val="none" w:sz="0" w:space="0" w:color="auto"/>
        <w:right w:val="none" w:sz="0" w:space="0" w:color="auto"/>
      </w:divBdr>
    </w:div>
    <w:div w:id="762341798">
      <w:bodyDiv w:val="1"/>
      <w:marLeft w:val="0"/>
      <w:marRight w:val="0"/>
      <w:marTop w:val="0"/>
      <w:marBottom w:val="0"/>
      <w:divBdr>
        <w:top w:val="none" w:sz="0" w:space="0" w:color="auto"/>
        <w:left w:val="none" w:sz="0" w:space="0" w:color="auto"/>
        <w:bottom w:val="none" w:sz="0" w:space="0" w:color="auto"/>
        <w:right w:val="none" w:sz="0" w:space="0" w:color="auto"/>
      </w:divBdr>
    </w:div>
    <w:div w:id="783813992">
      <w:bodyDiv w:val="1"/>
      <w:marLeft w:val="0"/>
      <w:marRight w:val="0"/>
      <w:marTop w:val="0"/>
      <w:marBottom w:val="0"/>
      <w:divBdr>
        <w:top w:val="none" w:sz="0" w:space="0" w:color="auto"/>
        <w:left w:val="none" w:sz="0" w:space="0" w:color="auto"/>
        <w:bottom w:val="none" w:sz="0" w:space="0" w:color="auto"/>
        <w:right w:val="none" w:sz="0" w:space="0" w:color="auto"/>
      </w:divBdr>
    </w:div>
    <w:div w:id="836072553">
      <w:bodyDiv w:val="1"/>
      <w:marLeft w:val="0"/>
      <w:marRight w:val="0"/>
      <w:marTop w:val="0"/>
      <w:marBottom w:val="0"/>
      <w:divBdr>
        <w:top w:val="none" w:sz="0" w:space="0" w:color="auto"/>
        <w:left w:val="none" w:sz="0" w:space="0" w:color="auto"/>
        <w:bottom w:val="none" w:sz="0" w:space="0" w:color="auto"/>
        <w:right w:val="none" w:sz="0" w:space="0" w:color="auto"/>
      </w:divBdr>
    </w:div>
    <w:div w:id="848832535">
      <w:bodyDiv w:val="1"/>
      <w:marLeft w:val="0"/>
      <w:marRight w:val="0"/>
      <w:marTop w:val="0"/>
      <w:marBottom w:val="0"/>
      <w:divBdr>
        <w:top w:val="none" w:sz="0" w:space="0" w:color="auto"/>
        <w:left w:val="none" w:sz="0" w:space="0" w:color="auto"/>
        <w:bottom w:val="none" w:sz="0" w:space="0" w:color="auto"/>
        <w:right w:val="none" w:sz="0" w:space="0" w:color="auto"/>
      </w:divBdr>
    </w:div>
    <w:div w:id="960189453">
      <w:bodyDiv w:val="1"/>
      <w:marLeft w:val="0"/>
      <w:marRight w:val="0"/>
      <w:marTop w:val="0"/>
      <w:marBottom w:val="0"/>
      <w:divBdr>
        <w:top w:val="none" w:sz="0" w:space="0" w:color="auto"/>
        <w:left w:val="none" w:sz="0" w:space="0" w:color="auto"/>
        <w:bottom w:val="none" w:sz="0" w:space="0" w:color="auto"/>
        <w:right w:val="none" w:sz="0" w:space="0" w:color="auto"/>
      </w:divBdr>
    </w:div>
    <w:div w:id="1114517571">
      <w:bodyDiv w:val="1"/>
      <w:marLeft w:val="0"/>
      <w:marRight w:val="0"/>
      <w:marTop w:val="0"/>
      <w:marBottom w:val="0"/>
      <w:divBdr>
        <w:top w:val="none" w:sz="0" w:space="0" w:color="auto"/>
        <w:left w:val="none" w:sz="0" w:space="0" w:color="auto"/>
        <w:bottom w:val="none" w:sz="0" w:space="0" w:color="auto"/>
        <w:right w:val="none" w:sz="0" w:space="0" w:color="auto"/>
      </w:divBdr>
    </w:div>
    <w:div w:id="1145389922">
      <w:bodyDiv w:val="1"/>
      <w:marLeft w:val="0"/>
      <w:marRight w:val="0"/>
      <w:marTop w:val="0"/>
      <w:marBottom w:val="0"/>
      <w:divBdr>
        <w:top w:val="none" w:sz="0" w:space="0" w:color="auto"/>
        <w:left w:val="none" w:sz="0" w:space="0" w:color="auto"/>
        <w:bottom w:val="none" w:sz="0" w:space="0" w:color="auto"/>
        <w:right w:val="none" w:sz="0" w:space="0" w:color="auto"/>
      </w:divBdr>
    </w:div>
    <w:div w:id="1247110106">
      <w:bodyDiv w:val="1"/>
      <w:marLeft w:val="0"/>
      <w:marRight w:val="0"/>
      <w:marTop w:val="0"/>
      <w:marBottom w:val="0"/>
      <w:divBdr>
        <w:top w:val="none" w:sz="0" w:space="0" w:color="auto"/>
        <w:left w:val="none" w:sz="0" w:space="0" w:color="auto"/>
        <w:bottom w:val="none" w:sz="0" w:space="0" w:color="auto"/>
        <w:right w:val="none" w:sz="0" w:space="0" w:color="auto"/>
      </w:divBdr>
    </w:div>
    <w:div w:id="1286155051">
      <w:bodyDiv w:val="1"/>
      <w:marLeft w:val="0"/>
      <w:marRight w:val="0"/>
      <w:marTop w:val="0"/>
      <w:marBottom w:val="0"/>
      <w:divBdr>
        <w:top w:val="none" w:sz="0" w:space="0" w:color="auto"/>
        <w:left w:val="none" w:sz="0" w:space="0" w:color="auto"/>
        <w:bottom w:val="none" w:sz="0" w:space="0" w:color="auto"/>
        <w:right w:val="none" w:sz="0" w:space="0" w:color="auto"/>
      </w:divBdr>
    </w:div>
    <w:div w:id="1292402189">
      <w:bodyDiv w:val="1"/>
      <w:marLeft w:val="0"/>
      <w:marRight w:val="0"/>
      <w:marTop w:val="0"/>
      <w:marBottom w:val="0"/>
      <w:divBdr>
        <w:top w:val="none" w:sz="0" w:space="0" w:color="auto"/>
        <w:left w:val="none" w:sz="0" w:space="0" w:color="auto"/>
        <w:bottom w:val="none" w:sz="0" w:space="0" w:color="auto"/>
        <w:right w:val="none" w:sz="0" w:space="0" w:color="auto"/>
      </w:divBdr>
    </w:div>
    <w:div w:id="1312170765">
      <w:bodyDiv w:val="1"/>
      <w:marLeft w:val="0"/>
      <w:marRight w:val="0"/>
      <w:marTop w:val="0"/>
      <w:marBottom w:val="0"/>
      <w:divBdr>
        <w:top w:val="none" w:sz="0" w:space="0" w:color="auto"/>
        <w:left w:val="none" w:sz="0" w:space="0" w:color="auto"/>
        <w:bottom w:val="none" w:sz="0" w:space="0" w:color="auto"/>
        <w:right w:val="none" w:sz="0" w:space="0" w:color="auto"/>
      </w:divBdr>
    </w:div>
    <w:div w:id="1318608500">
      <w:bodyDiv w:val="1"/>
      <w:marLeft w:val="0"/>
      <w:marRight w:val="0"/>
      <w:marTop w:val="0"/>
      <w:marBottom w:val="0"/>
      <w:divBdr>
        <w:top w:val="none" w:sz="0" w:space="0" w:color="auto"/>
        <w:left w:val="none" w:sz="0" w:space="0" w:color="auto"/>
        <w:bottom w:val="none" w:sz="0" w:space="0" w:color="auto"/>
        <w:right w:val="none" w:sz="0" w:space="0" w:color="auto"/>
      </w:divBdr>
    </w:div>
    <w:div w:id="1383822249">
      <w:bodyDiv w:val="1"/>
      <w:marLeft w:val="0"/>
      <w:marRight w:val="0"/>
      <w:marTop w:val="0"/>
      <w:marBottom w:val="0"/>
      <w:divBdr>
        <w:top w:val="none" w:sz="0" w:space="0" w:color="auto"/>
        <w:left w:val="none" w:sz="0" w:space="0" w:color="auto"/>
        <w:bottom w:val="none" w:sz="0" w:space="0" w:color="auto"/>
        <w:right w:val="none" w:sz="0" w:space="0" w:color="auto"/>
      </w:divBdr>
    </w:div>
    <w:div w:id="1390957521">
      <w:bodyDiv w:val="1"/>
      <w:marLeft w:val="0"/>
      <w:marRight w:val="0"/>
      <w:marTop w:val="0"/>
      <w:marBottom w:val="0"/>
      <w:divBdr>
        <w:top w:val="none" w:sz="0" w:space="0" w:color="auto"/>
        <w:left w:val="none" w:sz="0" w:space="0" w:color="auto"/>
        <w:bottom w:val="none" w:sz="0" w:space="0" w:color="auto"/>
        <w:right w:val="none" w:sz="0" w:space="0" w:color="auto"/>
      </w:divBdr>
    </w:div>
    <w:div w:id="1421875247">
      <w:bodyDiv w:val="1"/>
      <w:marLeft w:val="0"/>
      <w:marRight w:val="0"/>
      <w:marTop w:val="0"/>
      <w:marBottom w:val="0"/>
      <w:divBdr>
        <w:top w:val="none" w:sz="0" w:space="0" w:color="auto"/>
        <w:left w:val="none" w:sz="0" w:space="0" w:color="auto"/>
        <w:bottom w:val="none" w:sz="0" w:space="0" w:color="auto"/>
        <w:right w:val="none" w:sz="0" w:space="0" w:color="auto"/>
      </w:divBdr>
    </w:div>
    <w:div w:id="1480922568">
      <w:bodyDiv w:val="1"/>
      <w:marLeft w:val="0"/>
      <w:marRight w:val="0"/>
      <w:marTop w:val="0"/>
      <w:marBottom w:val="0"/>
      <w:divBdr>
        <w:top w:val="none" w:sz="0" w:space="0" w:color="auto"/>
        <w:left w:val="none" w:sz="0" w:space="0" w:color="auto"/>
        <w:bottom w:val="none" w:sz="0" w:space="0" w:color="auto"/>
        <w:right w:val="none" w:sz="0" w:space="0" w:color="auto"/>
      </w:divBdr>
    </w:div>
    <w:div w:id="1532769305">
      <w:bodyDiv w:val="1"/>
      <w:marLeft w:val="0"/>
      <w:marRight w:val="0"/>
      <w:marTop w:val="0"/>
      <w:marBottom w:val="0"/>
      <w:divBdr>
        <w:top w:val="none" w:sz="0" w:space="0" w:color="auto"/>
        <w:left w:val="none" w:sz="0" w:space="0" w:color="auto"/>
        <w:bottom w:val="none" w:sz="0" w:space="0" w:color="auto"/>
        <w:right w:val="none" w:sz="0" w:space="0" w:color="auto"/>
      </w:divBdr>
      <w:divsChild>
        <w:div w:id="616716194">
          <w:marLeft w:val="0"/>
          <w:marRight w:val="0"/>
          <w:marTop w:val="0"/>
          <w:marBottom w:val="0"/>
          <w:divBdr>
            <w:top w:val="none" w:sz="0" w:space="0" w:color="auto"/>
            <w:left w:val="none" w:sz="0" w:space="0" w:color="auto"/>
            <w:bottom w:val="none" w:sz="0" w:space="0" w:color="auto"/>
            <w:right w:val="none" w:sz="0" w:space="0" w:color="auto"/>
          </w:divBdr>
          <w:divsChild>
            <w:div w:id="1689715476">
              <w:marLeft w:val="0"/>
              <w:marRight w:val="0"/>
              <w:marTop w:val="0"/>
              <w:marBottom w:val="0"/>
              <w:divBdr>
                <w:top w:val="none" w:sz="0" w:space="0" w:color="auto"/>
                <w:left w:val="none" w:sz="0" w:space="0" w:color="auto"/>
                <w:bottom w:val="none" w:sz="0" w:space="0" w:color="auto"/>
                <w:right w:val="none" w:sz="0" w:space="0" w:color="auto"/>
              </w:divBdr>
              <w:divsChild>
                <w:div w:id="1774470728">
                  <w:marLeft w:val="0"/>
                  <w:marRight w:val="0"/>
                  <w:marTop w:val="0"/>
                  <w:marBottom w:val="0"/>
                  <w:divBdr>
                    <w:top w:val="none" w:sz="0" w:space="0" w:color="auto"/>
                    <w:left w:val="none" w:sz="0" w:space="0" w:color="auto"/>
                    <w:bottom w:val="none" w:sz="0" w:space="0" w:color="auto"/>
                    <w:right w:val="none" w:sz="0" w:space="0" w:color="auto"/>
                  </w:divBdr>
                  <w:divsChild>
                    <w:div w:id="1700742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3358876">
          <w:marLeft w:val="0"/>
          <w:marRight w:val="0"/>
          <w:marTop w:val="0"/>
          <w:marBottom w:val="0"/>
          <w:divBdr>
            <w:top w:val="none" w:sz="0" w:space="0" w:color="auto"/>
            <w:left w:val="none" w:sz="0" w:space="0" w:color="auto"/>
            <w:bottom w:val="none" w:sz="0" w:space="0" w:color="auto"/>
            <w:right w:val="none" w:sz="0" w:space="0" w:color="auto"/>
          </w:divBdr>
          <w:divsChild>
            <w:div w:id="196161898">
              <w:marLeft w:val="0"/>
              <w:marRight w:val="0"/>
              <w:marTop w:val="0"/>
              <w:marBottom w:val="0"/>
              <w:divBdr>
                <w:top w:val="none" w:sz="0" w:space="0" w:color="auto"/>
                <w:left w:val="none" w:sz="0" w:space="0" w:color="auto"/>
                <w:bottom w:val="none" w:sz="0" w:space="0" w:color="auto"/>
                <w:right w:val="none" w:sz="0" w:space="0" w:color="auto"/>
              </w:divBdr>
              <w:divsChild>
                <w:div w:id="537663610">
                  <w:marLeft w:val="0"/>
                  <w:marRight w:val="0"/>
                  <w:marTop w:val="0"/>
                  <w:marBottom w:val="0"/>
                  <w:divBdr>
                    <w:top w:val="none" w:sz="0" w:space="0" w:color="auto"/>
                    <w:left w:val="none" w:sz="0" w:space="0" w:color="auto"/>
                    <w:bottom w:val="none" w:sz="0" w:space="0" w:color="auto"/>
                    <w:right w:val="none" w:sz="0" w:space="0" w:color="auto"/>
                  </w:divBdr>
                  <w:divsChild>
                    <w:div w:id="1133713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015584">
          <w:marLeft w:val="0"/>
          <w:marRight w:val="0"/>
          <w:marTop w:val="0"/>
          <w:marBottom w:val="0"/>
          <w:divBdr>
            <w:top w:val="none" w:sz="0" w:space="0" w:color="auto"/>
            <w:left w:val="none" w:sz="0" w:space="0" w:color="auto"/>
            <w:bottom w:val="none" w:sz="0" w:space="0" w:color="auto"/>
            <w:right w:val="none" w:sz="0" w:space="0" w:color="auto"/>
          </w:divBdr>
          <w:divsChild>
            <w:div w:id="2067335570">
              <w:marLeft w:val="0"/>
              <w:marRight w:val="0"/>
              <w:marTop w:val="0"/>
              <w:marBottom w:val="0"/>
              <w:divBdr>
                <w:top w:val="none" w:sz="0" w:space="0" w:color="auto"/>
                <w:left w:val="none" w:sz="0" w:space="0" w:color="auto"/>
                <w:bottom w:val="none" w:sz="0" w:space="0" w:color="auto"/>
                <w:right w:val="none" w:sz="0" w:space="0" w:color="auto"/>
              </w:divBdr>
              <w:divsChild>
                <w:div w:id="1576863177">
                  <w:marLeft w:val="0"/>
                  <w:marRight w:val="0"/>
                  <w:marTop w:val="0"/>
                  <w:marBottom w:val="0"/>
                  <w:divBdr>
                    <w:top w:val="none" w:sz="0" w:space="0" w:color="auto"/>
                    <w:left w:val="none" w:sz="0" w:space="0" w:color="auto"/>
                    <w:bottom w:val="none" w:sz="0" w:space="0" w:color="auto"/>
                    <w:right w:val="none" w:sz="0" w:space="0" w:color="auto"/>
                  </w:divBdr>
                  <w:divsChild>
                    <w:div w:id="1572540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4502679">
          <w:marLeft w:val="0"/>
          <w:marRight w:val="0"/>
          <w:marTop w:val="0"/>
          <w:marBottom w:val="0"/>
          <w:divBdr>
            <w:top w:val="none" w:sz="0" w:space="0" w:color="auto"/>
            <w:left w:val="none" w:sz="0" w:space="0" w:color="auto"/>
            <w:bottom w:val="none" w:sz="0" w:space="0" w:color="auto"/>
            <w:right w:val="none" w:sz="0" w:space="0" w:color="auto"/>
          </w:divBdr>
          <w:divsChild>
            <w:div w:id="1952593072">
              <w:marLeft w:val="0"/>
              <w:marRight w:val="0"/>
              <w:marTop w:val="0"/>
              <w:marBottom w:val="0"/>
              <w:divBdr>
                <w:top w:val="none" w:sz="0" w:space="0" w:color="auto"/>
                <w:left w:val="none" w:sz="0" w:space="0" w:color="auto"/>
                <w:bottom w:val="none" w:sz="0" w:space="0" w:color="auto"/>
                <w:right w:val="none" w:sz="0" w:space="0" w:color="auto"/>
              </w:divBdr>
              <w:divsChild>
                <w:div w:id="400100152">
                  <w:marLeft w:val="0"/>
                  <w:marRight w:val="0"/>
                  <w:marTop w:val="0"/>
                  <w:marBottom w:val="0"/>
                  <w:divBdr>
                    <w:top w:val="none" w:sz="0" w:space="0" w:color="auto"/>
                    <w:left w:val="none" w:sz="0" w:space="0" w:color="auto"/>
                    <w:bottom w:val="none" w:sz="0" w:space="0" w:color="auto"/>
                    <w:right w:val="none" w:sz="0" w:space="0" w:color="auto"/>
                  </w:divBdr>
                  <w:divsChild>
                    <w:div w:id="882445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643594">
          <w:marLeft w:val="0"/>
          <w:marRight w:val="0"/>
          <w:marTop w:val="0"/>
          <w:marBottom w:val="0"/>
          <w:divBdr>
            <w:top w:val="none" w:sz="0" w:space="0" w:color="auto"/>
            <w:left w:val="none" w:sz="0" w:space="0" w:color="auto"/>
            <w:bottom w:val="none" w:sz="0" w:space="0" w:color="auto"/>
            <w:right w:val="none" w:sz="0" w:space="0" w:color="auto"/>
          </w:divBdr>
          <w:divsChild>
            <w:div w:id="1627195575">
              <w:marLeft w:val="0"/>
              <w:marRight w:val="0"/>
              <w:marTop w:val="0"/>
              <w:marBottom w:val="0"/>
              <w:divBdr>
                <w:top w:val="none" w:sz="0" w:space="0" w:color="auto"/>
                <w:left w:val="none" w:sz="0" w:space="0" w:color="auto"/>
                <w:bottom w:val="none" w:sz="0" w:space="0" w:color="auto"/>
                <w:right w:val="none" w:sz="0" w:space="0" w:color="auto"/>
              </w:divBdr>
              <w:divsChild>
                <w:div w:id="1141070253">
                  <w:marLeft w:val="0"/>
                  <w:marRight w:val="0"/>
                  <w:marTop w:val="0"/>
                  <w:marBottom w:val="0"/>
                  <w:divBdr>
                    <w:top w:val="none" w:sz="0" w:space="0" w:color="auto"/>
                    <w:left w:val="none" w:sz="0" w:space="0" w:color="auto"/>
                    <w:bottom w:val="none" w:sz="0" w:space="0" w:color="auto"/>
                    <w:right w:val="none" w:sz="0" w:space="0" w:color="auto"/>
                  </w:divBdr>
                  <w:divsChild>
                    <w:div w:id="21890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1849282">
          <w:marLeft w:val="0"/>
          <w:marRight w:val="0"/>
          <w:marTop w:val="0"/>
          <w:marBottom w:val="0"/>
          <w:divBdr>
            <w:top w:val="none" w:sz="0" w:space="0" w:color="auto"/>
            <w:left w:val="none" w:sz="0" w:space="0" w:color="auto"/>
            <w:bottom w:val="none" w:sz="0" w:space="0" w:color="auto"/>
            <w:right w:val="none" w:sz="0" w:space="0" w:color="auto"/>
          </w:divBdr>
          <w:divsChild>
            <w:div w:id="1994292395">
              <w:marLeft w:val="0"/>
              <w:marRight w:val="0"/>
              <w:marTop w:val="0"/>
              <w:marBottom w:val="0"/>
              <w:divBdr>
                <w:top w:val="none" w:sz="0" w:space="0" w:color="auto"/>
                <w:left w:val="none" w:sz="0" w:space="0" w:color="auto"/>
                <w:bottom w:val="none" w:sz="0" w:space="0" w:color="auto"/>
                <w:right w:val="none" w:sz="0" w:space="0" w:color="auto"/>
              </w:divBdr>
              <w:divsChild>
                <w:div w:id="1946958935">
                  <w:marLeft w:val="0"/>
                  <w:marRight w:val="0"/>
                  <w:marTop w:val="0"/>
                  <w:marBottom w:val="0"/>
                  <w:divBdr>
                    <w:top w:val="none" w:sz="0" w:space="0" w:color="auto"/>
                    <w:left w:val="none" w:sz="0" w:space="0" w:color="auto"/>
                    <w:bottom w:val="none" w:sz="0" w:space="0" w:color="auto"/>
                    <w:right w:val="none" w:sz="0" w:space="0" w:color="auto"/>
                  </w:divBdr>
                  <w:divsChild>
                    <w:div w:id="1547910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5695071">
      <w:bodyDiv w:val="1"/>
      <w:marLeft w:val="0"/>
      <w:marRight w:val="0"/>
      <w:marTop w:val="0"/>
      <w:marBottom w:val="0"/>
      <w:divBdr>
        <w:top w:val="none" w:sz="0" w:space="0" w:color="auto"/>
        <w:left w:val="none" w:sz="0" w:space="0" w:color="auto"/>
        <w:bottom w:val="none" w:sz="0" w:space="0" w:color="auto"/>
        <w:right w:val="none" w:sz="0" w:space="0" w:color="auto"/>
      </w:divBdr>
    </w:div>
    <w:div w:id="1705206516">
      <w:bodyDiv w:val="1"/>
      <w:marLeft w:val="0"/>
      <w:marRight w:val="0"/>
      <w:marTop w:val="0"/>
      <w:marBottom w:val="0"/>
      <w:divBdr>
        <w:top w:val="none" w:sz="0" w:space="0" w:color="auto"/>
        <w:left w:val="none" w:sz="0" w:space="0" w:color="auto"/>
        <w:bottom w:val="none" w:sz="0" w:space="0" w:color="auto"/>
        <w:right w:val="none" w:sz="0" w:space="0" w:color="auto"/>
      </w:divBdr>
    </w:div>
    <w:div w:id="1861697053">
      <w:bodyDiv w:val="1"/>
      <w:marLeft w:val="0"/>
      <w:marRight w:val="0"/>
      <w:marTop w:val="0"/>
      <w:marBottom w:val="0"/>
      <w:divBdr>
        <w:top w:val="none" w:sz="0" w:space="0" w:color="auto"/>
        <w:left w:val="none" w:sz="0" w:space="0" w:color="auto"/>
        <w:bottom w:val="none" w:sz="0" w:space="0" w:color="auto"/>
        <w:right w:val="none" w:sz="0" w:space="0" w:color="auto"/>
      </w:divBdr>
    </w:div>
    <w:div w:id="1864785607">
      <w:bodyDiv w:val="1"/>
      <w:marLeft w:val="0"/>
      <w:marRight w:val="0"/>
      <w:marTop w:val="0"/>
      <w:marBottom w:val="0"/>
      <w:divBdr>
        <w:top w:val="none" w:sz="0" w:space="0" w:color="auto"/>
        <w:left w:val="none" w:sz="0" w:space="0" w:color="auto"/>
        <w:bottom w:val="none" w:sz="0" w:space="0" w:color="auto"/>
        <w:right w:val="none" w:sz="0" w:space="0" w:color="auto"/>
      </w:divBdr>
    </w:div>
    <w:div w:id="1937014195">
      <w:bodyDiv w:val="1"/>
      <w:marLeft w:val="0"/>
      <w:marRight w:val="0"/>
      <w:marTop w:val="0"/>
      <w:marBottom w:val="0"/>
      <w:divBdr>
        <w:top w:val="none" w:sz="0" w:space="0" w:color="auto"/>
        <w:left w:val="none" w:sz="0" w:space="0" w:color="auto"/>
        <w:bottom w:val="none" w:sz="0" w:space="0" w:color="auto"/>
        <w:right w:val="none" w:sz="0" w:space="0" w:color="auto"/>
      </w:divBdr>
    </w:div>
    <w:div w:id="2059628163">
      <w:bodyDiv w:val="1"/>
      <w:marLeft w:val="0"/>
      <w:marRight w:val="0"/>
      <w:marTop w:val="0"/>
      <w:marBottom w:val="0"/>
      <w:divBdr>
        <w:top w:val="none" w:sz="0" w:space="0" w:color="auto"/>
        <w:left w:val="none" w:sz="0" w:space="0" w:color="auto"/>
        <w:bottom w:val="none" w:sz="0" w:space="0" w:color="auto"/>
        <w:right w:val="none" w:sz="0" w:space="0" w:color="auto"/>
      </w:divBdr>
    </w:div>
    <w:div w:id="2069299337">
      <w:bodyDiv w:val="1"/>
      <w:marLeft w:val="0"/>
      <w:marRight w:val="0"/>
      <w:marTop w:val="0"/>
      <w:marBottom w:val="0"/>
      <w:divBdr>
        <w:top w:val="none" w:sz="0" w:space="0" w:color="auto"/>
        <w:left w:val="none" w:sz="0" w:space="0" w:color="auto"/>
        <w:bottom w:val="none" w:sz="0" w:space="0" w:color="auto"/>
        <w:right w:val="none" w:sz="0" w:space="0" w:color="auto"/>
      </w:divBdr>
    </w:div>
    <w:div w:id="2098821813">
      <w:bodyDiv w:val="1"/>
      <w:marLeft w:val="0"/>
      <w:marRight w:val="0"/>
      <w:marTop w:val="0"/>
      <w:marBottom w:val="0"/>
      <w:divBdr>
        <w:top w:val="none" w:sz="0" w:space="0" w:color="auto"/>
        <w:left w:val="none" w:sz="0" w:space="0" w:color="auto"/>
        <w:bottom w:val="none" w:sz="0" w:space="0" w:color="auto"/>
        <w:right w:val="none" w:sz="0" w:space="0" w:color="auto"/>
      </w:divBdr>
    </w:div>
    <w:div w:id="2102985589">
      <w:bodyDiv w:val="1"/>
      <w:marLeft w:val="0"/>
      <w:marRight w:val="0"/>
      <w:marTop w:val="0"/>
      <w:marBottom w:val="0"/>
      <w:divBdr>
        <w:top w:val="none" w:sz="0" w:space="0" w:color="auto"/>
        <w:left w:val="none" w:sz="0" w:space="0" w:color="auto"/>
        <w:bottom w:val="none" w:sz="0" w:space="0" w:color="auto"/>
        <w:right w:val="none" w:sz="0" w:space="0" w:color="auto"/>
      </w:divBdr>
    </w:div>
    <w:div w:id="21198329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Date: 15/03/2024</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24FEF56-9A6A-4A20-B626-4ECE2F59E1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1552</TotalTime>
  <Pages>24</Pages>
  <Words>6084</Words>
  <Characters>39430</Characters>
  <Application>Microsoft Office Word</Application>
  <DocSecurity>0</DocSecurity>
  <Lines>675</Lines>
  <Paragraphs>155</Paragraphs>
  <ScaleCrop>false</ScaleCrop>
  <HeadingPairs>
    <vt:vector size="2" baseType="variant">
      <vt:variant>
        <vt:lpstr>Title</vt:lpstr>
      </vt:variant>
      <vt:variant>
        <vt:i4>1</vt:i4>
      </vt:variant>
    </vt:vector>
  </HeadingPairs>
  <TitlesOfParts>
    <vt:vector size="1" baseType="lpstr">
      <vt:lpstr>Strategic capability: toyota</vt:lpstr>
    </vt:vector>
  </TitlesOfParts>
  <Company>University of wales trinity saint david</Company>
  <LinksUpToDate>false</LinksUpToDate>
  <CharactersWithSpaces>45369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capability: toyota</dc:title>
  <dc:subject/>
  <dc:creator>Andrei Selaru (2112461)</dc:creator>
  <cp:keywords/>
  <dc:description/>
  <cp:lastModifiedBy>Andrei Selaru (2112461)</cp:lastModifiedBy>
  <cp:revision>8</cp:revision>
  <dcterms:created xsi:type="dcterms:W3CDTF">2024-02-29T16:17:00Z</dcterms:created>
  <dcterms:modified xsi:type="dcterms:W3CDTF">2024-03-14T16:17:00Z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b717e373c1790abfb0877d754dfdddef1503e1b92f76c42bd1d687ed527af870</vt:lpwstr>
  </property>
</Properties>
</file>