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C63735" w14:textId="77777777" w:rsidR="00341FA4" w:rsidRDefault="00341FA4" w:rsidP="00341FA4">
      <w:pPr>
        <w:jc w:val="center"/>
        <w:rPr>
          <w:b/>
          <w:sz w:val="40"/>
          <w:lang w:eastAsia="en-GB"/>
        </w:rPr>
      </w:pPr>
    </w:p>
    <w:p w14:paraId="714097A2" w14:textId="77777777" w:rsidR="00341FA4" w:rsidRPr="00A52D14" w:rsidRDefault="00341FA4" w:rsidP="00341FA4">
      <w:pPr>
        <w:jc w:val="center"/>
        <w:rPr>
          <w:b/>
          <w:sz w:val="40"/>
          <w:szCs w:val="40"/>
          <w:lang w:eastAsia="en-GB"/>
        </w:rPr>
      </w:pPr>
    </w:p>
    <w:p w14:paraId="7B94D4F7" w14:textId="2C84885A" w:rsidR="00A52D14" w:rsidRPr="00A52D14" w:rsidRDefault="00A52D14" w:rsidP="00A52D14">
      <w:pPr>
        <w:jc w:val="center"/>
        <w:rPr>
          <w:b/>
          <w:sz w:val="32"/>
          <w:szCs w:val="32"/>
          <w:lang w:eastAsia="en-GB"/>
        </w:rPr>
      </w:pPr>
      <w:r w:rsidRPr="00A52D14">
        <w:rPr>
          <w:b/>
          <w:sz w:val="32"/>
          <w:szCs w:val="32"/>
          <w:lang w:eastAsia="en-GB"/>
        </w:rPr>
        <w:t>The module title and module code:</w:t>
      </w:r>
      <w:r w:rsidRPr="00A52D14">
        <w:rPr>
          <w:b/>
          <w:sz w:val="32"/>
          <w:szCs w:val="32"/>
        </w:rPr>
        <w:t xml:space="preserve"> Personnel Resourcing and Development (BMIH5005)</w:t>
      </w:r>
    </w:p>
    <w:p w14:paraId="17BAF25B" w14:textId="4A853B06" w:rsidR="00A52D14" w:rsidRPr="00A52D14" w:rsidRDefault="00A52D14" w:rsidP="00A52D14">
      <w:pPr>
        <w:jc w:val="center"/>
        <w:rPr>
          <w:b/>
          <w:sz w:val="32"/>
          <w:szCs w:val="32"/>
          <w:lang w:eastAsia="en-GB"/>
        </w:rPr>
      </w:pPr>
      <w:r w:rsidRPr="00A52D14">
        <w:rPr>
          <w:b/>
          <w:sz w:val="32"/>
          <w:szCs w:val="32"/>
          <w:lang w:eastAsia="en-GB"/>
        </w:rPr>
        <w:t xml:space="preserve">Lecturer’s </w:t>
      </w:r>
      <w:proofErr w:type="spellStart"/>
      <w:proofErr w:type="gramStart"/>
      <w:r w:rsidRPr="00A52D14">
        <w:rPr>
          <w:b/>
          <w:sz w:val="32"/>
          <w:szCs w:val="32"/>
          <w:lang w:eastAsia="en-GB"/>
        </w:rPr>
        <w:t>name:</w:t>
      </w:r>
      <w:r w:rsidR="00D54E25">
        <w:rPr>
          <w:b/>
          <w:sz w:val="32"/>
          <w:szCs w:val="32"/>
          <w:lang w:eastAsia="en-GB"/>
        </w:rPr>
        <w:t>Scott</w:t>
      </w:r>
      <w:proofErr w:type="spellEnd"/>
      <w:proofErr w:type="gramEnd"/>
      <w:r w:rsidR="00D54E25">
        <w:rPr>
          <w:b/>
          <w:sz w:val="32"/>
          <w:szCs w:val="32"/>
          <w:lang w:eastAsia="en-GB"/>
        </w:rPr>
        <w:t xml:space="preserve"> James</w:t>
      </w:r>
    </w:p>
    <w:p w14:paraId="79F052D0" w14:textId="332902CA" w:rsidR="00A52D14" w:rsidRPr="00A52D14" w:rsidRDefault="00A52D14" w:rsidP="00A52D14">
      <w:pPr>
        <w:jc w:val="center"/>
        <w:rPr>
          <w:b/>
          <w:sz w:val="32"/>
          <w:szCs w:val="32"/>
          <w:lang w:eastAsia="en-GB"/>
        </w:rPr>
      </w:pPr>
      <w:r w:rsidRPr="00A52D14">
        <w:rPr>
          <w:b/>
          <w:sz w:val="32"/>
          <w:szCs w:val="32"/>
          <w:lang w:eastAsia="en-GB"/>
        </w:rPr>
        <w:t xml:space="preserve">Student </w:t>
      </w:r>
      <w:proofErr w:type="spellStart"/>
      <w:proofErr w:type="gramStart"/>
      <w:r w:rsidRPr="00A52D14">
        <w:rPr>
          <w:b/>
          <w:sz w:val="32"/>
          <w:szCs w:val="32"/>
          <w:lang w:eastAsia="en-GB"/>
        </w:rPr>
        <w:t>name:</w:t>
      </w:r>
      <w:r w:rsidR="00D54E25">
        <w:rPr>
          <w:b/>
          <w:sz w:val="32"/>
          <w:szCs w:val="32"/>
          <w:lang w:eastAsia="en-GB"/>
        </w:rPr>
        <w:t>Marian</w:t>
      </w:r>
      <w:proofErr w:type="spellEnd"/>
      <w:proofErr w:type="gramEnd"/>
      <w:r w:rsidR="00D54E25">
        <w:rPr>
          <w:b/>
          <w:sz w:val="32"/>
          <w:szCs w:val="32"/>
          <w:lang w:eastAsia="en-GB"/>
        </w:rPr>
        <w:t xml:space="preserve"> Aurel Funie</w:t>
      </w:r>
    </w:p>
    <w:p w14:paraId="56062892" w14:textId="1963CB94" w:rsidR="00341FA4" w:rsidRPr="00A52D14" w:rsidRDefault="00A52D14" w:rsidP="00A52D14">
      <w:pPr>
        <w:jc w:val="center"/>
        <w:rPr>
          <w:b/>
          <w:sz w:val="32"/>
          <w:szCs w:val="32"/>
          <w:lang w:eastAsia="en-GB"/>
        </w:rPr>
      </w:pPr>
      <w:r w:rsidRPr="00A52D14">
        <w:rPr>
          <w:b/>
          <w:sz w:val="32"/>
          <w:szCs w:val="32"/>
          <w:lang w:eastAsia="en-GB"/>
        </w:rPr>
        <w:t>Student ID:</w:t>
      </w:r>
      <w:r w:rsidR="00D54E25">
        <w:rPr>
          <w:b/>
          <w:sz w:val="32"/>
          <w:szCs w:val="32"/>
          <w:lang w:eastAsia="en-GB"/>
        </w:rPr>
        <w:t>2246593</w:t>
      </w:r>
    </w:p>
    <w:p w14:paraId="454F59A8" w14:textId="6198AA18" w:rsidR="00341FA4" w:rsidRPr="003F3428" w:rsidRDefault="003F3428" w:rsidP="003F3428">
      <w:pPr>
        <w:jc w:val="center"/>
        <w:rPr>
          <w:b/>
          <w:kern w:val="36"/>
          <w:sz w:val="36"/>
          <w:lang w:val="en-IN"/>
        </w:rPr>
      </w:pPr>
      <w:r>
        <w:rPr>
          <w:b/>
          <w:sz w:val="40"/>
          <w:lang w:eastAsia="en-GB"/>
        </w:rPr>
        <w:t>(</w:t>
      </w:r>
      <w:r>
        <w:rPr>
          <w:b/>
          <w:kern w:val="36"/>
          <w:sz w:val="36"/>
        </w:rPr>
        <w:t>Essay</w:t>
      </w:r>
      <w:r>
        <w:rPr>
          <w:b/>
          <w:kern w:val="36"/>
          <w:sz w:val="36"/>
          <w:lang w:val="en-IN"/>
        </w:rPr>
        <w:t>)</w:t>
      </w:r>
    </w:p>
    <w:p w14:paraId="330B8FA3" w14:textId="77777777" w:rsidR="00552190" w:rsidRDefault="00552190">
      <w:pPr>
        <w:spacing w:line="276" w:lineRule="auto"/>
        <w:jc w:val="left"/>
        <w:rPr>
          <w:rFonts w:ascii="Arial" w:eastAsia="Times New Roman" w:hAnsi="Arial" w:cs="Arial"/>
          <w:b/>
          <w:bCs/>
          <w:color w:val="000000"/>
          <w:sz w:val="22"/>
          <w:lang w:eastAsia="en-GB"/>
        </w:rPr>
      </w:pPr>
      <w:r>
        <w:rPr>
          <w:rFonts w:ascii="Arial" w:eastAsia="Times New Roman" w:hAnsi="Arial" w:cs="Arial"/>
          <w:b/>
          <w:bCs/>
          <w:color w:val="000000"/>
          <w:sz w:val="22"/>
          <w:lang w:eastAsia="en-GB"/>
        </w:rPr>
        <w:br w:type="page"/>
      </w:r>
    </w:p>
    <w:p w14:paraId="5FDFD30D" w14:textId="77777777" w:rsidR="00FC2DA8" w:rsidRDefault="00FC2DA8" w:rsidP="00FC2DA8">
      <w:pPr>
        <w:pStyle w:val="NormalWeb"/>
      </w:pPr>
      <w:r>
        <w:rPr>
          <w:rStyle w:val="Strong"/>
        </w:rPr>
        <w:lastRenderedPageBreak/>
        <w:t>Strategic Human Resource Management (HRM) and Its Role in Developing Marriott International's Global Brand</w:t>
      </w:r>
    </w:p>
    <w:p w14:paraId="28B08C84" w14:textId="77777777" w:rsidR="00FC2DA8" w:rsidRDefault="00FC2DA8" w:rsidP="00FC2DA8">
      <w:pPr>
        <w:pStyle w:val="NormalWeb"/>
      </w:pPr>
      <w:r>
        <w:t>This essay examines how strategic Human Resource Management (HRM) supports Marriott International's global growth, focusing on workforce planning, recruitment, and selection. By exploring Marriott’s HR frameworks—such as talent management, diversity and inclusion policies, and talent development mechanisms—we’ll see how these HRM practices contribute to Marriott's global success. Through HRM, Marriott not only sustains its business growth but also strengthens its brand, consistently attracting and retaining top talent across diverse markets.</w:t>
      </w:r>
    </w:p>
    <w:p w14:paraId="180B61EC" w14:textId="77777777" w:rsidR="00FC2DA8" w:rsidRDefault="00FC2DA8" w:rsidP="00FC2DA8">
      <w:pPr>
        <w:pStyle w:val="NormalWeb"/>
      </w:pPr>
      <w:r>
        <w:rPr>
          <w:rStyle w:val="Strong"/>
        </w:rPr>
        <w:t>HRM as a Strategic Partner in Global Business</w:t>
      </w:r>
    </w:p>
    <w:p w14:paraId="07B85688" w14:textId="77777777" w:rsidR="00FC2DA8" w:rsidRDefault="00FC2DA8" w:rsidP="00FC2DA8">
      <w:pPr>
        <w:pStyle w:val="NormalWeb"/>
      </w:pPr>
      <w:r>
        <w:t xml:space="preserve">In today’s business landscape, Human Resource Management has evolved beyond a support function to become a key strategic partner, particularly for multinational brands like Marriott (Agag &amp; </w:t>
      </w:r>
      <w:proofErr w:type="spellStart"/>
      <w:r>
        <w:t>Shehawy</w:t>
      </w:r>
      <w:proofErr w:type="spellEnd"/>
      <w:r>
        <w:t>, 2021). This shift is even more pronounced in industries like hospitality, where service quality is directly linked to the workforce's skills, motivation, and alignment with the brand's values. HRM's role in strategic planning, recruitment, and selection significantly shapes the workforce composition and capabilities, which are essential for competing in the global market. As Marriott seeks to expand its footprint in new international locations, HRM becomes critical in adapting to new markets, identifying talent needs, and aligning workforce capabilities with business goals.</w:t>
      </w:r>
    </w:p>
    <w:p w14:paraId="45DC50EF" w14:textId="77777777" w:rsidR="00FC2DA8" w:rsidRDefault="00FC2DA8" w:rsidP="00FC2DA8">
      <w:pPr>
        <w:pStyle w:val="NormalWeb"/>
      </w:pPr>
      <w:r>
        <w:t xml:space="preserve">HRM’s strategic planning includes forecasting talent requirements, </w:t>
      </w:r>
      <w:proofErr w:type="spellStart"/>
      <w:r>
        <w:t>analyzing</w:t>
      </w:r>
      <w:proofErr w:type="spellEnd"/>
      <w:r>
        <w:t xml:space="preserve"> internal and external factors, and collaborating with senior management to align workforce initiatives with business strategies. When Marriott plans to enter new markets, HRM provides data-driven insights into talent requirements, local cultural expectations, and legal considerations. This strategic approach enables Marriott to anticipate changes in market demand and prepare the workforce accordingly.</w:t>
      </w:r>
    </w:p>
    <w:p w14:paraId="3019BD23" w14:textId="77777777" w:rsidR="00FC2DA8" w:rsidRDefault="00FC2DA8" w:rsidP="00FC2DA8">
      <w:pPr>
        <w:pStyle w:val="NormalWeb"/>
      </w:pPr>
      <w:r>
        <w:rPr>
          <w:rStyle w:val="Strong"/>
        </w:rPr>
        <w:t>The Evolution of HRM at Marriott International</w:t>
      </w:r>
    </w:p>
    <w:p w14:paraId="6679B929" w14:textId="77777777" w:rsidR="00FC2DA8" w:rsidRDefault="00FC2DA8" w:rsidP="00FC2DA8">
      <w:pPr>
        <w:pStyle w:val="NormalWeb"/>
      </w:pPr>
      <w:r>
        <w:t>Marriott International’s HR practices reflect a transformation from basic personnel management to strategic HRM that aligns with business objectives. Over the past decades, Marriott has adapted its HRM to meet changing demands in the global hospitality market (Chung, 2020). Founder J.W. Marriott's belief in employee-centric management laid the groundwork for Marriott’s HR philosophy. As the company grew, HRM at Marriott expanded to address the complexities of managing an international workforce, including compliance with diverse legal frameworks, cultural integration, and strategic talent acquisition in different regions. This transformation has enabled Marriott to retain its position as a leading hospitality brand and employer of choice in the industry.</w:t>
      </w:r>
    </w:p>
    <w:p w14:paraId="66C144BD" w14:textId="77777777" w:rsidR="00FC2DA8" w:rsidRDefault="00FC2DA8" w:rsidP="00FC2DA8">
      <w:pPr>
        <w:pStyle w:val="NormalWeb"/>
      </w:pPr>
      <w:r>
        <w:t>Marriott's approach to HRM is now highly technology-driven, allowing the company to streamline processes, make data-informed decisions, and enhance employee engagement. Marriott uses advanced HR Information Systems (HRIS) to track talent performance, manage recruitment workflows, and facilitate career progression planning. Through data analytics, Marriott’s HR team can uncover trends, predict staffing needs, and make strategic adjustments to meet business objectives more efficiently (Armstrong &amp; Taylor, 2020). This shift has empowered Marriott's HRM team to operate as a proactive, agile partner in the company’s global expansion efforts.</w:t>
      </w:r>
    </w:p>
    <w:p w14:paraId="1F77079D" w14:textId="77777777" w:rsidR="00FC2DA8" w:rsidRDefault="00FC2DA8" w:rsidP="00FC2DA8">
      <w:pPr>
        <w:pStyle w:val="NormalWeb"/>
      </w:pPr>
      <w:r>
        <w:rPr>
          <w:rStyle w:val="Strong"/>
        </w:rPr>
        <w:lastRenderedPageBreak/>
        <w:t>Workforce Planning and Strategic HRM</w:t>
      </w:r>
    </w:p>
    <w:p w14:paraId="346BDCAA" w14:textId="77777777" w:rsidR="00FC2DA8" w:rsidRDefault="00FC2DA8" w:rsidP="00FC2DA8">
      <w:pPr>
        <w:pStyle w:val="NormalWeb"/>
      </w:pPr>
      <w:r>
        <w:t xml:space="preserve">Strategic workforce planning is foundational in supporting Marriott's global operations. Through comprehensive </w:t>
      </w:r>
      <w:proofErr w:type="spellStart"/>
      <w:r>
        <w:t>labor</w:t>
      </w:r>
      <w:proofErr w:type="spellEnd"/>
      <w:r>
        <w:t xml:space="preserve"> forecasting, Marriott's HRM identifies future staffing requirements, skill gaps, and areas for recruitment focus. This is particularly critical in the hospitality industry, where staffing needs fluctuate due to seasonality, regional demand, and market trends. By leveraging historical data and predictive analytics, Marriott’s HR team ensures that each property has sufficient staffing levels during peak periods and can scale back during off-peak times without compromising service quality (Friedman, 2013).</w:t>
      </w:r>
    </w:p>
    <w:p w14:paraId="28FD3C4D" w14:textId="77777777" w:rsidR="00FC2DA8" w:rsidRDefault="00FC2DA8" w:rsidP="00FC2DA8">
      <w:pPr>
        <w:pStyle w:val="NormalWeb"/>
      </w:pPr>
      <w:r>
        <w:t xml:space="preserve">For instance, when planning a new hotel in a popular tourist destination, Marriott's HRM team evaluates factors like local </w:t>
      </w:r>
      <w:proofErr w:type="spellStart"/>
      <w:r>
        <w:t>labor</w:t>
      </w:r>
      <w:proofErr w:type="spellEnd"/>
      <w:r>
        <w:t xml:space="preserve"> supply, seasonal occupancy rates, and competition. This enables Marriott to adjust staffing strategies based on anticipated demand, ensuring that the property is adequately staffed to deliver high-quality guest experiences. Additionally, HRM assesses the types of roles needed, from guest services to housekeeping and food services, to create a balanced workforce capable of meeting customer expectations.</w:t>
      </w:r>
    </w:p>
    <w:p w14:paraId="15FF27F2" w14:textId="77777777" w:rsidR="00FC2DA8" w:rsidRDefault="00FC2DA8" w:rsidP="00FC2DA8">
      <w:pPr>
        <w:pStyle w:val="NormalWeb"/>
      </w:pPr>
      <w:r>
        <w:t>Moreover, workforce planning at Marriott goes beyond staffing numbers; it includes forecasting skill sets that align with emerging trends and guest preferences. For example, as sustainability becomes more central in the hospitality industry, Marriott’s HRM team increasingly focuses on recruiting talent with expertise in sustainable practices, green certifications, and environmental management (Cabral &amp; Jabbour, 2020). This approach allows Marriott to stay competitive and align its workforce with broader industry shifts.</w:t>
      </w:r>
    </w:p>
    <w:p w14:paraId="78AC3DCF" w14:textId="77777777" w:rsidR="00FC2DA8" w:rsidRDefault="00FC2DA8" w:rsidP="00FC2DA8">
      <w:pPr>
        <w:pStyle w:val="NormalWeb"/>
      </w:pPr>
      <w:r>
        <w:rPr>
          <w:rStyle w:val="Strong"/>
        </w:rPr>
        <w:t>Recruitment Strategies: Attracting Global Talent</w:t>
      </w:r>
    </w:p>
    <w:p w14:paraId="02CC38AC" w14:textId="77777777" w:rsidR="00FC2DA8" w:rsidRDefault="00FC2DA8" w:rsidP="00FC2DA8">
      <w:pPr>
        <w:pStyle w:val="NormalWeb"/>
      </w:pPr>
      <w:r>
        <w:t>Marriott's recruitment strategy leverages the company’s brand reputation, extensive market presence, and advanced digital platforms. As a globally recognized employer of choice, Marriott attracts diverse talent, benefiting from its reputation for career growth opportunities, cultural inclusivity, and employee engagement. Marriott uses online job platforms, social media, and its own career portal to reach potential candidates worldwide, effectively branding itself as an employer committed to diversity and career progression (Inman et al., 2014).</w:t>
      </w:r>
    </w:p>
    <w:p w14:paraId="6FA6C55F" w14:textId="77777777" w:rsidR="00FC2DA8" w:rsidRDefault="00FC2DA8" w:rsidP="00FC2DA8">
      <w:pPr>
        <w:pStyle w:val="NormalWeb"/>
      </w:pPr>
      <w:r>
        <w:t>Marriott’s recruitment process includes global job fairs, online recruitment events, and partnerships with universities to attract young talent interested in hospitality careers. These initiatives not only widen Marriott’s talent pool but also position the company as a proactive participant in nurturing the next generation of hospitality professionals. By focusing on diverse recruitment channels, Marriott ensures that it can source talent with different backgrounds, languages, and cultural sensitivities, which are essential in delivering high-quality, culturally aware guest experiences across its properties.</w:t>
      </w:r>
    </w:p>
    <w:p w14:paraId="6BEEB1C4" w14:textId="77777777" w:rsidR="00FC2DA8" w:rsidRDefault="00FC2DA8" w:rsidP="00FC2DA8">
      <w:pPr>
        <w:pStyle w:val="NormalWeb"/>
      </w:pPr>
      <w:r>
        <w:t>In addition, Marriott has implemented a diversity-focused recruitment policy that seeks to create an inclusive workforce. Through this approach, Marriott proactively recruits talent from underrepresented groups, ensuring that its workforce reflects the diversity of its global customer base. This policy strengthens Marriott's brand by fostering a sense of belonging among employees and creating a welcoming environment for guests from all backgrounds.</w:t>
      </w:r>
    </w:p>
    <w:p w14:paraId="3F269E78" w14:textId="77777777" w:rsidR="00FC2DA8" w:rsidRDefault="00FC2DA8" w:rsidP="00FC2DA8">
      <w:pPr>
        <w:pStyle w:val="NormalWeb"/>
      </w:pPr>
      <w:r>
        <w:rPr>
          <w:rStyle w:val="Strong"/>
        </w:rPr>
        <w:t>Selection Process: Ensuring Alignment with Brand Values</w:t>
      </w:r>
    </w:p>
    <w:p w14:paraId="479A3B95" w14:textId="77777777" w:rsidR="00FC2DA8" w:rsidRDefault="00FC2DA8" w:rsidP="00FC2DA8">
      <w:pPr>
        <w:pStyle w:val="NormalWeb"/>
      </w:pPr>
      <w:r>
        <w:lastRenderedPageBreak/>
        <w:t xml:space="preserve">The selection process at Marriott is carefully structured to identify candidates whose skills, experience, and values align with the company’s standards. Marriott’s selection methods often include multiple stages, from initial screenings to </w:t>
      </w:r>
      <w:proofErr w:type="spellStart"/>
      <w:r>
        <w:t>behavioral</w:t>
      </w:r>
      <w:proofErr w:type="spellEnd"/>
      <w:r>
        <w:t xml:space="preserve"> assessments, designed to gauge a candidate’s alignment with Marriott’s service-oriented culture (Agag &amp; </w:t>
      </w:r>
      <w:proofErr w:type="spellStart"/>
      <w:r>
        <w:t>Shehawy</w:t>
      </w:r>
      <w:proofErr w:type="spellEnd"/>
      <w:r>
        <w:t xml:space="preserve">, 2021). For instance, managerial candidates may undergo </w:t>
      </w:r>
      <w:proofErr w:type="spellStart"/>
      <w:r>
        <w:t>behavioral</w:t>
      </w:r>
      <w:proofErr w:type="spellEnd"/>
      <w:r>
        <w:t xml:space="preserve"> tests to evaluate their leadership abilities, cultural sensitivity, and alignment with Marriott's global orientation.</w:t>
      </w:r>
    </w:p>
    <w:p w14:paraId="02ECA2BE" w14:textId="77777777" w:rsidR="00FC2DA8" w:rsidRDefault="00FC2DA8" w:rsidP="00FC2DA8">
      <w:pPr>
        <w:pStyle w:val="NormalWeb"/>
      </w:pPr>
      <w:r>
        <w:t xml:space="preserve">Marriott’s HRM also prioritizes internal promotion and career progression. By offering existing </w:t>
      </w:r>
      <w:proofErr w:type="gramStart"/>
      <w:r>
        <w:t>employees</w:t>
      </w:r>
      <w:proofErr w:type="gramEnd"/>
      <w:r>
        <w:t xml:space="preserve"> opportunities to advance within the company, Marriott reinforces a culture of growth and loyalty, encouraging long-term career development. Through initiatives like the “Talent Management” program, Marriott enables employees to apply for roles across different departments or regions, supporting their professional growth while filling critical positions with experienced internal candidates.</w:t>
      </w:r>
    </w:p>
    <w:p w14:paraId="4B2BFDCF" w14:textId="77777777" w:rsidR="00FC2DA8" w:rsidRDefault="00FC2DA8" w:rsidP="00FC2DA8">
      <w:pPr>
        <w:pStyle w:val="NormalWeb"/>
      </w:pPr>
      <w:r>
        <w:rPr>
          <w:rStyle w:val="Strong"/>
        </w:rPr>
        <w:t>HRM’s Role in Building a Global Corporate Culture</w:t>
      </w:r>
    </w:p>
    <w:p w14:paraId="71B4BD2C" w14:textId="77777777" w:rsidR="00FC2DA8" w:rsidRDefault="00FC2DA8" w:rsidP="00FC2DA8">
      <w:pPr>
        <w:pStyle w:val="NormalWeb"/>
      </w:pPr>
      <w:r>
        <w:t>Marriott’s success as a global hospitality brand relies heavily on its HRM practices, which are essential in cultivating a unified corporate culture across diverse regions. By emphasizing integrity, teamwork, and service, Marriott’s HR policies help maintain consistent brand values across all properties, from city-</w:t>
      </w:r>
      <w:proofErr w:type="spellStart"/>
      <w:r>
        <w:t>center</w:t>
      </w:r>
      <w:proofErr w:type="spellEnd"/>
      <w:r>
        <w:t xml:space="preserve"> hotels to luxury resorts. Marriott’s focus on cultural cohesion also extends to its training programs, which ensure that employees understand and embody the company’s core values, regardless of their location (</w:t>
      </w:r>
      <w:proofErr w:type="spellStart"/>
      <w:r>
        <w:t>Gürlek</w:t>
      </w:r>
      <w:proofErr w:type="spellEnd"/>
      <w:r>
        <w:t xml:space="preserve"> &amp; </w:t>
      </w:r>
      <w:proofErr w:type="spellStart"/>
      <w:r>
        <w:t>Koseoglu</w:t>
      </w:r>
      <w:proofErr w:type="spellEnd"/>
      <w:r>
        <w:t>, 2021).</w:t>
      </w:r>
    </w:p>
    <w:p w14:paraId="3DCA430F" w14:textId="77777777" w:rsidR="00FC2DA8" w:rsidRDefault="00FC2DA8" w:rsidP="00FC2DA8">
      <w:pPr>
        <w:pStyle w:val="NormalWeb"/>
      </w:pPr>
      <w:r>
        <w:t>To facilitate cultural cohesion, Marriott’s HRM invests in extensive onboarding and training programs for new hires. These programs include comprehensive orientations that introduce employees to Marriott’s history, brand values, and service standards, creating a foundation for brand consistency across properties. Marriott also offers cultural sensitivity training, equipping employees with the skills to interact with guests from diverse backgrounds. This commitment to employee development not only improves service quality but also fosters a work environment that values respect and inclusivity.</w:t>
      </w:r>
    </w:p>
    <w:p w14:paraId="137B7CE1" w14:textId="77777777" w:rsidR="00FC2DA8" w:rsidRDefault="00FC2DA8" w:rsidP="00FC2DA8">
      <w:pPr>
        <w:pStyle w:val="NormalWeb"/>
      </w:pPr>
      <w:r>
        <w:rPr>
          <w:rStyle w:val="Strong"/>
        </w:rPr>
        <w:t>Leveraging Technology for HRM Efficiency and Agility</w:t>
      </w:r>
    </w:p>
    <w:p w14:paraId="037282D5" w14:textId="77777777" w:rsidR="00FC2DA8" w:rsidRDefault="00FC2DA8" w:rsidP="00FC2DA8">
      <w:pPr>
        <w:pStyle w:val="NormalWeb"/>
      </w:pPr>
      <w:r>
        <w:t>In today’s fast-paced global market, Marriott has embraced technology to enhance HRM efficiency and adaptability. Through HRIS, Marriott manages employee data, tracks performance, and facilitates recruitment processes, enabling HRM to respond swiftly to changing business needs (Armstrong &amp; Taylor, 2020). The HR team also uses data analytics to forecast trends, identify skill gaps, and monitor workforce satisfaction, allowing Marriott to proactively address workforce issues.</w:t>
      </w:r>
    </w:p>
    <w:p w14:paraId="5B11D69B" w14:textId="77777777" w:rsidR="00FC2DA8" w:rsidRDefault="00FC2DA8" w:rsidP="00FC2DA8">
      <w:pPr>
        <w:pStyle w:val="NormalWeb"/>
      </w:pPr>
      <w:r>
        <w:t>For instance, Marriott’s HR analytics enable the company to evaluate employee engagement levels and track turnover rates, identifying potential areas for improvement. This data-driven approach helps Marriott maintain a stable workforce, particularly in high-demand regions or properties facing staffing challenges. By adopting advanced HR technologies, Marriott ensures that its HRM functions remain aligned with the company’s strategic goals and operational needs.</w:t>
      </w:r>
    </w:p>
    <w:p w14:paraId="5662DF1C" w14:textId="77777777" w:rsidR="00FC2DA8" w:rsidRDefault="00FC2DA8" w:rsidP="00FC2DA8">
      <w:pPr>
        <w:pStyle w:val="NormalWeb"/>
      </w:pPr>
      <w:r>
        <w:rPr>
          <w:rStyle w:val="Strong"/>
        </w:rPr>
        <w:t>Case Study: Opening a New Luxury Resort</w:t>
      </w:r>
    </w:p>
    <w:p w14:paraId="2A16171B" w14:textId="77777777" w:rsidR="00FC2DA8" w:rsidRDefault="00FC2DA8" w:rsidP="00FC2DA8">
      <w:pPr>
        <w:pStyle w:val="NormalWeb"/>
      </w:pPr>
      <w:r>
        <w:lastRenderedPageBreak/>
        <w:t>When Marriott expands into a new market, such as opening a luxury resort in a high-demand tourist area, HRM plays a crucial role in planning and executing staffing strategies. Marriott’s HR team collaborates with property management to conduct detailed workforce assessments, determining the types and numbers of staff required. In this case, Marriott’s recruitment strategy emphasizes attracting experienced hospitality professionals who align with the luxury brand’s standards.</w:t>
      </w:r>
    </w:p>
    <w:p w14:paraId="2C8129CC" w14:textId="77777777" w:rsidR="00FC2DA8" w:rsidRDefault="00FC2DA8" w:rsidP="00FC2DA8">
      <w:pPr>
        <w:pStyle w:val="NormalWeb"/>
      </w:pPr>
      <w:r>
        <w:t>Marriott’s brand reputation and global reach make it possible to attract top talent from within the luxury hotel industry. The HRM team’s efforts in talent acquisition, along with a rigorous selection process focused on quality and service, ensure that the new resort can deliver a high-end guest experience from day one. This strategic approach highlights how HRM at Marriott supports business unit development and strengthens the company’s international brand.</w:t>
      </w:r>
    </w:p>
    <w:p w14:paraId="722D396B" w14:textId="77777777" w:rsidR="00FC2DA8" w:rsidRDefault="00FC2DA8" w:rsidP="00FC2DA8">
      <w:pPr>
        <w:pStyle w:val="NormalWeb"/>
      </w:pPr>
      <w:r>
        <w:rPr>
          <w:rStyle w:val="Strong"/>
        </w:rPr>
        <w:t>Conclusion: HRM’s Strategic Contribution to Marriott’s Growth</w:t>
      </w:r>
    </w:p>
    <w:p w14:paraId="4C00B48F" w14:textId="77777777" w:rsidR="00FC2DA8" w:rsidRDefault="00FC2DA8" w:rsidP="00FC2DA8">
      <w:pPr>
        <w:pStyle w:val="NormalWeb"/>
      </w:pPr>
      <w:r>
        <w:t>In conclusion, Marriott International’s HRM practices illustrate the importance of workforce planning, recruitment, and selection in supporting global business expansion. Marriott’s HRM approach—integrating talent management, diversity, and technology—positions the company as a leader in the hospitality industry. By aligning HR initiatives with business goals, Marriott has achieved strategic growth and brand cohesion, demonstrating how HRM can be a driving force behind a company’s global success.</w:t>
      </w:r>
    </w:p>
    <w:p w14:paraId="360D6B89" w14:textId="77777777" w:rsidR="00243A52" w:rsidRPr="00243A52" w:rsidRDefault="00243A52" w:rsidP="00243A52">
      <w:pPr>
        <w:spacing w:before="480" w:after="0"/>
        <w:outlineLvl w:val="0"/>
        <w:rPr>
          <w:rFonts w:eastAsia="Times New Roman" w:cs="Times New Roman"/>
          <w:b/>
          <w:bCs/>
          <w:kern w:val="36"/>
          <w:sz w:val="48"/>
          <w:szCs w:val="48"/>
          <w:lang w:eastAsia="en-GB"/>
        </w:rPr>
      </w:pPr>
      <w:r w:rsidRPr="00243A52">
        <w:rPr>
          <w:rFonts w:eastAsia="Times New Roman" w:cs="Times New Roman"/>
          <w:b/>
          <w:bCs/>
          <w:color w:val="000000"/>
          <w:kern w:val="36"/>
          <w:sz w:val="28"/>
          <w:szCs w:val="28"/>
          <w:shd w:val="clear" w:color="auto" w:fill="FFFFFF"/>
          <w:lang w:eastAsia="en-GB"/>
        </w:rPr>
        <w:t>References </w:t>
      </w:r>
    </w:p>
    <w:p w14:paraId="3BE32AF4" w14:textId="77777777" w:rsidR="007D145D" w:rsidRPr="00857344" w:rsidRDefault="007D145D" w:rsidP="00857344">
      <w:pPr>
        <w:rPr>
          <w:rFonts w:eastAsia="Times New Roman" w:cs="Times New Roman"/>
          <w:szCs w:val="24"/>
          <w:lang w:eastAsia="en-GB"/>
        </w:rPr>
      </w:pPr>
      <w:r w:rsidRPr="00857344">
        <w:rPr>
          <w:rFonts w:eastAsia="Times New Roman" w:cs="Times New Roman"/>
          <w:color w:val="000000"/>
          <w:szCs w:val="24"/>
          <w:shd w:val="clear" w:color="auto" w:fill="FFFFFF"/>
          <w:lang w:eastAsia="en-GB"/>
        </w:rPr>
        <w:t xml:space="preserve">Agag, G. and </w:t>
      </w:r>
      <w:proofErr w:type="spellStart"/>
      <w:r w:rsidRPr="00857344">
        <w:rPr>
          <w:rFonts w:eastAsia="Times New Roman" w:cs="Times New Roman"/>
          <w:color w:val="000000"/>
          <w:szCs w:val="24"/>
          <w:shd w:val="clear" w:color="auto" w:fill="FFFFFF"/>
          <w:lang w:eastAsia="en-GB"/>
        </w:rPr>
        <w:t>Shehawy</w:t>
      </w:r>
      <w:proofErr w:type="spellEnd"/>
      <w:r w:rsidRPr="00857344">
        <w:rPr>
          <w:rFonts w:eastAsia="Times New Roman" w:cs="Times New Roman"/>
          <w:color w:val="000000"/>
          <w:szCs w:val="24"/>
          <w:shd w:val="clear" w:color="auto" w:fill="FFFFFF"/>
          <w:lang w:eastAsia="en-GB"/>
        </w:rPr>
        <w:t>, Y.M., (2021). Understanding guests’ intention to visit green hotels. </w:t>
      </w:r>
      <w:r w:rsidRPr="00857344">
        <w:rPr>
          <w:rFonts w:eastAsia="Times New Roman" w:cs="Times New Roman"/>
          <w:i/>
          <w:iCs/>
          <w:color w:val="000000"/>
          <w:szCs w:val="24"/>
          <w:shd w:val="clear" w:color="auto" w:fill="FFFFFF"/>
          <w:lang w:eastAsia="en-GB"/>
        </w:rPr>
        <w:t>Journal of hospitality &amp; tourism research</w:t>
      </w:r>
      <w:r w:rsidRPr="00857344">
        <w:rPr>
          <w:rFonts w:eastAsia="Times New Roman" w:cs="Times New Roman"/>
          <w:color w:val="000000"/>
          <w:szCs w:val="24"/>
          <w:shd w:val="clear" w:color="auto" w:fill="FFFFFF"/>
          <w:lang w:eastAsia="en-GB"/>
        </w:rPr>
        <w:t>, </w:t>
      </w:r>
      <w:r w:rsidRPr="00857344">
        <w:rPr>
          <w:rFonts w:eastAsia="Times New Roman" w:cs="Times New Roman"/>
          <w:i/>
          <w:iCs/>
          <w:color w:val="000000"/>
          <w:szCs w:val="24"/>
          <w:shd w:val="clear" w:color="auto" w:fill="FFFFFF"/>
          <w:lang w:eastAsia="en-GB"/>
        </w:rPr>
        <w:t>45</w:t>
      </w:r>
      <w:r w:rsidRPr="00857344">
        <w:rPr>
          <w:rFonts w:eastAsia="Times New Roman" w:cs="Times New Roman"/>
          <w:color w:val="000000"/>
          <w:szCs w:val="24"/>
          <w:shd w:val="clear" w:color="auto" w:fill="FFFFFF"/>
          <w:lang w:eastAsia="en-GB"/>
        </w:rPr>
        <w:t>(3), pp.494-528.</w:t>
      </w:r>
    </w:p>
    <w:p w14:paraId="14F3B7B9" w14:textId="77777777" w:rsidR="007D145D" w:rsidRPr="00857344" w:rsidRDefault="007D145D" w:rsidP="00857344">
      <w:pPr>
        <w:rPr>
          <w:shd w:val="clear" w:color="auto" w:fill="FFFFFF"/>
        </w:rPr>
      </w:pPr>
      <w:r w:rsidRPr="00857344">
        <w:rPr>
          <w:shd w:val="clear" w:color="auto" w:fill="FFFFFF"/>
        </w:rPr>
        <w:t xml:space="preserve">Armstrong, M. and Taylor, S., </w:t>
      </w:r>
      <w:r>
        <w:rPr>
          <w:shd w:val="clear" w:color="auto" w:fill="FFFFFF"/>
        </w:rPr>
        <w:t>(</w:t>
      </w:r>
      <w:r w:rsidRPr="00857344">
        <w:rPr>
          <w:shd w:val="clear" w:color="auto" w:fill="FFFFFF"/>
        </w:rPr>
        <w:t>2020</w:t>
      </w:r>
      <w:r>
        <w:rPr>
          <w:shd w:val="clear" w:color="auto" w:fill="FFFFFF"/>
        </w:rPr>
        <w:t>)</w:t>
      </w:r>
      <w:r w:rsidRPr="00857344">
        <w:rPr>
          <w:shd w:val="clear" w:color="auto" w:fill="FFFFFF"/>
        </w:rPr>
        <w:t>. </w:t>
      </w:r>
      <w:r w:rsidRPr="00857344">
        <w:rPr>
          <w:i/>
          <w:iCs/>
          <w:shd w:val="clear" w:color="auto" w:fill="FFFFFF"/>
        </w:rPr>
        <w:t>Armstrong's handbook of human resource management practice</w:t>
      </w:r>
      <w:r w:rsidRPr="00857344">
        <w:rPr>
          <w:shd w:val="clear" w:color="auto" w:fill="FFFFFF"/>
        </w:rPr>
        <w:t>. Kogan Page Publishers.</w:t>
      </w:r>
    </w:p>
    <w:p w14:paraId="64DBE8F4" w14:textId="77777777" w:rsidR="007D145D" w:rsidRPr="00857344" w:rsidRDefault="007D145D" w:rsidP="00857344">
      <w:pPr>
        <w:rPr>
          <w:shd w:val="clear" w:color="auto" w:fill="FFFFFF"/>
        </w:rPr>
      </w:pPr>
      <w:proofErr w:type="spellStart"/>
      <w:r w:rsidRPr="00857344">
        <w:rPr>
          <w:shd w:val="clear" w:color="auto" w:fill="FFFFFF"/>
        </w:rPr>
        <w:t>Aziati</w:t>
      </w:r>
      <w:proofErr w:type="spellEnd"/>
      <w:r w:rsidRPr="00857344">
        <w:rPr>
          <w:shd w:val="clear" w:color="auto" w:fill="FFFFFF"/>
        </w:rPr>
        <w:t xml:space="preserve">, P.L.A., </w:t>
      </w:r>
      <w:r>
        <w:rPr>
          <w:shd w:val="clear" w:color="auto" w:fill="FFFFFF"/>
        </w:rPr>
        <w:t>(</w:t>
      </w:r>
      <w:r w:rsidRPr="00857344">
        <w:rPr>
          <w:shd w:val="clear" w:color="auto" w:fill="FFFFFF"/>
        </w:rPr>
        <w:t>2019</w:t>
      </w:r>
      <w:r>
        <w:rPr>
          <w:shd w:val="clear" w:color="auto" w:fill="FFFFFF"/>
        </w:rPr>
        <w:t>)</w:t>
      </w:r>
      <w:r w:rsidRPr="00857344">
        <w:rPr>
          <w:shd w:val="clear" w:color="auto" w:fill="FFFFFF"/>
        </w:rPr>
        <w:t>. Competences Needed for International Business Students to be Employed in Finland.</w:t>
      </w:r>
    </w:p>
    <w:p w14:paraId="6384D40C" w14:textId="77777777" w:rsidR="007D145D" w:rsidRPr="00857344" w:rsidRDefault="007D145D" w:rsidP="00857344">
      <w:pPr>
        <w:rPr>
          <w:rFonts w:eastAsia="Times New Roman" w:cs="Times New Roman"/>
          <w:szCs w:val="24"/>
          <w:lang w:eastAsia="en-GB"/>
        </w:rPr>
      </w:pPr>
      <w:r w:rsidRPr="00857344">
        <w:rPr>
          <w:rFonts w:eastAsia="Times New Roman" w:cs="Times New Roman"/>
          <w:color w:val="000000"/>
          <w:szCs w:val="24"/>
          <w:shd w:val="clear" w:color="auto" w:fill="FFFFFF"/>
          <w:lang w:eastAsia="en-GB"/>
        </w:rPr>
        <w:t>Cabral, C. and Jabbour, C.J.C., (2020). Understanding the human side of green hospitality management. </w:t>
      </w:r>
      <w:r w:rsidRPr="00857344">
        <w:rPr>
          <w:rFonts w:eastAsia="Times New Roman" w:cs="Times New Roman"/>
          <w:i/>
          <w:iCs/>
          <w:color w:val="000000"/>
          <w:szCs w:val="24"/>
          <w:shd w:val="clear" w:color="auto" w:fill="FFFFFF"/>
          <w:lang w:eastAsia="en-GB"/>
        </w:rPr>
        <w:t>International Journal of Hospitality Management</w:t>
      </w:r>
      <w:r w:rsidRPr="00857344">
        <w:rPr>
          <w:rFonts w:eastAsia="Times New Roman" w:cs="Times New Roman"/>
          <w:color w:val="000000"/>
          <w:szCs w:val="24"/>
          <w:shd w:val="clear" w:color="auto" w:fill="FFFFFF"/>
          <w:lang w:eastAsia="en-GB"/>
        </w:rPr>
        <w:t>, </w:t>
      </w:r>
      <w:r w:rsidRPr="00857344">
        <w:rPr>
          <w:rFonts w:eastAsia="Times New Roman" w:cs="Times New Roman"/>
          <w:i/>
          <w:iCs/>
          <w:color w:val="000000"/>
          <w:szCs w:val="24"/>
          <w:shd w:val="clear" w:color="auto" w:fill="FFFFFF"/>
          <w:lang w:eastAsia="en-GB"/>
        </w:rPr>
        <w:t>88</w:t>
      </w:r>
      <w:r w:rsidRPr="00857344">
        <w:rPr>
          <w:rFonts w:eastAsia="Times New Roman" w:cs="Times New Roman"/>
          <w:color w:val="000000"/>
          <w:szCs w:val="24"/>
          <w:shd w:val="clear" w:color="auto" w:fill="FFFFFF"/>
          <w:lang w:eastAsia="en-GB"/>
        </w:rPr>
        <w:t>, p.102389.</w:t>
      </w:r>
    </w:p>
    <w:p w14:paraId="79C7B06A" w14:textId="77777777" w:rsidR="007D145D" w:rsidRPr="00857344" w:rsidRDefault="007D145D" w:rsidP="00857344">
      <w:pPr>
        <w:rPr>
          <w:rFonts w:eastAsia="Times New Roman" w:cs="Times New Roman"/>
          <w:szCs w:val="24"/>
          <w:lang w:eastAsia="en-GB"/>
        </w:rPr>
      </w:pPr>
      <w:r w:rsidRPr="00857344">
        <w:rPr>
          <w:rFonts w:eastAsia="Times New Roman" w:cs="Times New Roman"/>
          <w:color w:val="000000"/>
          <w:szCs w:val="24"/>
          <w:shd w:val="clear" w:color="auto" w:fill="FFFFFF"/>
          <w:lang w:eastAsia="en-GB"/>
        </w:rPr>
        <w:t xml:space="preserve">Cardoso, L., Araújo-Vila, N. and </w:t>
      </w:r>
      <w:proofErr w:type="spellStart"/>
      <w:r w:rsidRPr="00857344">
        <w:rPr>
          <w:rFonts w:eastAsia="Times New Roman" w:cs="Times New Roman"/>
          <w:color w:val="000000"/>
          <w:szCs w:val="24"/>
          <w:shd w:val="clear" w:color="auto" w:fill="FFFFFF"/>
          <w:lang w:eastAsia="en-GB"/>
        </w:rPr>
        <w:t>Fraiz</w:t>
      </w:r>
      <w:proofErr w:type="spellEnd"/>
      <w:r w:rsidRPr="00857344">
        <w:rPr>
          <w:rFonts w:eastAsia="Times New Roman" w:cs="Times New Roman"/>
          <w:color w:val="000000"/>
          <w:szCs w:val="24"/>
          <w:shd w:val="clear" w:color="auto" w:fill="FFFFFF"/>
          <w:lang w:eastAsia="en-GB"/>
        </w:rPr>
        <w:t>-Brea, J.A., (2020). Sustainability perceptions in tourism and hospitality: A mixed-method bibliometric approach. </w:t>
      </w:r>
      <w:r w:rsidRPr="00857344">
        <w:rPr>
          <w:rFonts w:eastAsia="Times New Roman" w:cs="Times New Roman"/>
          <w:i/>
          <w:iCs/>
          <w:color w:val="000000"/>
          <w:szCs w:val="24"/>
          <w:shd w:val="clear" w:color="auto" w:fill="FFFFFF"/>
          <w:lang w:eastAsia="en-GB"/>
        </w:rPr>
        <w:t>Sustainability</w:t>
      </w:r>
      <w:r w:rsidRPr="00857344">
        <w:rPr>
          <w:rFonts w:eastAsia="Times New Roman" w:cs="Times New Roman"/>
          <w:color w:val="000000"/>
          <w:szCs w:val="24"/>
          <w:shd w:val="clear" w:color="auto" w:fill="FFFFFF"/>
          <w:lang w:eastAsia="en-GB"/>
        </w:rPr>
        <w:t>, </w:t>
      </w:r>
      <w:r w:rsidRPr="00857344">
        <w:rPr>
          <w:rFonts w:eastAsia="Times New Roman" w:cs="Times New Roman"/>
          <w:i/>
          <w:iCs/>
          <w:color w:val="000000"/>
          <w:szCs w:val="24"/>
          <w:shd w:val="clear" w:color="auto" w:fill="FFFFFF"/>
          <w:lang w:eastAsia="en-GB"/>
        </w:rPr>
        <w:t>12</w:t>
      </w:r>
      <w:r w:rsidRPr="00857344">
        <w:rPr>
          <w:rFonts w:eastAsia="Times New Roman" w:cs="Times New Roman"/>
          <w:color w:val="000000"/>
          <w:szCs w:val="24"/>
          <w:shd w:val="clear" w:color="auto" w:fill="FFFFFF"/>
          <w:lang w:eastAsia="en-GB"/>
        </w:rPr>
        <w:t>(21), p.8852.</w:t>
      </w:r>
    </w:p>
    <w:p w14:paraId="7CC7CD76" w14:textId="77777777" w:rsidR="007D145D" w:rsidRPr="00857344" w:rsidRDefault="007D145D" w:rsidP="00857344">
      <w:pPr>
        <w:rPr>
          <w:rFonts w:eastAsia="Times New Roman" w:cs="Times New Roman"/>
          <w:szCs w:val="24"/>
          <w:lang w:eastAsia="en-GB"/>
        </w:rPr>
      </w:pPr>
      <w:r w:rsidRPr="00857344">
        <w:rPr>
          <w:rFonts w:eastAsia="Times New Roman" w:cs="Times New Roman"/>
          <w:color w:val="000000"/>
          <w:szCs w:val="24"/>
          <w:shd w:val="clear" w:color="auto" w:fill="FFFFFF"/>
          <w:lang w:eastAsia="en-GB"/>
        </w:rPr>
        <w:lastRenderedPageBreak/>
        <w:t>Chung, K.C., (2020). Green marketing orientation: Achieving sustainable development in green hotel management. </w:t>
      </w:r>
      <w:r w:rsidRPr="00857344">
        <w:rPr>
          <w:rFonts w:eastAsia="Times New Roman" w:cs="Times New Roman"/>
          <w:i/>
          <w:iCs/>
          <w:color w:val="000000"/>
          <w:szCs w:val="24"/>
          <w:shd w:val="clear" w:color="auto" w:fill="FFFFFF"/>
          <w:lang w:eastAsia="en-GB"/>
        </w:rPr>
        <w:t>Journal of Hospitality Marketing &amp; Management</w:t>
      </w:r>
      <w:r w:rsidRPr="00857344">
        <w:rPr>
          <w:rFonts w:eastAsia="Times New Roman" w:cs="Times New Roman"/>
          <w:color w:val="000000"/>
          <w:szCs w:val="24"/>
          <w:shd w:val="clear" w:color="auto" w:fill="FFFFFF"/>
          <w:lang w:eastAsia="en-GB"/>
        </w:rPr>
        <w:t>, </w:t>
      </w:r>
      <w:r w:rsidRPr="00857344">
        <w:rPr>
          <w:rFonts w:eastAsia="Times New Roman" w:cs="Times New Roman"/>
          <w:i/>
          <w:iCs/>
          <w:color w:val="000000"/>
          <w:szCs w:val="24"/>
          <w:shd w:val="clear" w:color="auto" w:fill="FFFFFF"/>
          <w:lang w:eastAsia="en-GB"/>
        </w:rPr>
        <w:t>29</w:t>
      </w:r>
      <w:r w:rsidRPr="00857344">
        <w:rPr>
          <w:rFonts w:eastAsia="Times New Roman" w:cs="Times New Roman"/>
          <w:color w:val="000000"/>
          <w:szCs w:val="24"/>
          <w:shd w:val="clear" w:color="auto" w:fill="FFFFFF"/>
          <w:lang w:eastAsia="en-GB"/>
        </w:rPr>
        <w:t>(6), pp.722-738.</w:t>
      </w:r>
    </w:p>
    <w:p w14:paraId="18222AEB" w14:textId="77777777" w:rsidR="007D145D" w:rsidRPr="00857344" w:rsidRDefault="007D145D" w:rsidP="00857344">
      <w:pPr>
        <w:rPr>
          <w:shd w:val="clear" w:color="auto" w:fill="FFFFFF"/>
        </w:rPr>
      </w:pPr>
      <w:r w:rsidRPr="00857344">
        <w:rPr>
          <w:shd w:val="clear" w:color="auto" w:fill="FFFFFF"/>
        </w:rPr>
        <w:t xml:space="preserve">Friedman, A.L., </w:t>
      </w:r>
      <w:r>
        <w:rPr>
          <w:shd w:val="clear" w:color="auto" w:fill="FFFFFF"/>
        </w:rPr>
        <w:t>(</w:t>
      </w:r>
      <w:r w:rsidRPr="00857344">
        <w:rPr>
          <w:shd w:val="clear" w:color="auto" w:fill="FFFFFF"/>
        </w:rPr>
        <w:t>2013</w:t>
      </w:r>
      <w:r>
        <w:rPr>
          <w:shd w:val="clear" w:color="auto" w:fill="FFFFFF"/>
        </w:rPr>
        <w:t>)</w:t>
      </w:r>
      <w:r w:rsidRPr="00857344">
        <w:rPr>
          <w:shd w:val="clear" w:color="auto" w:fill="FFFFFF"/>
        </w:rPr>
        <w:t>. Continuing professional development. Routledge.</w:t>
      </w:r>
    </w:p>
    <w:p w14:paraId="71D5475E" w14:textId="77777777" w:rsidR="007D145D" w:rsidRPr="00857344" w:rsidRDefault="007D145D" w:rsidP="00857344">
      <w:pPr>
        <w:rPr>
          <w:shd w:val="clear" w:color="auto" w:fill="FFFFFF"/>
        </w:rPr>
      </w:pPr>
      <w:r w:rsidRPr="00857344">
        <w:rPr>
          <w:shd w:val="clear" w:color="auto" w:fill="FFFFFF"/>
        </w:rPr>
        <w:t xml:space="preserve">Gallagher, K., </w:t>
      </w:r>
      <w:r>
        <w:rPr>
          <w:shd w:val="clear" w:color="auto" w:fill="FFFFFF"/>
        </w:rPr>
        <w:t>(</w:t>
      </w:r>
      <w:r w:rsidRPr="00857344">
        <w:rPr>
          <w:shd w:val="clear" w:color="auto" w:fill="FFFFFF"/>
        </w:rPr>
        <w:t>2022</w:t>
      </w:r>
      <w:r>
        <w:rPr>
          <w:shd w:val="clear" w:color="auto" w:fill="FFFFFF"/>
        </w:rPr>
        <w:t>)</w:t>
      </w:r>
      <w:r w:rsidRPr="00857344">
        <w:rPr>
          <w:shd w:val="clear" w:color="auto" w:fill="FFFFFF"/>
        </w:rPr>
        <w:t>. Essential study and employment skills for business and management students. Oxford University Press.</w:t>
      </w:r>
    </w:p>
    <w:p w14:paraId="1E1FE4BA" w14:textId="77777777" w:rsidR="007D145D" w:rsidRPr="00857344" w:rsidRDefault="007D145D" w:rsidP="00857344">
      <w:pPr>
        <w:rPr>
          <w:rFonts w:eastAsia="Times New Roman" w:cs="Times New Roman"/>
          <w:szCs w:val="24"/>
          <w:lang w:eastAsia="en-GB"/>
        </w:rPr>
      </w:pPr>
      <w:proofErr w:type="spellStart"/>
      <w:r w:rsidRPr="00857344">
        <w:rPr>
          <w:rFonts w:eastAsia="Times New Roman" w:cs="Times New Roman"/>
          <w:color w:val="000000"/>
          <w:szCs w:val="24"/>
          <w:shd w:val="clear" w:color="auto" w:fill="FFFFFF"/>
          <w:lang w:eastAsia="en-GB"/>
        </w:rPr>
        <w:t>Gürlek</w:t>
      </w:r>
      <w:proofErr w:type="spellEnd"/>
      <w:r w:rsidRPr="00857344">
        <w:rPr>
          <w:rFonts w:eastAsia="Times New Roman" w:cs="Times New Roman"/>
          <w:color w:val="000000"/>
          <w:szCs w:val="24"/>
          <w:shd w:val="clear" w:color="auto" w:fill="FFFFFF"/>
          <w:lang w:eastAsia="en-GB"/>
        </w:rPr>
        <w:t xml:space="preserve">, M. and </w:t>
      </w:r>
      <w:proofErr w:type="spellStart"/>
      <w:r w:rsidRPr="00857344">
        <w:rPr>
          <w:rFonts w:eastAsia="Times New Roman" w:cs="Times New Roman"/>
          <w:color w:val="000000"/>
          <w:szCs w:val="24"/>
          <w:shd w:val="clear" w:color="auto" w:fill="FFFFFF"/>
          <w:lang w:eastAsia="en-GB"/>
        </w:rPr>
        <w:t>Koseoglu</w:t>
      </w:r>
      <w:proofErr w:type="spellEnd"/>
      <w:r w:rsidRPr="00857344">
        <w:rPr>
          <w:rFonts w:eastAsia="Times New Roman" w:cs="Times New Roman"/>
          <w:color w:val="000000"/>
          <w:szCs w:val="24"/>
          <w:shd w:val="clear" w:color="auto" w:fill="FFFFFF"/>
          <w:lang w:eastAsia="en-GB"/>
        </w:rPr>
        <w:t xml:space="preserve">, M.A., (2021). Green innovation research in the field of hospitality and tourism: The construct, antecedents, consequences, and </w:t>
      </w:r>
      <w:proofErr w:type="gramStart"/>
      <w:r w:rsidRPr="00857344">
        <w:rPr>
          <w:rFonts w:eastAsia="Times New Roman" w:cs="Times New Roman"/>
          <w:color w:val="000000"/>
          <w:szCs w:val="24"/>
          <w:shd w:val="clear" w:color="auto" w:fill="FFFFFF"/>
          <w:lang w:eastAsia="en-GB"/>
        </w:rPr>
        <w:t>future outlook</w:t>
      </w:r>
      <w:proofErr w:type="gramEnd"/>
      <w:r w:rsidRPr="00857344">
        <w:rPr>
          <w:rFonts w:eastAsia="Times New Roman" w:cs="Times New Roman"/>
          <w:color w:val="000000"/>
          <w:szCs w:val="24"/>
          <w:shd w:val="clear" w:color="auto" w:fill="FFFFFF"/>
          <w:lang w:eastAsia="en-GB"/>
        </w:rPr>
        <w:t>. </w:t>
      </w:r>
      <w:r w:rsidRPr="00857344">
        <w:rPr>
          <w:rFonts w:eastAsia="Times New Roman" w:cs="Times New Roman"/>
          <w:i/>
          <w:iCs/>
          <w:color w:val="000000"/>
          <w:szCs w:val="24"/>
          <w:shd w:val="clear" w:color="auto" w:fill="FFFFFF"/>
          <w:lang w:eastAsia="en-GB"/>
        </w:rPr>
        <w:t>The Service Industries Journal</w:t>
      </w:r>
      <w:r w:rsidRPr="00857344">
        <w:rPr>
          <w:rFonts w:eastAsia="Times New Roman" w:cs="Times New Roman"/>
          <w:color w:val="000000"/>
          <w:szCs w:val="24"/>
          <w:shd w:val="clear" w:color="auto" w:fill="FFFFFF"/>
          <w:lang w:eastAsia="en-GB"/>
        </w:rPr>
        <w:t>, </w:t>
      </w:r>
      <w:r w:rsidRPr="00857344">
        <w:rPr>
          <w:rFonts w:eastAsia="Times New Roman" w:cs="Times New Roman"/>
          <w:i/>
          <w:iCs/>
          <w:color w:val="000000"/>
          <w:szCs w:val="24"/>
          <w:shd w:val="clear" w:color="auto" w:fill="FFFFFF"/>
          <w:lang w:eastAsia="en-GB"/>
        </w:rPr>
        <w:t>41</w:t>
      </w:r>
      <w:r w:rsidRPr="00857344">
        <w:rPr>
          <w:rFonts w:eastAsia="Times New Roman" w:cs="Times New Roman"/>
          <w:color w:val="000000"/>
          <w:szCs w:val="24"/>
          <w:shd w:val="clear" w:color="auto" w:fill="FFFFFF"/>
          <w:lang w:eastAsia="en-GB"/>
        </w:rPr>
        <w:t>(11-12), pp.734-766.</w:t>
      </w:r>
    </w:p>
    <w:p w14:paraId="4896658C" w14:textId="77777777" w:rsidR="007D145D" w:rsidRPr="00857344" w:rsidRDefault="007D145D" w:rsidP="00857344">
      <w:pPr>
        <w:rPr>
          <w:shd w:val="clear" w:color="auto" w:fill="FFFFFF"/>
        </w:rPr>
      </w:pPr>
      <w:r w:rsidRPr="00857344">
        <w:rPr>
          <w:shd w:val="clear" w:color="auto" w:fill="FFFFFF"/>
        </w:rPr>
        <w:t xml:space="preserve">Horn, R., </w:t>
      </w:r>
      <w:r>
        <w:rPr>
          <w:shd w:val="clear" w:color="auto" w:fill="FFFFFF"/>
        </w:rPr>
        <w:t>(</w:t>
      </w:r>
      <w:r w:rsidRPr="00857344">
        <w:rPr>
          <w:shd w:val="clear" w:color="auto" w:fill="FFFFFF"/>
        </w:rPr>
        <w:t>2009</w:t>
      </w:r>
      <w:r>
        <w:rPr>
          <w:shd w:val="clear" w:color="auto" w:fill="FFFFFF"/>
        </w:rPr>
        <w:t>)</w:t>
      </w:r>
      <w:r w:rsidRPr="00857344">
        <w:rPr>
          <w:shd w:val="clear" w:color="auto" w:fill="FFFFFF"/>
        </w:rPr>
        <w:t>. </w:t>
      </w:r>
      <w:r w:rsidRPr="00857344">
        <w:rPr>
          <w:i/>
          <w:iCs/>
          <w:shd w:val="clear" w:color="auto" w:fill="FFFFFF"/>
        </w:rPr>
        <w:t>The business skills handbook</w:t>
      </w:r>
      <w:r w:rsidRPr="00857344">
        <w:rPr>
          <w:shd w:val="clear" w:color="auto" w:fill="FFFFFF"/>
        </w:rPr>
        <w:t>. Kogan Page Publishers.</w:t>
      </w:r>
    </w:p>
    <w:p w14:paraId="4CC28B9E" w14:textId="77777777" w:rsidR="007D145D" w:rsidRDefault="007D145D" w:rsidP="00857344">
      <w:r w:rsidRPr="00857344">
        <w:rPr>
          <w:shd w:val="clear" w:color="auto" w:fill="FFFFFF"/>
        </w:rPr>
        <w:t xml:space="preserve">Inman, M., O'Sullivan, N. and Murton, A., </w:t>
      </w:r>
      <w:r>
        <w:rPr>
          <w:shd w:val="clear" w:color="auto" w:fill="FFFFFF"/>
        </w:rPr>
        <w:t>(</w:t>
      </w:r>
      <w:r w:rsidRPr="00857344">
        <w:rPr>
          <w:shd w:val="clear" w:color="auto" w:fill="FFFFFF"/>
        </w:rPr>
        <w:t>2014</w:t>
      </w:r>
      <w:r>
        <w:rPr>
          <w:shd w:val="clear" w:color="auto" w:fill="FFFFFF"/>
        </w:rPr>
        <w:t>)</w:t>
      </w:r>
      <w:r w:rsidRPr="00857344">
        <w:rPr>
          <w:shd w:val="clear" w:color="auto" w:fill="FFFFFF"/>
        </w:rPr>
        <w:t>. </w:t>
      </w:r>
      <w:r w:rsidRPr="00857344">
        <w:rPr>
          <w:i/>
          <w:iCs/>
          <w:shd w:val="clear" w:color="auto" w:fill="FFFFFF"/>
        </w:rPr>
        <w:t>Unlocking human resource management</w:t>
      </w:r>
      <w:r w:rsidRPr="00857344">
        <w:rPr>
          <w:shd w:val="clear" w:color="auto" w:fill="FFFFFF"/>
        </w:rPr>
        <w:t>. Routledge.</w:t>
      </w:r>
    </w:p>
    <w:p w14:paraId="5E730B7B" w14:textId="77777777" w:rsidR="007D145D" w:rsidRPr="00857344" w:rsidRDefault="007D145D" w:rsidP="00857344">
      <w:pPr>
        <w:rPr>
          <w:shd w:val="clear" w:color="auto" w:fill="FFFFFF"/>
        </w:rPr>
      </w:pPr>
      <w:r w:rsidRPr="00857344">
        <w:rPr>
          <w:shd w:val="clear" w:color="auto" w:fill="FFFFFF"/>
        </w:rPr>
        <w:t xml:space="preserve">Marchington, M., Wilkinson, A., Donnelly, R. and </w:t>
      </w:r>
      <w:proofErr w:type="spellStart"/>
      <w:r w:rsidRPr="00857344">
        <w:rPr>
          <w:shd w:val="clear" w:color="auto" w:fill="FFFFFF"/>
        </w:rPr>
        <w:t>Kynighou</w:t>
      </w:r>
      <w:proofErr w:type="spellEnd"/>
      <w:r w:rsidRPr="00857344">
        <w:rPr>
          <w:shd w:val="clear" w:color="auto" w:fill="FFFFFF"/>
        </w:rPr>
        <w:t xml:space="preserve">, A., </w:t>
      </w:r>
      <w:r>
        <w:rPr>
          <w:shd w:val="clear" w:color="auto" w:fill="FFFFFF"/>
        </w:rPr>
        <w:t>(</w:t>
      </w:r>
      <w:r w:rsidRPr="00857344">
        <w:rPr>
          <w:shd w:val="clear" w:color="auto" w:fill="FFFFFF"/>
        </w:rPr>
        <w:t>2016</w:t>
      </w:r>
      <w:r>
        <w:rPr>
          <w:shd w:val="clear" w:color="auto" w:fill="FFFFFF"/>
        </w:rPr>
        <w:t>)</w:t>
      </w:r>
      <w:r w:rsidRPr="00857344">
        <w:rPr>
          <w:shd w:val="clear" w:color="auto" w:fill="FFFFFF"/>
        </w:rPr>
        <w:t>. </w:t>
      </w:r>
      <w:r w:rsidRPr="00857344">
        <w:rPr>
          <w:i/>
          <w:iCs/>
          <w:shd w:val="clear" w:color="auto" w:fill="FFFFFF"/>
        </w:rPr>
        <w:t>Human resource management at work</w:t>
      </w:r>
      <w:r w:rsidRPr="00857344">
        <w:rPr>
          <w:shd w:val="clear" w:color="auto" w:fill="FFFFFF"/>
        </w:rPr>
        <w:t>. Kogan Page Publishers.</w:t>
      </w:r>
    </w:p>
    <w:sectPr w:rsidR="007D145D" w:rsidRPr="00857344" w:rsidSect="00341FA4">
      <w:headerReference w:type="default" r:id="rId7"/>
      <w:foot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4C5BC" w14:textId="77777777" w:rsidR="00E84596" w:rsidRDefault="00E84596" w:rsidP="00341FA4">
      <w:pPr>
        <w:spacing w:after="0" w:line="240" w:lineRule="auto"/>
      </w:pPr>
      <w:r>
        <w:separator/>
      </w:r>
    </w:p>
  </w:endnote>
  <w:endnote w:type="continuationSeparator" w:id="0">
    <w:p w14:paraId="74853A20" w14:textId="77777777" w:rsidR="00E84596" w:rsidRDefault="00E84596" w:rsidP="00341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5058517"/>
      <w:docPartObj>
        <w:docPartGallery w:val="Page Numbers (Bottom of Page)"/>
        <w:docPartUnique/>
      </w:docPartObj>
    </w:sdtPr>
    <w:sdtContent>
      <w:sdt>
        <w:sdtPr>
          <w:id w:val="860082579"/>
          <w:docPartObj>
            <w:docPartGallery w:val="Page Numbers (Top of Page)"/>
            <w:docPartUnique/>
          </w:docPartObj>
        </w:sdtPr>
        <w:sdtContent>
          <w:p w14:paraId="7D456499" w14:textId="77777777" w:rsidR="00341FA4" w:rsidRDefault="00341FA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10</w:t>
            </w:r>
            <w:r>
              <w:rPr>
                <w:b/>
                <w:bCs/>
                <w:szCs w:val="24"/>
              </w:rPr>
              <w:fldChar w:fldCharType="end"/>
            </w:r>
          </w:p>
        </w:sdtContent>
      </w:sdt>
    </w:sdtContent>
  </w:sdt>
  <w:p w14:paraId="6A314BD3" w14:textId="77777777" w:rsidR="00341FA4" w:rsidRDefault="00341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EF977B" w14:textId="77777777" w:rsidR="00E84596" w:rsidRDefault="00E84596" w:rsidP="00341FA4">
      <w:pPr>
        <w:spacing w:after="0" w:line="240" w:lineRule="auto"/>
      </w:pPr>
      <w:r>
        <w:separator/>
      </w:r>
    </w:p>
  </w:footnote>
  <w:footnote w:type="continuationSeparator" w:id="0">
    <w:p w14:paraId="0D3F57EC" w14:textId="77777777" w:rsidR="00E84596" w:rsidRDefault="00E84596" w:rsidP="00341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7C2164" w14:textId="6F438766" w:rsidR="00341FA4" w:rsidRPr="00A52D14" w:rsidRDefault="00A52D14" w:rsidP="00A52D14">
    <w:pPr>
      <w:pStyle w:val="Header"/>
      <w:jc w:val="right"/>
      <w:rPr>
        <w:b/>
        <w:bCs/>
      </w:rPr>
    </w:pPr>
    <w:r w:rsidRPr="00A52D14">
      <w:rPr>
        <w:b/>
        <w:bCs/>
      </w:rPr>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8843E3"/>
    <w:multiLevelType w:val="hybridMultilevel"/>
    <w:tmpl w:val="16343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8E2071"/>
    <w:multiLevelType w:val="hybridMultilevel"/>
    <w:tmpl w:val="AB3A3D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B4725F"/>
    <w:multiLevelType w:val="hybridMultilevel"/>
    <w:tmpl w:val="09D6B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AB13E4"/>
    <w:multiLevelType w:val="hybridMultilevel"/>
    <w:tmpl w:val="6C9E89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4902519">
    <w:abstractNumId w:val="1"/>
  </w:num>
  <w:num w:numId="2" w16cid:durableId="1209684860">
    <w:abstractNumId w:val="3"/>
  </w:num>
  <w:num w:numId="3" w16cid:durableId="582106655">
    <w:abstractNumId w:val="2"/>
  </w:num>
  <w:num w:numId="4" w16cid:durableId="251134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A52"/>
    <w:rsid w:val="000875BD"/>
    <w:rsid w:val="0012078A"/>
    <w:rsid w:val="00243A52"/>
    <w:rsid w:val="002466FC"/>
    <w:rsid w:val="00341FA4"/>
    <w:rsid w:val="003676D3"/>
    <w:rsid w:val="003F3428"/>
    <w:rsid w:val="00432A1B"/>
    <w:rsid w:val="00552190"/>
    <w:rsid w:val="005C1207"/>
    <w:rsid w:val="00666D34"/>
    <w:rsid w:val="006927DD"/>
    <w:rsid w:val="007D145D"/>
    <w:rsid w:val="007F3375"/>
    <w:rsid w:val="00844251"/>
    <w:rsid w:val="00857344"/>
    <w:rsid w:val="00890BFD"/>
    <w:rsid w:val="008F591E"/>
    <w:rsid w:val="009832B1"/>
    <w:rsid w:val="00A45378"/>
    <w:rsid w:val="00A46773"/>
    <w:rsid w:val="00A52D14"/>
    <w:rsid w:val="00A6001F"/>
    <w:rsid w:val="00C87599"/>
    <w:rsid w:val="00CA4736"/>
    <w:rsid w:val="00D54E25"/>
    <w:rsid w:val="00DB4BB2"/>
    <w:rsid w:val="00DC0C47"/>
    <w:rsid w:val="00E84596"/>
    <w:rsid w:val="00ED69C4"/>
    <w:rsid w:val="00FC2DA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FF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2B1"/>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D69C4"/>
    <w:pPr>
      <w:keepNext/>
      <w:keepLines/>
      <w:spacing w:before="480" w:after="120"/>
      <w:outlineLvl w:val="0"/>
    </w:pPr>
    <w:rPr>
      <w:rFonts w:eastAsiaTheme="majorEastAsia" w:cs="Arial"/>
      <w:b/>
      <w:bCs/>
      <w:color w:val="000000"/>
      <w:sz w:val="28"/>
      <w:szCs w:val="24"/>
      <w:shd w:val="clear" w:color="auto" w:fill="FFFFFF"/>
    </w:rPr>
  </w:style>
  <w:style w:type="paragraph" w:styleId="Heading2">
    <w:name w:val="heading 2"/>
    <w:basedOn w:val="Normal"/>
    <w:next w:val="Normal"/>
    <w:link w:val="Heading2Char"/>
    <w:autoRedefine/>
    <w:uiPriority w:val="9"/>
    <w:semiHidden/>
    <w:unhideWhenUsed/>
    <w:qFormat/>
    <w:rsid w:val="009832B1"/>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C4"/>
    <w:rPr>
      <w:rFonts w:ascii="Times New Roman" w:eastAsiaTheme="majorEastAsia" w:hAnsi="Times New Roman" w:cs="Arial"/>
      <w:b/>
      <w:bCs/>
      <w:color w:val="000000"/>
      <w:sz w:val="28"/>
      <w:szCs w:val="24"/>
    </w:rPr>
  </w:style>
  <w:style w:type="character" w:customStyle="1" w:styleId="Heading2Char">
    <w:name w:val="Heading 2 Char"/>
    <w:basedOn w:val="DefaultParagraphFont"/>
    <w:link w:val="Heading2"/>
    <w:uiPriority w:val="9"/>
    <w:semiHidden/>
    <w:rsid w:val="009832B1"/>
    <w:rPr>
      <w:rFonts w:ascii="Times New Roman" w:eastAsiaTheme="majorEastAsia" w:hAnsi="Times New Roman" w:cstheme="majorBidi"/>
      <w:b/>
      <w:bCs/>
      <w:color w:val="000000" w:themeColor="text1"/>
      <w:sz w:val="26"/>
      <w:szCs w:val="26"/>
    </w:rPr>
  </w:style>
  <w:style w:type="paragraph" w:styleId="NormalWeb">
    <w:name w:val="Normal (Web)"/>
    <w:basedOn w:val="Normal"/>
    <w:uiPriority w:val="99"/>
    <w:semiHidden/>
    <w:unhideWhenUsed/>
    <w:rsid w:val="00243A52"/>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DC0C47"/>
    <w:pPr>
      <w:ind w:left="720"/>
      <w:contextualSpacing/>
    </w:pPr>
  </w:style>
  <w:style w:type="paragraph" w:styleId="Header">
    <w:name w:val="header"/>
    <w:basedOn w:val="Normal"/>
    <w:link w:val="HeaderChar"/>
    <w:uiPriority w:val="99"/>
    <w:unhideWhenUsed/>
    <w:rsid w:val="00341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FA4"/>
    <w:rPr>
      <w:rFonts w:ascii="Times New Roman" w:hAnsi="Times New Roman"/>
      <w:sz w:val="24"/>
    </w:rPr>
  </w:style>
  <w:style w:type="paragraph" w:styleId="Footer">
    <w:name w:val="footer"/>
    <w:basedOn w:val="Normal"/>
    <w:link w:val="FooterChar"/>
    <w:uiPriority w:val="99"/>
    <w:unhideWhenUsed/>
    <w:rsid w:val="00341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FA4"/>
    <w:rPr>
      <w:rFonts w:ascii="Times New Roman" w:hAnsi="Times New Roman"/>
      <w:sz w:val="24"/>
    </w:rPr>
  </w:style>
  <w:style w:type="character" w:styleId="Strong">
    <w:name w:val="Strong"/>
    <w:basedOn w:val="DefaultParagraphFont"/>
    <w:uiPriority w:val="22"/>
    <w:qFormat/>
    <w:rsid w:val="00FC2D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571203">
      <w:bodyDiv w:val="1"/>
      <w:marLeft w:val="0"/>
      <w:marRight w:val="0"/>
      <w:marTop w:val="0"/>
      <w:marBottom w:val="0"/>
      <w:divBdr>
        <w:top w:val="none" w:sz="0" w:space="0" w:color="auto"/>
        <w:left w:val="none" w:sz="0" w:space="0" w:color="auto"/>
        <w:bottom w:val="none" w:sz="0" w:space="0" w:color="auto"/>
        <w:right w:val="none" w:sz="0" w:space="0" w:color="auto"/>
      </w:divBdr>
    </w:div>
    <w:div w:id="1204250744">
      <w:bodyDiv w:val="1"/>
      <w:marLeft w:val="0"/>
      <w:marRight w:val="0"/>
      <w:marTop w:val="0"/>
      <w:marBottom w:val="0"/>
      <w:divBdr>
        <w:top w:val="none" w:sz="0" w:space="0" w:color="auto"/>
        <w:left w:val="none" w:sz="0" w:space="0" w:color="auto"/>
        <w:bottom w:val="none" w:sz="0" w:space="0" w:color="auto"/>
        <w:right w:val="none" w:sz="0" w:space="0" w:color="auto"/>
      </w:divBdr>
    </w:div>
    <w:div w:id="1449347435">
      <w:bodyDiv w:val="1"/>
      <w:marLeft w:val="0"/>
      <w:marRight w:val="0"/>
      <w:marTop w:val="0"/>
      <w:marBottom w:val="0"/>
      <w:divBdr>
        <w:top w:val="none" w:sz="0" w:space="0" w:color="auto"/>
        <w:left w:val="none" w:sz="0" w:space="0" w:color="auto"/>
        <w:bottom w:val="none" w:sz="0" w:space="0" w:color="auto"/>
        <w:right w:val="none" w:sz="0" w:space="0" w:color="auto"/>
      </w:divBdr>
    </w:div>
    <w:div w:id="1525561061">
      <w:bodyDiv w:val="1"/>
      <w:marLeft w:val="0"/>
      <w:marRight w:val="0"/>
      <w:marTop w:val="0"/>
      <w:marBottom w:val="0"/>
      <w:divBdr>
        <w:top w:val="none" w:sz="0" w:space="0" w:color="auto"/>
        <w:left w:val="none" w:sz="0" w:space="0" w:color="auto"/>
        <w:bottom w:val="none" w:sz="0" w:space="0" w:color="auto"/>
        <w:right w:val="none" w:sz="0" w:space="0" w:color="auto"/>
      </w:divBdr>
    </w:div>
    <w:div w:id="1615361461">
      <w:bodyDiv w:val="1"/>
      <w:marLeft w:val="0"/>
      <w:marRight w:val="0"/>
      <w:marTop w:val="0"/>
      <w:marBottom w:val="0"/>
      <w:divBdr>
        <w:top w:val="none" w:sz="0" w:space="0" w:color="auto"/>
        <w:left w:val="none" w:sz="0" w:space="0" w:color="auto"/>
        <w:bottom w:val="none" w:sz="0" w:space="0" w:color="auto"/>
        <w:right w:val="none" w:sz="0" w:space="0" w:color="auto"/>
      </w:divBdr>
    </w:div>
    <w:div w:id="1735620118">
      <w:bodyDiv w:val="1"/>
      <w:marLeft w:val="0"/>
      <w:marRight w:val="0"/>
      <w:marTop w:val="0"/>
      <w:marBottom w:val="0"/>
      <w:divBdr>
        <w:top w:val="none" w:sz="0" w:space="0" w:color="auto"/>
        <w:left w:val="none" w:sz="0" w:space="0" w:color="auto"/>
        <w:bottom w:val="none" w:sz="0" w:space="0" w:color="auto"/>
        <w:right w:val="none" w:sz="0" w:space="0" w:color="auto"/>
      </w:divBdr>
    </w:div>
    <w:div w:id="1915124219">
      <w:bodyDiv w:val="1"/>
      <w:marLeft w:val="0"/>
      <w:marRight w:val="0"/>
      <w:marTop w:val="0"/>
      <w:marBottom w:val="0"/>
      <w:divBdr>
        <w:top w:val="none" w:sz="0" w:space="0" w:color="auto"/>
        <w:left w:val="none" w:sz="0" w:space="0" w:color="auto"/>
        <w:bottom w:val="none" w:sz="0" w:space="0" w:color="auto"/>
        <w:right w:val="none" w:sz="0" w:space="0" w:color="auto"/>
      </w:divBdr>
    </w:div>
    <w:div w:id="2046517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2011</Words>
  <Characters>11468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2024-06-05T20:59:00Z</dcterms:created>
  <dcterms:modified xsi:type="dcterms:W3CDTF">2024-11-07T11:54:00Z</dcterms:modified>
</cp:coreProperties>
</file>