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D3F07" w14:textId="4043B3FF" w:rsidR="009361D4" w:rsidRDefault="009361D4" w:rsidP="009361D4">
      <w:bookmarkStart w:id="0" w:name="_Hlk203918160"/>
      <w:bookmarkEnd w:id="0"/>
    </w:p>
    <w:p w14:paraId="3BD7BA52" w14:textId="2A4889EA" w:rsidR="009361D4" w:rsidRDefault="009361D4" w:rsidP="009361D4">
      <w:r>
        <w:rPr>
          <w:noProof/>
          <w14:ligatures w14:val="standardContextual"/>
        </w:rPr>
        <w:drawing>
          <wp:inline distT="0" distB="0" distL="0" distR="0" wp14:anchorId="3BDFB192" wp14:editId="0FAC0688">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E13C044" w14:textId="77777777" w:rsidR="009361D4" w:rsidRDefault="009361D4" w:rsidP="009361D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3"/>
        <w:gridCol w:w="2993"/>
        <w:gridCol w:w="2061"/>
        <w:gridCol w:w="2059"/>
      </w:tblGrid>
      <w:tr w:rsidR="009361D4" w:rsidRPr="00A732EF" w14:paraId="6C2473C5" w14:textId="77777777" w:rsidTr="009C38C8">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36C3E0CC" w14:textId="77777777" w:rsidR="009361D4" w:rsidRPr="00A732EF" w:rsidRDefault="009361D4" w:rsidP="009C38C8">
            <w:pPr>
              <w:rPr>
                <w:rFonts w:cs="Times New Roman"/>
                <w:b/>
              </w:rPr>
            </w:pPr>
            <w:r w:rsidRPr="00A732EF">
              <w:rPr>
                <w:rFonts w:cs="Times New Roman"/>
                <w:b/>
              </w:rPr>
              <w:t>Student name:</w:t>
            </w:r>
          </w:p>
        </w:tc>
        <w:tc>
          <w:tcPr>
            <w:tcW w:w="1660" w:type="pct"/>
            <w:tcBorders>
              <w:top w:val="single" w:sz="4" w:space="0" w:color="auto"/>
              <w:left w:val="single" w:sz="4" w:space="0" w:color="auto"/>
              <w:bottom w:val="single" w:sz="4" w:space="0" w:color="auto"/>
              <w:right w:val="single" w:sz="4" w:space="0" w:color="auto"/>
            </w:tcBorders>
            <w:hideMark/>
          </w:tcPr>
          <w:p w14:paraId="1393C1C3" w14:textId="73A97A7F" w:rsidR="009361D4" w:rsidRPr="00A732EF" w:rsidRDefault="00F15AA3" w:rsidP="009C38C8">
            <w:pPr>
              <w:rPr>
                <w:rFonts w:cs="Times New Roman"/>
                <w:b/>
              </w:rPr>
            </w:pPr>
            <w:r w:rsidRPr="00F15AA3">
              <w:rPr>
                <w:rFonts w:cs="Times New Roman"/>
                <w:b/>
              </w:rPr>
              <w:t>Sheikh Polas Ahmed</w:t>
            </w:r>
          </w:p>
        </w:tc>
        <w:tc>
          <w:tcPr>
            <w:tcW w:w="1143" w:type="pct"/>
            <w:tcBorders>
              <w:top w:val="single" w:sz="4" w:space="0" w:color="auto"/>
              <w:left w:val="single" w:sz="4" w:space="0" w:color="auto"/>
              <w:bottom w:val="single" w:sz="4" w:space="0" w:color="auto"/>
              <w:right w:val="single" w:sz="4" w:space="0" w:color="auto"/>
            </w:tcBorders>
            <w:shd w:val="clear" w:color="auto" w:fill="D9D9D9"/>
            <w:hideMark/>
          </w:tcPr>
          <w:p w14:paraId="267D0C8A" w14:textId="77777777" w:rsidR="009361D4" w:rsidRPr="00A732EF" w:rsidRDefault="009361D4" w:rsidP="009C38C8">
            <w:pPr>
              <w:rPr>
                <w:rFonts w:cs="Times New Roman"/>
                <w:b/>
              </w:rPr>
            </w:pPr>
            <w:r w:rsidRPr="00A732EF">
              <w:rPr>
                <w:rFonts w:cs="Times New Roman"/>
                <w:b/>
              </w:rPr>
              <w:t>Student ID number:</w:t>
            </w:r>
          </w:p>
        </w:tc>
        <w:tc>
          <w:tcPr>
            <w:tcW w:w="1143" w:type="pct"/>
            <w:tcBorders>
              <w:top w:val="single" w:sz="4" w:space="0" w:color="auto"/>
              <w:left w:val="single" w:sz="4" w:space="0" w:color="auto"/>
              <w:bottom w:val="single" w:sz="4" w:space="0" w:color="auto"/>
              <w:right w:val="single" w:sz="4" w:space="0" w:color="auto"/>
            </w:tcBorders>
          </w:tcPr>
          <w:p w14:paraId="2656D48A" w14:textId="6654614F" w:rsidR="009361D4" w:rsidRPr="00A732EF" w:rsidRDefault="00F15AA3" w:rsidP="009C38C8">
            <w:pPr>
              <w:rPr>
                <w:rFonts w:cs="Times New Roman"/>
                <w:b/>
              </w:rPr>
            </w:pPr>
            <w:r w:rsidRPr="00F15AA3">
              <w:rPr>
                <w:rFonts w:cs="Times New Roman"/>
                <w:b/>
              </w:rPr>
              <w:t>2418845</w:t>
            </w:r>
          </w:p>
        </w:tc>
      </w:tr>
      <w:tr w:rsidR="009361D4" w:rsidRPr="00A732EF" w14:paraId="61332DD7" w14:textId="77777777" w:rsidTr="009C38C8">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4D7A2AE7" w14:textId="77777777" w:rsidR="009361D4" w:rsidRPr="00A732EF" w:rsidRDefault="009361D4" w:rsidP="009C38C8">
            <w:pPr>
              <w:rPr>
                <w:rFonts w:cs="Times New Roman"/>
                <w:b/>
              </w:rPr>
            </w:pPr>
            <w:r w:rsidRPr="00A732EF">
              <w:rPr>
                <w:rFonts w:cs="Times New Roman"/>
                <w:b/>
              </w:rPr>
              <w:t>Programme:</w:t>
            </w:r>
          </w:p>
        </w:tc>
        <w:tc>
          <w:tcPr>
            <w:tcW w:w="3945" w:type="pct"/>
            <w:gridSpan w:val="3"/>
            <w:tcBorders>
              <w:top w:val="single" w:sz="4" w:space="0" w:color="auto"/>
              <w:left w:val="single" w:sz="4" w:space="0" w:color="auto"/>
              <w:bottom w:val="single" w:sz="4" w:space="0" w:color="auto"/>
              <w:right w:val="single" w:sz="4" w:space="0" w:color="auto"/>
            </w:tcBorders>
            <w:hideMark/>
          </w:tcPr>
          <w:p w14:paraId="62CCADC4" w14:textId="77777777" w:rsidR="009361D4" w:rsidRPr="00A732EF" w:rsidRDefault="009361D4" w:rsidP="009C38C8">
            <w:pPr>
              <w:rPr>
                <w:rFonts w:cs="Times New Roman"/>
                <w:b/>
              </w:rPr>
            </w:pPr>
            <w:r w:rsidRPr="00A732EF">
              <w:rPr>
                <w:rFonts w:cs="Times New Roman"/>
              </w:rPr>
              <w:t>MBA</w:t>
            </w:r>
          </w:p>
        </w:tc>
      </w:tr>
      <w:tr w:rsidR="009361D4" w:rsidRPr="00A732EF" w14:paraId="4CEE690A" w14:textId="77777777" w:rsidTr="009C38C8">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037271B1" w14:textId="77777777" w:rsidR="009361D4" w:rsidRPr="00A732EF" w:rsidRDefault="009361D4" w:rsidP="009C38C8">
            <w:pPr>
              <w:rPr>
                <w:rFonts w:cs="Times New Roman"/>
                <w:b/>
              </w:rPr>
            </w:pPr>
            <w:r w:rsidRPr="00A732EF">
              <w:rPr>
                <w:rFonts w:cs="Times New Roman"/>
                <w:b/>
              </w:rPr>
              <w:t>Module:</w:t>
            </w:r>
          </w:p>
        </w:tc>
        <w:tc>
          <w:tcPr>
            <w:tcW w:w="3945" w:type="pct"/>
            <w:gridSpan w:val="3"/>
            <w:tcBorders>
              <w:top w:val="single" w:sz="4" w:space="0" w:color="auto"/>
              <w:left w:val="single" w:sz="4" w:space="0" w:color="auto"/>
              <w:bottom w:val="single" w:sz="4" w:space="0" w:color="auto"/>
              <w:right w:val="single" w:sz="4" w:space="0" w:color="auto"/>
            </w:tcBorders>
            <w:hideMark/>
          </w:tcPr>
          <w:p w14:paraId="58804BF2" w14:textId="77777777" w:rsidR="009361D4" w:rsidRPr="00A732EF" w:rsidRDefault="009361D4" w:rsidP="009C38C8">
            <w:pPr>
              <w:rPr>
                <w:rFonts w:cs="Times New Roman"/>
                <w:b/>
              </w:rPr>
            </w:pPr>
            <w:r w:rsidRPr="00A732EF">
              <w:rPr>
                <w:rFonts w:cs="Times New Roman"/>
              </w:rPr>
              <w:t>Finance for Business Managers</w:t>
            </w:r>
          </w:p>
        </w:tc>
      </w:tr>
      <w:tr w:rsidR="009361D4" w:rsidRPr="00A732EF" w14:paraId="7E1CD639" w14:textId="77777777" w:rsidTr="009C38C8">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71409493" w14:textId="77777777" w:rsidR="009361D4" w:rsidRPr="00A732EF" w:rsidRDefault="009361D4" w:rsidP="009C38C8">
            <w:pPr>
              <w:rPr>
                <w:rFonts w:cs="Times New Roman"/>
                <w:b/>
              </w:rPr>
            </w:pPr>
            <w:r w:rsidRPr="00A732EF">
              <w:rPr>
                <w:rFonts w:cs="Times New Roman"/>
                <w:b/>
              </w:rPr>
              <w:t>Module code:</w:t>
            </w:r>
          </w:p>
        </w:tc>
        <w:tc>
          <w:tcPr>
            <w:tcW w:w="1660" w:type="pct"/>
            <w:tcBorders>
              <w:top w:val="single" w:sz="4" w:space="0" w:color="auto"/>
              <w:left w:val="single" w:sz="4" w:space="0" w:color="auto"/>
              <w:bottom w:val="single" w:sz="4" w:space="0" w:color="auto"/>
              <w:right w:val="single" w:sz="4" w:space="0" w:color="auto"/>
            </w:tcBorders>
            <w:hideMark/>
          </w:tcPr>
          <w:p w14:paraId="5590B37A" w14:textId="77777777" w:rsidR="009361D4" w:rsidRPr="00A732EF" w:rsidRDefault="009361D4" w:rsidP="009C38C8">
            <w:pPr>
              <w:rPr>
                <w:rFonts w:cs="Times New Roman"/>
                <w:b/>
              </w:rPr>
            </w:pPr>
            <w:r w:rsidRPr="00A732EF">
              <w:rPr>
                <w:rFonts w:cs="Times New Roman"/>
                <w:bCs/>
              </w:rPr>
              <w:t>BMMB7005D</w:t>
            </w:r>
          </w:p>
        </w:tc>
        <w:tc>
          <w:tcPr>
            <w:tcW w:w="1143" w:type="pct"/>
            <w:tcBorders>
              <w:top w:val="single" w:sz="4" w:space="0" w:color="auto"/>
              <w:left w:val="single" w:sz="4" w:space="0" w:color="auto"/>
              <w:bottom w:val="single" w:sz="4" w:space="0" w:color="auto"/>
              <w:right w:val="single" w:sz="4" w:space="0" w:color="auto"/>
            </w:tcBorders>
            <w:shd w:val="clear" w:color="auto" w:fill="D9D9D9"/>
            <w:hideMark/>
          </w:tcPr>
          <w:p w14:paraId="2B4234B3" w14:textId="77777777" w:rsidR="009361D4" w:rsidRPr="00A732EF" w:rsidRDefault="009361D4" w:rsidP="009C38C8">
            <w:pPr>
              <w:rPr>
                <w:rFonts w:cs="Times New Roman"/>
                <w:b/>
              </w:rPr>
            </w:pPr>
            <w:r w:rsidRPr="00A732EF">
              <w:rPr>
                <w:rFonts w:cs="Times New Roman"/>
                <w:b/>
              </w:rPr>
              <w:t>Contribution to Overall Module Assessment (%):</w:t>
            </w:r>
          </w:p>
        </w:tc>
        <w:tc>
          <w:tcPr>
            <w:tcW w:w="1143" w:type="pct"/>
            <w:tcBorders>
              <w:top w:val="single" w:sz="4" w:space="0" w:color="auto"/>
              <w:left w:val="single" w:sz="4" w:space="0" w:color="auto"/>
              <w:bottom w:val="single" w:sz="4" w:space="0" w:color="auto"/>
              <w:right w:val="single" w:sz="4" w:space="0" w:color="auto"/>
            </w:tcBorders>
            <w:hideMark/>
          </w:tcPr>
          <w:p w14:paraId="25EC87A7" w14:textId="77777777" w:rsidR="009361D4" w:rsidRPr="00A732EF" w:rsidRDefault="009361D4" w:rsidP="009C38C8">
            <w:pPr>
              <w:rPr>
                <w:rFonts w:cs="Times New Roman"/>
                <w:b/>
              </w:rPr>
            </w:pPr>
            <w:r w:rsidRPr="00A732EF">
              <w:rPr>
                <w:rFonts w:cs="Times New Roman"/>
              </w:rPr>
              <w:t>100%</w:t>
            </w:r>
          </w:p>
        </w:tc>
      </w:tr>
      <w:tr w:rsidR="009361D4" w:rsidRPr="00A732EF" w14:paraId="2497DB69" w14:textId="77777777" w:rsidTr="009C38C8">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335350A1" w14:textId="77777777" w:rsidR="009361D4" w:rsidRPr="00A732EF" w:rsidRDefault="009361D4" w:rsidP="009C38C8">
            <w:pPr>
              <w:rPr>
                <w:rFonts w:cs="Times New Roman"/>
                <w:b/>
              </w:rPr>
            </w:pPr>
            <w:r w:rsidRPr="00A732EF">
              <w:rPr>
                <w:rFonts w:cs="Times New Roman"/>
                <w:b/>
              </w:rPr>
              <w:t>Lecturer:</w:t>
            </w:r>
          </w:p>
        </w:tc>
        <w:tc>
          <w:tcPr>
            <w:tcW w:w="1660" w:type="pct"/>
            <w:tcBorders>
              <w:top w:val="single" w:sz="4" w:space="0" w:color="auto"/>
              <w:left w:val="single" w:sz="4" w:space="0" w:color="auto"/>
              <w:bottom w:val="single" w:sz="4" w:space="0" w:color="auto"/>
              <w:right w:val="single" w:sz="4" w:space="0" w:color="auto"/>
            </w:tcBorders>
            <w:hideMark/>
          </w:tcPr>
          <w:p w14:paraId="1E48F726" w14:textId="77777777" w:rsidR="009361D4" w:rsidRPr="00A732EF" w:rsidRDefault="009361D4" w:rsidP="009C38C8">
            <w:pPr>
              <w:rPr>
                <w:rFonts w:cs="Times New Roman"/>
                <w:b/>
              </w:rPr>
            </w:pPr>
            <w:r w:rsidRPr="00A732EF">
              <w:rPr>
                <w:rFonts w:cs="Times New Roman"/>
              </w:rPr>
              <w:t xml:space="preserve">Marie </w:t>
            </w:r>
            <w:proofErr w:type="spellStart"/>
            <w:r w:rsidRPr="00A732EF">
              <w:rPr>
                <w:rFonts w:cs="Times New Roman"/>
              </w:rPr>
              <w:t>Pitson</w:t>
            </w:r>
            <w:proofErr w:type="spellEnd"/>
          </w:p>
        </w:tc>
        <w:tc>
          <w:tcPr>
            <w:tcW w:w="1143" w:type="pct"/>
            <w:tcBorders>
              <w:top w:val="single" w:sz="4" w:space="0" w:color="auto"/>
              <w:left w:val="single" w:sz="4" w:space="0" w:color="auto"/>
              <w:bottom w:val="single" w:sz="4" w:space="0" w:color="auto"/>
              <w:right w:val="single" w:sz="4" w:space="0" w:color="auto"/>
            </w:tcBorders>
            <w:shd w:val="clear" w:color="auto" w:fill="D9D9D9"/>
            <w:hideMark/>
          </w:tcPr>
          <w:p w14:paraId="703E2B4B" w14:textId="77777777" w:rsidR="009361D4" w:rsidRPr="00A732EF" w:rsidRDefault="009361D4" w:rsidP="009C38C8">
            <w:pPr>
              <w:rPr>
                <w:rFonts w:cs="Times New Roman"/>
                <w:b/>
              </w:rPr>
            </w:pPr>
            <w:r w:rsidRPr="00A732EF">
              <w:rPr>
                <w:rFonts w:cs="Times New Roman"/>
                <w:b/>
              </w:rPr>
              <w:t>Internal Verifier:</w:t>
            </w:r>
          </w:p>
        </w:tc>
        <w:tc>
          <w:tcPr>
            <w:tcW w:w="1143" w:type="pct"/>
            <w:tcBorders>
              <w:top w:val="single" w:sz="4" w:space="0" w:color="auto"/>
              <w:left w:val="single" w:sz="4" w:space="0" w:color="auto"/>
              <w:bottom w:val="single" w:sz="4" w:space="0" w:color="auto"/>
              <w:right w:val="single" w:sz="4" w:space="0" w:color="auto"/>
            </w:tcBorders>
            <w:hideMark/>
          </w:tcPr>
          <w:p w14:paraId="1C0FC8D2" w14:textId="77777777" w:rsidR="009361D4" w:rsidRPr="00A732EF" w:rsidRDefault="009361D4" w:rsidP="009C38C8">
            <w:pPr>
              <w:rPr>
                <w:rFonts w:cs="Times New Roman"/>
                <w:b/>
              </w:rPr>
            </w:pPr>
            <w:r w:rsidRPr="00A732EF">
              <w:rPr>
                <w:rFonts w:cs="Times New Roman"/>
              </w:rPr>
              <w:t>Badir Miftah</w:t>
            </w:r>
          </w:p>
        </w:tc>
      </w:tr>
      <w:tr w:rsidR="009361D4" w:rsidRPr="00A732EF" w14:paraId="37AEE3AD" w14:textId="77777777" w:rsidTr="009C38C8">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70C90AAE" w14:textId="77777777" w:rsidR="009361D4" w:rsidRPr="00A732EF" w:rsidRDefault="009361D4" w:rsidP="009C38C8">
            <w:pPr>
              <w:rPr>
                <w:rFonts w:cs="Times New Roman"/>
                <w:b/>
              </w:rPr>
            </w:pPr>
            <w:r w:rsidRPr="00A732EF">
              <w:rPr>
                <w:rFonts w:cs="Times New Roman"/>
                <w:b/>
              </w:rPr>
              <w:t>Assignment Title:</w:t>
            </w:r>
          </w:p>
        </w:tc>
        <w:tc>
          <w:tcPr>
            <w:tcW w:w="1660" w:type="pct"/>
            <w:tcBorders>
              <w:top w:val="single" w:sz="4" w:space="0" w:color="auto"/>
              <w:left w:val="single" w:sz="4" w:space="0" w:color="auto"/>
              <w:bottom w:val="single" w:sz="4" w:space="0" w:color="auto"/>
              <w:right w:val="single" w:sz="4" w:space="0" w:color="auto"/>
            </w:tcBorders>
            <w:hideMark/>
          </w:tcPr>
          <w:p w14:paraId="7F0A55CC" w14:textId="70CA5BE6" w:rsidR="009361D4" w:rsidRPr="00F15AA3" w:rsidRDefault="009361D4" w:rsidP="009361D4">
            <w:pPr>
              <w:rPr>
                <w:rFonts w:cs="Times New Roman"/>
              </w:rPr>
            </w:pPr>
            <w:r w:rsidRPr="00F15AA3">
              <w:rPr>
                <w:rFonts w:cs="Times New Roman"/>
              </w:rPr>
              <w:t>Part 1: Whitbread PLC ORD</w:t>
            </w:r>
          </w:p>
          <w:p w14:paraId="6BABB69C" w14:textId="4A8A7170" w:rsidR="009361D4" w:rsidRPr="00A732EF" w:rsidRDefault="009361D4" w:rsidP="009361D4">
            <w:pPr>
              <w:rPr>
                <w:rFonts w:cs="Times New Roman"/>
              </w:rPr>
            </w:pPr>
            <w:r w:rsidRPr="00F15AA3">
              <w:rPr>
                <w:rFonts w:cs="Times New Roman"/>
              </w:rPr>
              <w:t xml:space="preserve">Part 2: </w:t>
            </w:r>
            <w:proofErr w:type="spellStart"/>
            <w:r w:rsidRPr="00A732EF">
              <w:rPr>
                <w:rFonts w:cs="Times New Roman"/>
              </w:rPr>
              <w:t>Jordons</w:t>
            </w:r>
            <w:proofErr w:type="spellEnd"/>
            <w:r w:rsidRPr="00A732EF">
              <w:rPr>
                <w:rFonts w:cs="Times New Roman"/>
              </w:rPr>
              <w:t xml:space="preserve"> P</w:t>
            </w:r>
            <w:r w:rsidRPr="00F15AA3">
              <w:rPr>
                <w:rFonts w:cs="Times New Roman"/>
              </w:rPr>
              <w:t>LC</w:t>
            </w:r>
          </w:p>
        </w:tc>
        <w:tc>
          <w:tcPr>
            <w:tcW w:w="1143" w:type="pct"/>
            <w:tcBorders>
              <w:top w:val="single" w:sz="4" w:space="0" w:color="auto"/>
              <w:left w:val="single" w:sz="4" w:space="0" w:color="auto"/>
              <w:bottom w:val="single" w:sz="4" w:space="0" w:color="auto"/>
              <w:right w:val="single" w:sz="4" w:space="0" w:color="auto"/>
            </w:tcBorders>
            <w:shd w:val="pct15" w:color="auto" w:fill="auto"/>
            <w:hideMark/>
          </w:tcPr>
          <w:p w14:paraId="35897330" w14:textId="77777777" w:rsidR="009361D4" w:rsidRPr="00A732EF" w:rsidRDefault="009361D4" w:rsidP="009C38C8">
            <w:pPr>
              <w:rPr>
                <w:rFonts w:cs="Times New Roman"/>
                <w:b/>
              </w:rPr>
            </w:pPr>
            <w:r w:rsidRPr="00A732EF">
              <w:rPr>
                <w:rFonts w:cs="Times New Roman"/>
                <w:b/>
              </w:rPr>
              <w:t>Word count (or equivalent):</w:t>
            </w:r>
          </w:p>
        </w:tc>
        <w:tc>
          <w:tcPr>
            <w:tcW w:w="1143" w:type="pct"/>
            <w:tcBorders>
              <w:top w:val="single" w:sz="4" w:space="0" w:color="auto"/>
              <w:left w:val="single" w:sz="4" w:space="0" w:color="auto"/>
              <w:bottom w:val="single" w:sz="4" w:space="0" w:color="auto"/>
              <w:right w:val="single" w:sz="4" w:space="0" w:color="auto"/>
            </w:tcBorders>
            <w:hideMark/>
          </w:tcPr>
          <w:p w14:paraId="7514BD4B" w14:textId="77777777" w:rsidR="009361D4" w:rsidRPr="00A732EF" w:rsidRDefault="009361D4" w:rsidP="009C38C8">
            <w:pPr>
              <w:rPr>
                <w:rFonts w:cs="Times New Roman"/>
                <w:b/>
              </w:rPr>
            </w:pPr>
            <w:r w:rsidRPr="00A732EF">
              <w:rPr>
                <w:rFonts w:cs="Times New Roman"/>
              </w:rPr>
              <w:t>5000 words</w:t>
            </w:r>
          </w:p>
        </w:tc>
      </w:tr>
      <w:tr w:rsidR="009361D4" w:rsidRPr="00A732EF" w14:paraId="472AA48A" w14:textId="77777777" w:rsidTr="009C38C8">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4B614062" w14:textId="77777777" w:rsidR="009361D4" w:rsidRPr="00A732EF" w:rsidRDefault="009361D4" w:rsidP="009C38C8">
            <w:pPr>
              <w:rPr>
                <w:rFonts w:cs="Times New Roman"/>
                <w:b/>
              </w:rPr>
            </w:pPr>
            <w:r w:rsidRPr="00A732EF">
              <w:rPr>
                <w:rFonts w:cs="Times New Roman"/>
                <w:b/>
              </w:rPr>
              <w:t>Submission deadline:</w:t>
            </w:r>
          </w:p>
        </w:tc>
        <w:tc>
          <w:tcPr>
            <w:tcW w:w="1660" w:type="pct"/>
            <w:tcBorders>
              <w:top w:val="single" w:sz="4" w:space="0" w:color="auto"/>
              <w:left w:val="single" w:sz="4" w:space="0" w:color="auto"/>
              <w:bottom w:val="single" w:sz="4" w:space="0" w:color="auto"/>
              <w:right w:val="single" w:sz="4" w:space="0" w:color="auto"/>
            </w:tcBorders>
            <w:hideMark/>
          </w:tcPr>
          <w:p w14:paraId="6CEFD5F4" w14:textId="59C68758" w:rsidR="009361D4" w:rsidRPr="00A732EF" w:rsidRDefault="009361D4" w:rsidP="009C38C8">
            <w:pPr>
              <w:rPr>
                <w:rFonts w:cs="Times New Roman"/>
              </w:rPr>
            </w:pPr>
            <w:r w:rsidRPr="00F15AA3">
              <w:rPr>
                <w:rFonts w:cs="Times New Roman"/>
              </w:rPr>
              <w:t>21</w:t>
            </w:r>
            <w:r w:rsidRPr="00A732EF">
              <w:rPr>
                <w:rFonts w:cs="Times New Roman"/>
                <w:vertAlign w:val="superscript"/>
              </w:rPr>
              <w:t>th</w:t>
            </w:r>
            <w:r w:rsidRPr="00A732EF">
              <w:rPr>
                <w:rFonts w:cs="Times New Roman"/>
              </w:rPr>
              <w:t xml:space="preserve"> July 2025</w:t>
            </w:r>
          </w:p>
        </w:tc>
        <w:tc>
          <w:tcPr>
            <w:tcW w:w="1143" w:type="pct"/>
            <w:tcBorders>
              <w:top w:val="single" w:sz="4" w:space="0" w:color="auto"/>
              <w:left w:val="single" w:sz="4" w:space="0" w:color="auto"/>
              <w:bottom w:val="single" w:sz="4" w:space="0" w:color="auto"/>
              <w:right w:val="single" w:sz="4" w:space="0" w:color="auto"/>
            </w:tcBorders>
            <w:shd w:val="pct15" w:color="auto" w:fill="auto"/>
            <w:hideMark/>
          </w:tcPr>
          <w:p w14:paraId="47EFD020" w14:textId="77777777" w:rsidR="009361D4" w:rsidRPr="00A732EF" w:rsidRDefault="009361D4" w:rsidP="009C38C8">
            <w:pPr>
              <w:rPr>
                <w:rFonts w:cs="Times New Roman"/>
                <w:b/>
              </w:rPr>
            </w:pPr>
            <w:r w:rsidRPr="00A732EF">
              <w:rPr>
                <w:rFonts w:cs="Times New Roman"/>
                <w:b/>
              </w:rPr>
              <w:t>Return date of provisional marks &amp; written feedback:</w:t>
            </w:r>
          </w:p>
        </w:tc>
        <w:tc>
          <w:tcPr>
            <w:tcW w:w="1143" w:type="pct"/>
            <w:tcBorders>
              <w:top w:val="single" w:sz="4" w:space="0" w:color="auto"/>
              <w:left w:val="single" w:sz="4" w:space="0" w:color="auto"/>
              <w:bottom w:val="single" w:sz="4" w:space="0" w:color="auto"/>
              <w:right w:val="single" w:sz="4" w:space="0" w:color="auto"/>
            </w:tcBorders>
            <w:hideMark/>
          </w:tcPr>
          <w:p w14:paraId="56103769" w14:textId="77777777" w:rsidR="009361D4" w:rsidRPr="00A732EF" w:rsidRDefault="009361D4" w:rsidP="009C38C8">
            <w:pPr>
              <w:rPr>
                <w:rFonts w:cs="Times New Roman"/>
              </w:rPr>
            </w:pPr>
            <w:r w:rsidRPr="00A732EF">
              <w:rPr>
                <w:rFonts w:cs="Times New Roman"/>
              </w:rPr>
              <w:t>14</w:t>
            </w:r>
            <w:r w:rsidRPr="00A732EF">
              <w:rPr>
                <w:rFonts w:cs="Times New Roman"/>
                <w:vertAlign w:val="superscript"/>
              </w:rPr>
              <w:t>th</w:t>
            </w:r>
            <w:r w:rsidRPr="00A732EF">
              <w:rPr>
                <w:rFonts w:cs="Times New Roman"/>
              </w:rPr>
              <w:t xml:space="preserve"> August 2025</w:t>
            </w:r>
          </w:p>
        </w:tc>
      </w:tr>
    </w:tbl>
    <w:p w14:paraId="49F72377" w14:textId="77777777" w:rsidR="009361D4" w:rsidRPr="00223EB1" w:rsidRDefault="009361D4" w:rsidP="009361D4"/>
    <w:p w14:paraId="048CC0A8" w14:textId="77777777" w:rsidR="009361D4" w:rsidRDefault="009361D4" w:rsidP="009361D4"/>
    <w:p w14:paraId="559BB36C" w14:textId="77777777" w:rsidR="009361D4" w:rsidRDefault="009361D4" w:rsidP="009361D4"/>
    <w:p w14:paraId="3CD71A33" w14:textId="26C7AF45" w:rsidR="004678EA" w:rsidRDefault="004678EA">
      <w:pPr>
        <w:spacing w:line="259" w:lineRule="auto"/>
        <w:jc w:val="left"/>
        <w:rPr>
          <w:b/>
          <w:bCs/>
          <w:sz w:val="32"/>
          <w:szCs w:val="28"/>
        </w:rPr>
      </w:pPr>
      <w:r>
        <w:rPr>
          <w:b/>
          <w:bCs/>
          <w:sz w:val="32"/>
          <w:szCs w:val="28"/>
        </w:rPr>
        <w:br w:type="page"/>
      </w:r>
    </w:p>
    <w:sdt>
      <w:sdtPr>
        <w:rPr>
          <w:rFonts w:ascii="Times New Roman" w:eastAsiaTheme="minorHAnsi" w:hAnsi="Times New Roman" w:cstheme="minorBidi"/>
          <w:color w:val="auto"/>
          <w:sz w:val="24"/>
          <w:szCs w:val="22"/>
          <w:lang w:val="en-GB"/>
        </w:rPr>
        <w:id w:val="969857401"/>
        <w:docPartObj>
          <w:docPartGallery w:val="Table of Contents"/>
          <w:docPartUnique/>
        </w:docPartObj>
      </w:sdtPr>
      <w:sdtEndPr>
        <w:rPr>
          <w:b/>
          <w:bCs/>
          <w:noProof/>
        </w:rPr>
      </w:sdtEndPr>
      <w:sdtContent>
        <w:p w14:paraId="7F57FFFF" w14:textId="34402C10" w:rsidR="00E6019A" w:rsidRPr="00E6019A" w:rsidRDefault="00E6019A" w:rsidP="00E6019A">
          <w:pPr>
            <w:pStyle w:val="TOCHeading"/>
            <w:spacing w:line="360" w:lineRule="auto"/>
            <w:jc w:val="center"/>
            <w:rPr>
              <w:b/>
              <w:bCs/>
            </w:rPr>
          </w:pPr>
          <w:r w:rsidRPr="00E6019A">
            <w:rPr>
              <w:b/>
              <w:bCs/>
            </w:rPr>
            <w:t>Contents</w:t>
          </w:r>
        </w:p>
        <w:p w14:paraId="648AECDE" w14:textId="19605B3A" w:rsidR="00214E1D" w:rsidRDefault="00E6019A">
          <w:pPr>
            <w:pStyle w:val="TOC1"/>
            <w:tabs>
              <w:tab w:val="right" w:leader="dot" w:pos="9016"/>
            </w:tabs>
            <w:rPr>
              <w:rFonts w:asciiTheme="minorHAnsi" w:eastAsiaTheme="minorEastAsia" w:hAnsiTheme="minorHAnsi"/>
              <w:noProof/>
              <w:kern w:val="2"/>
              <w:szCs w:val="30"/>
              <w:lang w:val="en-IN" w:eastAsia="en-IN" w:bidi="bn-BD"/>
              <w14:ligatures w14:val="standardContextual"/>
            </w:rPr>
          </w:pPr>
          <w:r>
            <w:fldChar w:fldCharType="begin"/>
          </w:r>
          <w:r>
            <w:instrText xml:space="preserve"> TOC \o "1-3" \h \z \u </w:instrText>
          </w:r>
          <w:r>
            <w:fldChar w:fldCharType="separate"/>
          </w:r>
          <w:hyperlink w:anchor="_Toc203885430" w:history="1">
            <w:r w:rsidR="00214E1D" w:rsidRPr="00875480">
              <w:rPr>
                <w:rStyle w:val="Hyperlink"/>
                <w:noProof/>
              </w:rPr>
              <w:t>Part 01</w:t>
            </w:r>
            <w:r w:rsidR="00214E1D">
              <w:rPr>
                <w:noProof/>
                <w:webHidden/>
              </w:rPr>
              <w:tab/>
            </w:r>
            <w:r w:rsidR="00214E1D">
              <w:rPr>
                <w:noProof/>
                <w:webHidden/>
              </w:rPr>
              <w:fldChar w:fldCharType="begin"/>
            </w:r>
            <w:r w:rsidR="00214E1D">
              <w:rPr>
                <w:noProof/>
                <w:webHidden/>
              </w:rPr>
              <w:instrText xml:space="preserve"> PAGEREF _Toc203885430 \h </w:instrText>
            </w:r>
            <w:r w:rsidR="00214E1D">
              <w:rPr>
                <w:noProof/>
                <w:webHidden/>
              </w:rPr>
            </w:r>
            <w:r w:rsidR="00214E1D">
              <w:rPr>
                <w:noProof/>
                <w:webHidden/>
              </w:rPr>
              <w:fldChar w:fldCharType="separate"/>
            </w:r>
            <w:r w:rsidR="0061000F">
              <w:rPr>
                <w:noProof/>
                <w:webHidden/>
              </w:rPr>
              <w:t>3</w:t>
            </w:r>
            <w:r w:rsidR="00214E1D">
              <w:rPr>
                <w:noProof/>
                <w:webHidden/>
              </w:rPr>
              <w:fldChar w:fldCharType="end"/>
            </w:r>
          </w:hyperlink>
        </w:p>
        <w:p w14:paraId="40ADE461" w14:textId="0E9D7816" w:rsidR="00214E1D" w:rsidRDefault="00214E1D">
          <w:pPr>
            <w:pStyle w:val="TOC2"/>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431" w:history="1">
            <w:r w:rsidRPr="00875480">
              <w:rPr>
                <w:rStyle w:val="Hyperlink"/>
                <w:noProof/>
              </w:rPr>
              <w:t>Introduction</w:t>
            </w:r>
            <w:r>
              <w:rPr>
                <w:noProof/>
                <w:webHidden/>
              </w:rPr>
              <w:tab/>
            </w:r>
            <w:r>
              <w:rPr>
                <w:noProof/>
                <w:webHidden/>
              </w:rPr>
              <w:fldChar w:fldCharType="begin"/>
            </w:r>
            <w:r>
              <w:rPr>
                <w:noProof/>
                <w:webHidden/>
              </w:rPr>
              <w:instrText xml:space="preserve"> PAGEREF _Toc203885431 \h </w:instrText>
            </w:r>
            <w:r>
              <w:rPr>
                <w:noProof/>
                <w:webHidden/>
              </w:rPr>
            </w:r>
            <w:r>
              <w:rPr>
                <w:noProof/>
                <w:webHidden/>
              </w:rPr>
              <w:fldChar w:fldCharType="separate"/>
            </w:r>
            <w:r w:rsidR="0061000F">
              <w:rPr>
                <w:noProof/>
                <w:webHidden/>
              </w:rPr>
              <w:t>3</w:t>
            </w:r>
            <w:r>
              <w:rPr>
                <w:noProof/>
                <w:webHidden/>
              </w:rPr>
              <w:fldChar w:fldCharType="end"/>
            </w:r>
          </w:hyperlink>
        </w:p>
        <w:p w14:paraId="6A1F2E02" w14:textId="4E58A8D0" w:rsidR="00214E1D" w:rsidRDefault="00214E1D">
          <w:pPr>
            <w:pStyle w:val="TOC2"/>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432" w:history="1">
            <w:r w:rsidRPr="00875480">
              <w:rPr>
                <w:rStyle w:val="Hyperlink"/>
                <w:noProof/>
                <w:lang w:val="en-IN"/>
              </w:rPr>
              <w:t>Financial Data Extraction</w:t>
            </w:r>
            <w:r>
              <w:rPr>
                <w:noProof/>
                <w:webHidden/>
              </w:rPr>
              <w:tab/>
            </w:r>
            <w:r>
              <w:rPr>
                <w:noProof/>
                <w:webHidden/>
              </w:rPr>
              <w:fldChar w:fldCharType="begin"/>
            </w:r>
            <w:r>
              <w:rPr>
                <w:noProof/>
                <w:webHidden/>
              </w:rPr>
              <w:instrText xml:space="preserve"> PAGEREF _Toc203885432 \h </w:instrText>
            </w:r>
            <w:r>
              <w:rPr>
                <w:noProof/>
                <w:webHidden/>
              </w:rPr>
            </w:r>
            <w:r>
              <w:rPr>
                <w:noProof/>
                <w:webHidden/>
              </w:rPr>
              <w:fldChar w:fldCharType="separate"/>
            </w:r>
            <w:r w:rsidR="0061000F">
              <w:rPr>
                <w:noProof/>
                <w:webHidden/>
              </w:rPr>
              <w:t>4</w:t>
            </w:r>
            <w:r>
              <w:rPr>
                <w:noProof/>
                <w:webHidden/>
              </w:rPr>
              <w:fldChar w:fldCharType="end"/>
            </w:r>
          </w:hyperlink>
        </w:p>
        <w:p w14:paraId="4934FB96" w14:textId="58154066" w:rsidR="00214E1D" w:rsidRDefault="00214E1D">
          <w:pPr>
            <w:pStyle w:val="TOC2"/>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433" w:history="1">
            <w:r w:rsidRPr="00875480">
              <w:rPr>
                <w:rStyle w:val="Hyperlink"/>
                <w:noProof/>
              </w:rPr>
              <w:t>Financial Ratio Calculations</w:t>
            </w:r>
            <w:r>
              <w:rPr>
                <w:noProof/>
                <w:webHidden/>
              </w:rPr>
              <w:tab/>
            </w:r>
            <w:r>
              <w:rPr>
                <w:noProof/>
                <w:webHidden/>
              </w:rPr>
              <w:fldChar w:fldCharType="begin"/>
            </w:r>
            <w:r>
              <w:rPr>
                <w:noProof/>
                <w:webHidden/>
              </w:rPr>
              <w:instrText xml:space="preserve"> PAGEREF _Toc203885433 \h </w:instrText>
            </w:r>
            <w:r>
              <w:rPr>
                <w:noProof/>
                <w:webHidden/>
              </w:rPr>
            </w:r>
            <w:r>
              <w:rPr>
                <w:noProof/>
                <w:webHidden/>
              </w:rPr>
              <w:fldChar w:fldCharType="separate"/>
            </w:r>
            <w:r w:rsidR="0061000F">
              <w:rPr>
                <w:noProof/>
                <w:webHidden/>
              </w:rPr>
              <w:t>5</w:t>
            </w:r>
            <w:r>
              <w:rPr>
                <w:noProof/>
                <w:webHidden/>
              </w:rPr>
              <w:fldChar w:fldCharType="end"/>
            </w:r>
          </w:hyperlink>
        </w:p>
        <w:p w14:paraId="10A482CF" w14:textId="68AC92F0" w:rsidR="00214E1D" w:rsidRDefault="00214E1D">
          <w:pPr>
            <w:pStyle w:val="TOC2"/>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434" w:history="1">
            <w:r w:rsidRPr="00875480">
              <w:rPr>
                <w:rStyle w:val="Hyperlink"/>
                <w:noProof/>
              </w:rPr>
              <w:t>Limitations of the Ratio Analysis</w:t>
            </w:r>
            <w:r>
              <w:rPr>
                <w:noProof/>
                <w:webHidden/>
              </w:rPr>
              <w:tab/>
            </w:r>
            <w:r>
              <w:rPr>
                <w:noProof/>
                <w:webHidden/>
              </w:rPr>
              <w:fldChar w:fldCharType="begin"/>
            </w:r>
            <w:r>
              <w:rPr>
                <w:noProof/>
                <w:webHidden/>
              </w:rPr>
              <w:instrText xml:space="preserve"> PAGEREF _Toc203885434 \h </w:instrText>
            </w:r>
            <w:r>
              <w:rPr>
                <w:noProof/>
                <w:webHidden/>
              </w:rPr>
            </w:r>
            <w:r>
              <w:rPr>
                <w:noProof/>
                <w:webHidden/>
              </w:rPr>
              <w:fldChar w:fldCharType="separate"/>
            </w:r>
            <w:r w:rsidR="0061000F">
              <w:rPr>
                <w:noProof/>
                <w:webHidden/>
              </w:rPr>
              <w:t>18</w:t>
            </w:r>
            <w:r>
              <w:rPr>
                <w:noProof/>
                <w:webHidden/>
              </w:rPr>
              <w:fldChar w:fldCharType="end"/>
            </w:r>
          </w:hyperlink>
        </w:p>
        <w:p w14:paraId="123B0676" w14:textId="1EA2BFA9" w:rsidR="00214E1D" w:rsidRDefault="00214E1D">
          <w:pPr>
            <w:pStyle w:val="TOC2"/>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435" w:history="1">
            <w:r w:rsidRPr="00875480">
              <w:rPr>
                <w:rStyle w:val="Hyperlink"/>
                <w:noProof/>
              </w:rPr>
              <w:t>Recommendations to Improve Whitbread PLC’s Financial Management</w:t>
            </w:r>
            <w:r>
              <w:rPr>
                <w:noProof/>
                <w:webHidden/>
              </w:rPr>
              <w:tab/>
            </w:r>
            <w:r>
              <w:rPr>
                <w:noProof/>
                <w:webHidden/>
              </w:rPr>
              <w:fldChar w:fldCharType="begin"/>
            </w:r>
            <w:r>
              <w:rPr>
                <w:noProof/>
                <w:webHidden/>
              </w:rPr>
              <w:instrText xml:space="preserve"> PAGEREF _Toc203885435 \h </w:instrText>
            </w:r>
            <w:r>
              <w:rPr>
                <w:noProof/>
                <w:webHidden/>
              </w:rPr>
            </w:r>
            <w:r>
              <w:rPr>
                <w:noProof/>
                <w:webHidden/>
              </w:rPr>
              <w:fldChar w:fldCharType="separate"/>
            </w:r>
            <w:r w:rsidR="0061000F">
              <w:rPr>
                <w:noProof/>
                <w:webHidden/>
              </w:rPr>
              <w:t>18</w:t>
            </w:r>
            <w:r>
              <w:rPr>
                <w:noProof/>
                <w:webHidden/>
              </w:rPr>
              <w:fldChar w:fldCharType="end"/>
            </w:r>
          </w:hyperlink>
        </w:p>
        <w:p w14:paraId="7D738660" w14:textId="03F1EB1E" w:rsidR="00214E1D" w:rsidRDefault="00214E1D">
          <w:pPr>
            <w:pStyle w:val="TOC1"/>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436" w:history="1">
            <w:r w:rsidRPr="00875480">
              <w:rPr>
                <w:rStyle w:val="Hyperlink"/>
                <w:noProof/>
              </w:rPr>
              <w:t>Part 02</w:t>
            </w:r>
            <w:r>
              <w:rPr>
                <w:noProof/>
                <w:webHidden/>
              </w:rPr>
              <w:tab/>
            </w:r>
            <w:r>
              <w:rPr>
                <w:noProof/>
                <w:webHidden/>
              </w:rPr>
              <w:fldChar w:fldCharType="begin"/>
            </w:r>
            <w:r>
              <w:rPr>
                <w:noProof/>
                <w:webHidden/>
              </w:rPr>
              <w:instrText xml:space="preserve"> PAGEREF _Toc203885436 \h </w:instrText>
            </w:r>
            <w:r>
              <w:rPr>
                <w:noProof/>
                <w:webHidden/>
              </w:rPr>
            </w:r>
            <w:r>
              <w:rPr>
                <w:noProof/>
                <w:webHidden/>
              </w:rPr>
              <w:fldChar w:fldCharType="separate"/>
            </w:r>
            <w:r w:rsidR="0061000F">
              <w:rPr>
                <w:noProof/>
                <w:webHidden/>
              </w:rPr>
              <w:t>21</w:t>
            </w:r>
            <w:r>
              <w:rPr>
                <w:noProof/>
                <w:webHidden/>
              </w:rPr>
              <w:fldChar w:fldCharType="end"/>
            </w:r>
          </w:hyperlink>
        </w:p>
        <w:p w14:paraId="53F702D7" w14:textId="6CFDC53D" w:rsidR="00214E1D" w:rsidRDefault="00214E1D">
          <w:pPr>
            <w:pStyle w:val="TOC2"/>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437" w:history="1">
            <w:r w:rsidRPr="00875480">
              <w:rPr>
                <w:rStyle w:val="Hyperlink"/>
                <w:noProof/>
              </w:rPr>
              <w:t>Business Report: Investment Appraisal for Jordons Plc</w:t>
            </w:r>
            <w:r>
              <w:rPr>
                <w:noProof/>
                <w:webHidden/>
              </w:rPr>
              <w:tab/>
            </w:r>
            <w:r>
              <w:rPr>
                <w:noProof/>
                <w:webHidden/>
              </w:rPr>
              <w:fldChar w:fldCharType="begin"/>
            </w:r>
            <w:r>
              <w:rPr>
                <w:noProof/>
                <w:webHidden/>
              </w:rPr>
              <w:instrText xml:space="preserve"> PAGEREF _Toc203885437 \h </w:instrText>
            </w:r>
            <w:r>
              <w:rPr>
                <w:noProof/>
                <w:webHidden/>
              </w:rPr>
            </w:r>
            <w:r>
              <w:rPr>
                <w:noProof/>
                <w:webHidden/>
              </w:rPr>
              <w:fldChar w:fldCharType="separate"/>
            </w:r>
            <w:r w:rsidR="0061000F">
              <w:rPr>
                <w:noProof/>
                <w:webHidden/>
              </w:rPr>
              <w:t>21</w:t>
            </w:r>
            <w:r>
              <w:rPr>
                <w:noProof/>
                <w:webHidden/>
              </w:rPr>
              <w:fldChar w:fldCharType="end"/>
            </w:r>
          </w:hyperlink>
        </w:p>
        <w:p w14:paraId="4634D696" w14:textId="7F120F4F" w:rsidR="00214E1D" w:rsidRDefault="00214E1D">
          <w:pPr>
            <w:pStyle w:val="TOC2"/>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438" w:history="1">
            <w:r w:rsidRPr="00875480">
              <w:rPr>
                <w:rStyle w:val="Hyperlink"/>
                <w:noProof/>
              </w:rPr>
              <w:t>Financing the Proposed Investment Programme</w:t>
            </w:r>
            <w:r>
              <w:rPr>
                <w:noProof/>
                <w:webHidden/>
              </w:rPr>
              <w:tab/>
            </w:r>
            <w:r>
              <w:rPr>
                <w:noProof/>
                <w:webHidden/>
              </w:rPr>
              <w:fldChar w:fldCharType="begin"/>
            </w:r>
            <w:r>
              <w:rPr>
                <w:noProof/>
                <w:webHidden/>
              </w:rPr>
              <w:instrText xml:space="preserve"> PAGEREF _Toc203885438 \h </w:instrText>
            </w:r>
            <w:r>
              <w:rPr>
                <w:noProof/>
                <w:webHidden/>
              </w:rPr>
            </w:r>
            <w:r>
              <w:rPr>
                <w:noProof/>
                <w:webHidden/>
              </w:rPr>
              <w:fldChar w:fldCharType="separate"/>
            </w:r>
            <w:r w:rsidR="0061000F">
              <w:rPr>
                <w:noProof/>
                <w:webHidden/>
              </w:rPr>
              <w:t>31</w:t>
            </w:r>
            <w:r>
              <w:rPr>
                <w:noProof/>
                <w:webHidden/>
              </w:rPr>
              <w:fldChar w:fldCharType="end"/>
            </w:r>
          </w:hyperlink>
        </w:p>
        <w:p w14:paraId="74190238" w14:textId="0F5734D2" w:rsidR="00214E1D" w:rsidRDefault="00214E1D">
          <w:pPr>
            <w:pStyle w:val="TOC1"/>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439" w:history="1">
            <w:r w:rsidRPr="00875480">
              <w:rPr>
                <w:rStyle w:val="Hyperlink"/>
                <w:noProof/>
              </w:rPr>
              <w:t>References</w:t>
            </w:r>
            <w:r>
              <w:rPr>
                <w:noProof/>
                <w:webHidden/>
              </w:rPr>
              <w:tab/>
            </w:r>
            <w:r>
              <w:rPr>
                <w:noProof/>
                <w:webHidden/>
              </w:rPr>
              <w:fldChar w:fldCharType="begin"/>
            </w:r>
            <w:r>
              <w:rPr>
                <w:noProof/>
                <w:webHidden/>
              </w:rPr>
              <w:instrText xml:space="preserve"> PAGEREF _Toc203885439 \h </w:instrText>
            </w:r>
            <w:r>
              <w:rPr>
                <w:noProof/>
                <w:webHidden/>
              </w:rPr>
            </w:r>
            <w:r>
              <w:rPr>
                <w:noProof/>
                <w:webHidden/>
              </w:rPr>
              <w:fldChar w:fldCharType="separate"/>
            </w:r>
            <w:r w:rsidR="0061000F">
              <w:rPr>
                <w:noProof/>
                <w:webHidden/>
              </w:rPr>
              <w:t>35</w:t>
            </w:r>
            <w:r>
              <w:rPr>
                <w:noProof/>
                <w:webHidden/>
              </w:rPr>
              <w:fldChar w:fldCharType="end"/>
            </w:r>
          </w:hyperlink>
        </w:p>
        <w:p w14:paraId="7E77145A" w14:textId="3E1939DC" w:rsidR="00214E1D" w:rsidRDefault="00214E1D">
          <w:pPr>
            <w:pStyle w:val="TOC1"/>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440" w:history="1">
            <w:r w:rsidRPr="00875480">
              <w:rPr>
                <w:rStyle w:val="Hyperlink"/>
                <w:noProof/>
              </w:rPr>
              <w:t>Appendix</w:t>
            </w:r>
            <w:r>
              <w:rPr>
                <w:noProof/>
                <w:webHidden/>
              </w:rPr>
              <w:tab/>
            </w:r>
            <w:r>
              <w:rPr>
                <w:noProof/>
                <w:webHidden/>
              </w:rPr>
              <w:fldChar w:fldCharType="begin"/>
            </w:r>
            <w:r>
              <w:rPr>
                <w:noProof/>
                <w:webHidden/>
              </w:rPr>
              <w:instrText xml:space="preserve"> PAGEREF _Toc203885440 \h </w:instrText>
            </w:r>
            <w:r>
              <w:rPr>
                <w:noProof/>
                <w:webHidden/>
              </w:rPr>
            </w:r>
            <w:r>
              <w:rPr>
                <w:noProof/>
                <w:webHidden/>
              </w:rPr>
              <w:fldChar w:fldCharType="separate"/>
            </w:r>
            <w:r w:rsidR="0061000F">
              <w:rPr>
                <w:noProof/>
                <w:webHidden/>
              </w:rPr>
              <w:t>36</w:t>
            </w:r>
            <w:r>
              <w:rPr>
                <w:noProof/>
                <w:webHidden/>
              </w:rPr>
              <w:fldChar w:fldCharType="end"/>
            </w:r>
          </w:hyperlink>
        </w:p>
        <w:p w14:paraId="3954C432" w14:textId="3C46A791" w:rsidR="00214E1D" w:rsidRDefault="00214E1D">
          <w:pPr>
            <w:pStyle w:val="TOC2"/>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441" w:history="1">
            <w:r w:rsidRPr="00875480">
              <w:rPr>
                <w:rStyle w:val="Hyperlink"/>
                <w:noProof/>
              </w:rPr>
              <w:t>Financial Statement</w:t>
            </w:r>
            <w:r>
              <w:rPr>
                <w:noProof/>
                <w:webHidden/>
              </w:rPr>
              <w:tab/>
            </w:r>
            <w:r>
              <w:rPr>
                <w:noProof/>
                <w:webHidden/>
              </w:rPr>
              <w:fldChar w:fldCharType="begin"/>
            </w:r>
            <w:r>
              <w:rPr>
                <w:noProof/>
                <w:webHidden/>
              </w:rPr>
              <w:instrText xml:space="preserve"> PAGEREF _Toc203885441 \h </w:instrText>
            </w:r>
            <w:r>
              <w:rPr>
                <w:noProof/>
                <w:webHidden/>
              </w:rPr>
            </w:r>
            <w:r>
              <w:rPr>
                <w:noProof/>
                <w:webHidden/>
              </w:rPr>
              <w:fldChar w:fldCharType="separate"/>
            </w:r>
            <w:r w:rsidR="0061000F">
              <w:rPr>
                <w:noProof/>
                <w:webHidden/>
              </w:rPr>
              <w:t>36</w:t>
            </w:r>
            <w:r>
              <w:rPr>
                <w:noProof/>
                <w:webHidden/>
              </w:rPr>
              <w:fldChar w:fldCharType="end"/>
            </w:r>
          </w:hyperlink>
        </w:p>
        <w:p w14:paraId="03F7839D" w14:textId="0E3842BB" w:rsidR="00214E1D" w:rsidRDefault="00214E1D">
          <w:pPr>
            <w:pStyle w:val="TOC2"/>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442" w:history="1">
            <w:r w:rsidRPr="00875480">
              <w:rPr>
                <w:rStyle w:val="Hyperlink"/>
                <w:noProof/>
              </w:rPr>
              <w:t>Ratio Calculations</w:t>
            </w:r>
            <w:r>
              <w:rPr>
                <w:noProof/>
                <w:webHidden/>
              </w:rPr>
              <w:tab/>
            </w:r>
            <w:r>
              <w:rPr>
                <w:noProof/>
                <w:webHidden/>
              </w:rPr>
              <w:fldChar w:fldCharType="begin"/>
            </w:r>
            <w:r>
              <w:rPr>
                <w:noProof/>
                <w:webHidden/>
              </w:rPr>
              <w:instrText xml:space="preserve"> PAGEREF _Toc203885442 \h </w:instrText>
            </w:r>
            <w:r>
              <w:rPr>
                <w:noProof/>
                <w:webHidden/>
              </w:rPr>
            </w:r>
            <w:r>
              <w:rPr>
                <w:noProof/>
                <w:webHidden/>
              </w:rPr>
              <w:fldChar w:fldCharType="separate"/>
            </w:r>
            <w:r w:rsidR="0061000F">
              <w:rPr>
                <w:noProof/>
                <w:webHidden/>
              </w:rPr>
              <w:t>38</w:t>
            </w:r>
            <w:r>
              <w:rPr>
                <w:noProof/>
                <w:webHidden/>
              </w:rPr>
              <w:fldChar w:fldCharType="end"/>
            </w:r>
          </w:hyperlink>
        </w:p>
        <w:p w14:paraId="6E04E2C1" w14:textId="4980E285" w:rsidR="00E6019A" w:rsidRDefault="00E6019A" w:rsidP="00E6019A">
          <w:r>
            <w:rPr>
              <w:b/>
              <w:bCs/>
              <w:noProof/>
            </w:rPr>
            <w:fldChar w:fldCharType="end"/>
          </w:r>
        </w:p>
      </w:sdtContent>
    </w:sdt>
    <w:p w14:paraId="29E2EB4F" w14:textId="77777777" w:rsidR="003362DB" w:rsidRDefault="003362DB">
      <w:pPr>
        <w:spacing w:line="259" w:lineRule="auto"/>
        <w:jc w:val="left"/>
        <w:rPr>
          <w:b/>
          <w:bCs/>
          <w:sz w:val="32"/>
          <w:szCs w:val="28"/>
        </w:rPr>
      </w:pPr>
      <w:r>
        <w:rPr>
          <w:b/>
          <w:bCs/>
          <w:sz w:val="32"/>
          <w:szCs w:val="28"/>
        </w:rPr>
        <w:br w:type="page"/>
      </w:r>
    </w:p>
    <w:p w14:paraId="5FB2BB17" w14:textId="77777777" w:rsidR="003362DB" w:rsidRDefault="003362DB" w:rsidP="003362DB">
      <w:pPr>
        <w:pStyle w:val="Heading1"/>
      </w:pPr>
      <w:bookmarkStart w:id="1" w:name="_Toc203885430"/>
      <w:r>
        <w:lastRenderedPageBreak/>
        <w:t>Part 01</w:t>
      </w:r>
      <w:bookmarkEnd w:id="1"/>
    </w:p>
    <w:p w14:paraId="49756480" w14:textId="77777777" w:rsidR="003362DB" w:rsidRDefault="003362DB" w:rsidP="003362DB">
      <w:pPr>
        <w:pStyle w:val="Heading2"/>
      </w:pPr>
      <w:bookmarkStart w:id="2" w:name="_Toc203885431"/>
      <w:r>
        <w:t>Introduction</w:t>
      </w:r>
      <w:bookmarkEnd w:id="2"/>
      <w:r>
        <w:t xml:space="preserve"> </w:t>
      </w:r>
    </w:p>
    <w:p w14:paraId="36ABA9C5" w14:textId="5F92A28D" w:rsidR="003362DB" w:rsidRDefault="003362DB" w:rsidP="003362DB">
      <w:pPr>
        <w:rPr>
          <w:lang w:val="en-IN"/>
        </w:rPr>
      </w:pPr>
      <w:r w:rsidRPr="003362DB">
        <w:rPr>
          <w:lang w:val="en-IN"/>
        </w:rPr>
        <w:t>This report provides a comprehensive analysis of Whitbread PLC's financial performance for the years 2023 and 2024. The company is listed on the London Stock Exchange and is part of the FTSE 100 Index. The financial data for this analysis has been extracted from Whitbread's annual reports for 2023 and 2024</w:t>
      </w:r>
      <w:r w:rsidR="00A001A5" w:rsidRPr="00A001A5">
        <w:t xml:space="preserve"> </w:t>
      </w:r>
      <w:r w:rsidR="00A001A5" w:rsidRPr="00A001A5">
        <w:rPr>
          <w:lang w:val="en-IN"/>
        </w:rPr>
        <w:t>(Whitbread Annual Report, 2025)</w:t>
      </w:r>
      <w:r w:rsidRPr="003362DB">
        <w:rPr>
          <w:lang w:val="en-IN"/>
        </w:rPr>
        <w:t xml:space="preserve">. The analysis focuses on several key financial ratios that help assess the company’s overall financial health. First, profitability ratios will be examined to understand how well the company generates profit from its revenue and assets. Key ratios such as gross profit margin, operating profit margin, and return on equity will be discussed. These ratios help assess the efficiency and effectiveness of the company in creating value for its shareholders. Next, the liquidity ratios will be </w:t>
      </w:r>
      <w:r w:rsidR="00CD1339" w:rsidRPr="003362DB">
        <w:rPr>
          <w:lang w:val="en-IN"/>
        </w:rPr>
        <w:t>analysed</w:t>
      </w:r>
      <w:r w:rsidRPr="003362DB">
        <w:rPr>
          <w:lang w:val="en-IN"/>
        </w:rPr>
        <w:t>, including the current ratio and quick ratio, to evaluate Whitbread’s ability to meet its short-term obligations. These ratios are important for understanding whether the company has enough liquid assets to cover its current liabilities. The gearing ratios will also be assessed to understand the company’s use of debt in its capital structure. Ratios including debt to equity and equity ratio will be reviewed to evaluate the level of financial risk the company faces due to its reliance on debt financing. Also, efficiency ratios will be analysed to understand how well the company uses its assets to generate revenue. Ratios like asset turnover, inventory turnover, and receivables turnover will highlight the company’s operational efficiency. Finally, investor ratios, including earnings per share (EPS), will be discussed to understand the returns the company is providing to its shareholders. Based on these analyses, recommendations will be made to improve the company’s financial management and ensure long-term success.</w:t>
      </w:r>
    </w:p>
    <w:p w14:paraId="0FC4B0A6" w14:textId="77777777" w:rsidR="003362DB" w:rsidRDefault="003362DB">
      <w:pPr>
        <w:spacing w:line="259" w:lineRule="auto"/>
        <w:jc w:val="left"/>
        <w:rPr>
          <w:lang w:val="en-IN"/>
        </w:rPr>
      </w:pPr>
      <w:r>
        <w:rPr>
          <w:lang w:val="en-IN"/>
        </w:rPr>
        <w:br w:type="page"/>
      </w:r>
    </w:p>
    <w:p w14:paraId="417BB6D1" w14:textId="4B2A9FF5" w:rsidR="003362DB" w:rsidRDefault="003362DB" w:rsidP="003362DB">
      <w:pPr>
        <w:pStyle w:val="Heading2"/>
        <w:rPr>
          <w:lang w:val="en-IN"/>
        </w:rPr>
      </w:pPr>
      <w:bookmarkStart w:id="3" w:name="_Toc203885432"/>
      <w:r w:rsidRPr="003362DB">
        <w:rPr>
          <w:lang w:val="en-IN"/>
        </w:rPr>
        <w:lastRenderedPageBreak/>
        <w:t>Financial Data Extraction</w:t>
      </w:r>
      <w:bookmarkEnd w:id="3"/>
    </w:p>
    <w:p w14:paraId="2938F08F" w14:textId="4C64B081" w:rsidR="003362DB" w:rsidRDefault="003362DB" w:rsidP="003362DB">
      <w:r w:rsidRPr="003362DB">
        <w:t>The following data has been extracted from the Consolidated Income Statement and Consolidated Balance Sheet:</w:t>
      </w:r>
    </w:p>
    <w:p w14:paraId="3A18ACDC" w14:textId="77777777" w:rsidR="0021196D" w:rsidRDefault="0021196D" w:rsidP="0021196D">
      <w:pPr>
        <w:keepNext/>
        <w:jc w:val="center"/>
      </w:pPr>
      <w:r w:rsidRPr="0021196D">
        <w:rPr>
          <w:noProof/>
        </w:rPr>
        <w:drawing>
          <wp:inline distT="0" distB="0" distL="0" distR="0" wp14:anchorId="09A9F868" wp14:editId="2C9BC72C">
            <wp:extent cx="5591465" cy="7368540"/>
            <wp:effectExtent l="0" t="0" r="0" b="0"/>
            <wp:docPr id="59107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92379" cy="7369745"/>
                    </a:xfrm>
                    <a:prstGeom prst="rect">
                      <a:avLst/>
                    </a:prstGeom>
                    <a:noFill/>
                    <a:ln>
                      <a:noFill/>
                    </a:ln>
                  </pic:spPr>
                </pic:pic>
              </a:graphicData>
            </a:graphic>
          </wp:inline>
        </w:drawing>
      </w:r>
    </w:p>
    <w:p w14:paraId="0C555DB3" w14:textId="1AEFF860" w:rsidR="003362DB" w:rsidRPr="003362DB" w:rsidRDefault="0021196D" w:rsidP="0021196D">
      <w:pPr>
        <w:pStyle w:val="Caption"/>
        <w:rPr>
          <w:lang w:val="en-IN"/>
        </w:rPr>
      </w:pPr>
      <w:r>
        <w:t xml:space="preserve">Figure </w:t>
      </w:r>
      <w:r>
        <w:fldChar w:fldCharType="begin"/>
      </w:r>
      <w:r>
        <w:instrText xml:space="preserve"> SEQ Figure \* ARABIC </w:instrText>
      </w:r>
      <w:r>
        <w:fldChar w:fldCharType="separate"/>
      </w:r>
      <w:r>
        <w:rPr>
          <w:noProof/>
        </w:rPr>
        <w:t>1</w:t>
      </w:r>
      <w:r>
        <w:fldChar w:fldCharType="end"/>
      </w:r>
      <w:r>
        <w:rPr>
          <w:lang w:val="en-US"/>
        </w:rPr>
        <w:t>: Extracted Financial Data Source:</w:t>
      </w:r>
      <w:r w:rsidRPr="0021196D">
        <w:rPr>
          <w:lang w:val="en-IN"/>
        </w:rPr>
        <w:t xml:space="preserve"> </w:t>
      </w:r>
      <w:r>
        <w:rPr>
          <w:lang w:val="en-IN"/>
        </w:rPr>
        <w:t>(</w:t>
      </w:r>
      <w:r w:rsidRPr="00CD1339">
        <w:rPr>
          <w:lang w:val="en-IN"/>
        </w:rPr>
        <w:t>Whitbread, 2024</w:t>
      </w:r>
      <w:r>
        <w:rPr>
          <w:lang w:val="en-IN"/>
        </w:rPr>
        <w:t>)</w:t>
      </w:r>
    </w:p>
    <w:p w14:paraId="7460FBC0" w14:textId="629C273E" w:rsidR="003362DB" w:rsidRDefault="003362DB" w:rsidP="003362DB">
      <w:r w:rsidRPr="003362DB">
        <w:rPr>
          <w:lang w:val="en-IN"/>
        </w:rPr>
        <w:lastRenderedPageBreak/>
        <w:t>The financial data from Whitbread PLC's annual report for 2023 and 2024 shows positive growth in several key areas. Revenue increased from £2,625.2 million in 2023 to £2,959.9 million in 2024, indicating a rise in sales</w:t>
      </w:r>
      <w:r w:rsidR="00CD1339">
        <w:rPr>
          <w:lang w:val="en-IN"/>
        </w:rPr>
        <w:t xml:space="preserve"> </w:t>
      </w:r>
      <w:r w:rsidR="00CD1339" w:rsidRPr="00CD1339">
        <w:rPr>
          <w:lang w:val="en-IN"/>
        </w:rPr>
        <w:t>(Whitbread, 2024)</w:t>
      </w:r>
      <w:r w:rsidRPr="003362DB">
        <w:rPr>
          <w:lang w:val="en-IN"/>
        </w:rPr>
        <w:t>. Operating profit also grew from £413.4 million to £561.1 million, suggesting better efficiency. Net profit for the year rose from £278.8 million to £312.1 million, showing stronger overall profitability. Basic earnings per share increased from 138.4 pence to 161 pence, benefiting shareholders. However, total current assets decreased from £1,328.3 million to £837.2 million, mainly due to a drop in cash and cash equivalents. Total current liabilities rose slightly, from £845.6 million to £870.4 million, while total equity fell from £4,111.4 million to £3,519.4 million. The share price also increased from £3,075.0 to £3,303.0, reflecting positive market sentiment</w:t>
      </w:r>
      <w:r w:rsidR="00A001A5" w:rsidRPr="00A001A5">
        <w:t xml:space="preserve"> </w:t>
      </w:r>
      <w:r w:rsidR="00A001A5" w:rsidRPr="00A001A5">
        <w:rPr>
          <w:lang w:val="en-IN"/>
        </w:rPr>
        <w:t>(Investing.com, 2025)</w:t>
      </w:r>
      <w:r w:rsidRPr="003362DB">
        <w:rPr>
          <w:lang w:val="en-IN"/>
        </w:rPr>
        <w:t xml:space="preserve">. </w:t>
      </w:r>
      <w:r w:rsidRPr="003362DB">
        <w:t>Gross Profit is not explicitly stated in the income statement. For the purpose of this analysis, Operating Profit before tax will be used as a proxy for evaluating operational efficiency and profitability before interest and tax</w:t>
      </w:r>
      <w:r w:rsidR="00CD1339">
        <w:t xml:space="preserve"> </w:t>
      </w:r>
      <w:r w:rsidR="00CD1339" w:rsidRPr="00CD1339">
        <w:t>(Whitbread, 2024)</w:t>
      </w:r>
      <w:r w:rsidRPr="003362DB">
        <w:t>. If a more detailed breakdown had been available, a true Gross Profit calculation would have been preferred. These data will be used to calculate the financial ratios</w:t>
      </w:r>
      <w:r>
        <w:t>, which will offer</w:t>
      </w:r>
      <w:r w:rsidRPr="003362DB">
        <w:t xml:space="preserve"> insights into the company's performance across various financial metrics.</w:t>
      </w:r>
    </w:p>
    <w:p w14:paraId="3115273D" w14:textId="27CEF26F" w:rsidR="003362DB" w:rsidRDefault="003362DB" w:rsidP="003362DB">
      <w:pPr>
        <w:pStyle w:val="Heading2"/>
      </w:pPr>
      <w:bookmarkStart w:id="4" w:name="_Toc203885433"/>
      <w:r w:rsidRPr="003362DB">
        <w:t>Financial Ratio Calculations</w:t>
      </w:r>
      <w:bookmarkEnd w:id="4"/>
    </w:p>
    <w:p w14:paraId="12E2DF50" w14:textId="7B2CCCC6" w:rsidR="003362DB" w:rsidRDefault="003362DB" w:rsidP="003362DB">
      <w:r w:rsidRPr="003362DB">
        <w:t>Below are the calculated financial ratios for the past two years.</w:t>
      </w:r>
    </w:p>
    <w:p w14:paraId="4FF28D81" w14:textId="5B2B0E91" w:rsidR="003362DB" w:rsidRDefault="003362DB" w:rsidP="003362DB">
      <w:pPr>
        <w:pStyle w:val="ListParagraph"/>
        <w:numPr>
          <w:ilvl w:val="0"/>
          <w:numId w:val="1"/>
        </w:numPr>
      </w:pPr>
      <w:r w:rsidRPr="003362DB">
        <w:rPr>
          <w:b/>
          <w:bCs/>
        </w:rPr>
        <w:t>Profitability Ratio:</w:t>
      </w:r>
      <w:r w:rsidRPr="003362DB">
        <w:t xml:space="preserve"> Profitability ratios measure a company's ability to generate profits relative to its revenue, assets, or equity</w:t>
      </w:r>
      <w:r w:rsidR="00CD1339" w:rsidRPr="00CD1339">
        <w:t xml:space="preserve"> (Hayes, 2025)</w:t>
      </w:r>
      <w:r w:rsidRPr="003362DB">
        <w:t>. These ratios indicate how efficiently the company is operating and how well it can turn sales into profits, showing the overall financial health of the business.</w:t>
      </w:r>
    </w:p>
    <w:p w14:paraId="2C989953" w14:textId="5BEA1CE9" w:rsidR="003362DB" w:rsidRDefault="007D43F0" w:rsidP="007D43F0">
      <w:pPr>
        <w:jc w:val="center"/>
        <w:rPr>
          <w:b/>
          <w:bCs/>
        </w:rPr>
      </w:pPr>
      <w:r w:rsidRPr="007D43F0">
        <w:rPr>
          <w:b/>
          <w:bCs/>
        </w:rPr>
        <w:t>Operating Profit Margin</w:t>
      </w:r>
    </w:p>
    <w:p w14:paraId="7807D6F9" w14:textId="4A4A0A9B" w:rsidR="007D43F0" w:rsidRDefault="007D43F0" w:rsidP="007D43F0">
      <w:r w:rsidRPr="007D43F0">
        <w:t>This ratio shows the percentage of revenue that remains after paying for variable costs like wages and raw materials but before paying interest or tax</w:t>
      </w:r>
      <w:r w:rsidR="00CD1339" w:rsidRPr="00CD1339">
        <w:t xml:space="preserve"> (Hayes, 2025)</w:t>
      </w:r>
      <w:r w:rsidRPr="007D43F0">
        <w:t>. It indicates how efficiently the company is operating.</w:t>
      </w:r>
    </w:p>
    <w:p w14:paraId="7B5A5FC5" w14:textId="08B98432" w:rsidR="007D43F0" w:rsidRPr="007D43F0" w:rsidRDefault="007D43F0" w:rsidP="007D43F0">
      <w:pPr>
        <w:rPr>
          <w:rFonts w:eastAsiaTheme="minorEastAsia"/>
        </w:rPr>
      </w:pPr>
      <w:r>
        <w:t xml:space="preserve">Operating Profit Margin = </w:t>
      </w:r>
      <m:oMath>
        <m:f>
          <m:fPr>
            <m:ctrlPr>
              <w:rPr>
                <w:rFonts w:ascii="Cambria Math" w:hAnsi="Cambria Math"/>
                <w:i/>
              </w:rPr>
            </m:ctrlPr>
          </m:fPr>
          <m:num>
            <m:r>
              <w:rPr>
                <w:rFonts w:ascii="Cambria Math" w:hAnsi="Cambria Math"/>
              </w:rPr>
              <m:t>Operating Profit before tax</m:t>
            </m:r>
          </m:num>
          <m:den>
            <m:r>
              <w:rPr>
                <w:rFonts w:ascii="Cambria Math" w:hAnsi="Cambria Math"/>
              </w:rPr>
              <m:t>Revenue</m:t>
            </m:r>
          </m:den>
        </m:f>
        <m:r>
          <w:rPr>
            <w:rFonts w:ascii="Cambria Math" w:hAnsi="Cambria Math"/>
          </w:rPr>
          <m:t>×100</m:t>
        </m:r>
      </m:oMath>
    </w:p>
    <w:p w14:paraId="18E19AD0" w14:textId="77777777" w:rsidR="007D43F0" w:rsidRDefault="007D43F0" w:rsidP="007D43F0">
      <w:pPr>
        <w:rPr>
          <w:rFonts w:eastAsiaTheme="minorEastAsia"/>
        </w:rPr>
      </w:pPr>
      <w:r>
        <w:rPr>
          <w:rFonts w:eastAsiaTheme="minorEastAsia"/>
        </w:rPr>
        <w:t xml:space="preserve"> </w:t>
      </w:r>
    </w:p>
    <w:p w14:paraId="640D41FE" w14:textId="77777777" w:rsidR="00185C77" w:rsidRPr="007D43F0" w:rsidRDefault="00185C77" w:rsidP="007D43F0">
      <w:pPr>
        <w:rPr>
          <w:rFonts w:eastAsiaTheme="minorEastAsia"/>
        </w:rPr>
      </w:pPr>
    </w:p>
    <w:tbl>
      <w:tblPr>
        <w:tblStyle w:val="GridTable4-Accent4"/>
        <w:tblW w:w="9483" w:type="dxa"/>
        <w:tblLook w:val="04A0" w:firstRow="1" w:lastRow="0" w:firstColumn="1" w:lastColumn="0" w:noHBand="0" w:noVBand="1"/>
      </w:tblPr>
      <w:tblGrid>
        <w:gridCol w:w="3023"/>
        <w:gridCol w:w="2926"/>
        <w:gridCol w:w="3534"/>
      </w:tblGrid>
      <w:tr w:rsidR="007D43F0" w14:paraId="12239E0C" w14:textId="77777777" w:rsidTr="00A001A5">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3FBC0F23" w14:textId="5F68D473" w:rsidR="007D43F0" w:rsidRDefault="007D43F0" w:rsidP="007D43F0">
            <w:pPr>
              <w:rPr>
                <w:rFonts w:eastAsiaTheme="minorEastAsia"/>
              </w:rPr>
            </w:pPr>
            <w:r>
              <w:rPr>
                <w:rFonts w:eastAsiaTheme="minorEastAsia"/>
              </w:rPr>
              <w:lastRenderedPageBreak/>
              <w:t xml:space="preserve">Particulars </w:t>
            </w:r>
          </w:p>
        </w:tc>
        <w:tc>
          <w:tcPr>
            <w:tcW w:w="2926" w:type="dxa"/>
          </w:tcPr>
          <w:p w14:paraId="2C9D9A2B" w14:textId="5C7B4E8B" w:rsidR="007D43F0" w:rsidRDefault="007D43F0" w:rsidP="007D43F0">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2024</w:t>
            </w:r>
          </w:p>
        </w:tc>
        <w:tc>
          <w:tcPr>
            <w:tcW w:w="3534" w:type="dxa"/>
          </w:tcPr>
          <w:p w14:paraId="35301F0A" w14:textId="6592E6AD" w:rsidR="007D43F0" w:rsidRDefault="007D43F0" w:rsidP="007D43F0">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2023</w:t>
            </w:r>
          </w:p>
        </w:tc>
      </w:tr>
      <w:tr w:rsidR="007D43F0" w14:paraId="723326F8" w14:textId="77777777" w:rsidTr="00A001A5">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7B72FCE9" w14:textId="5E803DCC" w:rsidR="007D43F0" w:rsidRDefault="007D43F0" w:rsidP="007D43F0">
            <w:pPr>
              <w:rPr>
                <w:rFonts w:eastAsiaTheme="minorEastAsia"/>
              </w:rPr>
            </w:pPr>
            <w:r>
              <w:t>Operating Profit Margin</w:t>
            </w:r>
          </w:p>
        </w:tc>
        <w:tc>
          <w:tcPr>
            <w:tcW w:w="2926" w:type="dxa"/>
          </w:tcPr>
          <w:p w14:paraId="055D6C96" w14:textId="0C3E6905" w:rsidR="007D43F0" w:rsidRDefault="00000000" w:rsidP="007D43F0">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561.1</m:t>
                  </m:r>
                </m:num>
                <m:den>
                  <m:r>
                    <w:rPr>
                      <w:rFonts w:ascii="Cambria Math" w:hAnsi="Cambria Math"/>
                    </w:rPr>
                    <m:t>2959.9</m:t>
                  </m:r>
                </m:den>
              </m:f>
              <m:r>
                <w:rPr>
                  <w:rFonts w:ascii="Cambria Math" w:hAnsi="Cambria Math"/>
                </w:rPr>
                <m:t>×100</m:t>
              </m:r>
            </m:oMath>
            <w:r w:rsidR="007D43F0">
              <w:rPr>
                <w:rFonts w:eastAsiaTheme="minorEastAsia"/>
              </w:rPr>
              <w:t xml:space="preserve"> = 18.96%</w:t>
            </w:r>
          </w:p>
        </w:tc>
        <w:tc>
          <w:tcPr>
            <w:tcW w:w="3534" w:type="dxa"/>
          </w:tcPr>
          <w:p w14:paraId="6C1B665E" w14:textId="0F20C330" w:rsidR="007D43F0" w:rsidRDefault="00000000" w:rsidP="007D43F0">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413.4</m:t>
                  </m:r>
                </m:num>
                <m:den>
                  <m:r>
                    <w:rPr>
                      <w:rFonts w:ascii="Cambria Math" w:hAnsi="Cambria Math"/>
                    </w:rPr>
                    <m:t>2625.2</m:t>
                  </m:r>
                </m:den>
              </m:f>
              <m:r>
                <w:rPr>
                  <w:rFonts w:ascii="Cambria Math" w:hAnsi="Cambria Math"/>
                </w:rPr>
                <m:t>×100</m:t>
              </m:r>
            </m:oMath>
            <w:r w:rsidR="007D43F0">
              <w:rPr>
                <w:rFonts w:eastAsiaTheme="minorEastAsia"/>
              </w:rPr>
              <w:t xml:space="preserve"> = 15.75%</w:t>
            </w:r>
          </w:p>
        </w:tc>
      </w:tr>
    </w:tbl>
    <w:p w14:paraId="6165A7CE" w14:textId="7419B27F" w:rsidR="007D43F0" w:rsidRPr="007D43F0" w:rsidRDefault="007D43F0" w:rsidP="007D43F0">
      <w:pPr>
        <w:rPr>
          <w:rFonts w:eastAsiaTheme="minorEastAsia"/>
        </w:rPr>
      </w:pPr>
    </w:p>
    <w:p w14:paraId="0DF052CD" w14:textId="67C623C8" w:rsidR="003362DB" w:rsidRDefault="007D43F0" w:rsidP="003362DB">
      <w:pPr>
        <w:rPr>
          <w:lang w:val="en-IN"/>
        </w:rPr>
      </w:pPr>
      <w:r w:rsidRPr="007D43F0">
        <w:rPr>
          <w:b/>
          <w:bCs/>
          <w:lang w:val="en-IN"/>
        </w:rPr>
        <w:t xml:space="preserve">Interpretation: </w:t>
      </w:r>
      <w:r w:rsidRPr="007D43F0">
        <w:rPr>
          <w:lang w:val="en-IN"/>
        </w:rPr>
        <w:t>The Operating Profit Margin improved from 15.75% in 2023 to 18.96% in 2024, showing that the company became more efficient in generating profit from its core operations. This is a positive sign of enhanced operational management.</w:t>
      </w:r>
    </w:p>
    <w:p w14:paraId="0C4B39F2" w14:textId="77777777" w:rsidR="00D579B9" w:rsidRPr="00D579B9" w:rsidRDefault="00D579B9" w:rsidP="00D579B9">
      <w:pPr>
        <w:rPr>
          <w:lang w:val="en-IN"/>
        </w:rPr>
      </w:pPr>
      <w:r w:rsidRPr="00D579B9">
        <w:rPr>
          <w:b/>
          <w:bCs/>
          <w:lang w:val="en-IN"/>
        </w:rPr>
        <w:t>Operating Profit Margin Increase:</w:t>
      </w:r>
    </w:p>
    <w:p w14:paraId="3CFAC292" w14:textId="77777777" w:rsidR="00D579B9" w:rsidRPr="00D579B9" w:rsidRDefault="00D579B9" w:rsidP="00D579B9">
      <w:pPr>
        <w:numPr>
          <w:ilvl w:val="0"/>
          <w:numId w:val="14"/>
        </w:numPr>
        <w:rPr>
          <w:lang w:val="en-IN"/>
        </w:rPr>
      </w:pPr>
      <w:r w:rsidRPr="00D579B9">
        <w:rPr>
          <w:b/>
          <w:bCs/>
          <w:lang w:val="en-IN"/>
        </w:rPr>
        <w:t>Improved Operational Efficiency</w:t>
      </w:r>
      <w:r w:rsidRPr="00D579B9">
        <w:rPr>
          <w:lang w:val="en-IN"/>
        </w:rPr>
        <w:t>: Whitbread could have improved its cost management or increased its revenue, leading to higher profits from core operations.</w:t>
      </w:r>
    </w:p>
    <w:p w14:paraId="1C87680E" w14:textId="20BA420B" w:rsidR="00D579B9" w:rsidRPr="00D579B9" w:rsidRDefault="00D579B9" w:rsidP="003362DB">
      <w:pPr>
        <w:numPr>
          <w:ilvl w:val="0"/>
          <w:numId w:val="14"/>
        </w:numPr>
        <w:rPr>
          <w:lang w:val="en-IN"/>
        </w:rPr>
      </w:pPr>
      <w:r w:rsidRPr="00D579B9">
        <w:rPr>
          <w:b/>
          <w:bCs/>
          <w:lang w:val="en-IN"/>
        </w:rPr>
        <w:t>Cost Reduction</w:t>
      </w:r>
      <w:r w:rsidRPr="00D579B9">
        <w:rPr>
          <w:lang w:val="en-IN"/>
        </w:rPr>
        <w:t>: The company may have successfully reduced operating expenses, such as production or administrative costs, which boosted the operating profit margin.</w:t>
      </w:r>
    </w:p>
    <w:p w14:paraId="397582EE" w14:textId="07AD8AA7" w:rsidR="007D43F0" w:rsidRDefault="007D43F0" w:rsidP="00D579B9">
      <w:pPr>
        <w:spacing w:line="259" w:lineRule="auto"/>
        <w:jc w:val="center"/>
        <w:rPr>
          <w:b/>
          <w:bCs/>
        </w:rPr>
      </w:pPr>
      <w:r w:rsidRPr="007D43F0">
        <w:rPr>
          <w:b/>
          <w:bCs/>
        </w:rPr>
        <w:t>Net Profit Margin</w:t>
      </w:r>
    </w:p>
    <w:p w14:paraId="1D90F335" w14:textId="627417DA" w:rsidR="00CD1339" w:rsidRDefault="00CD1339" w:rsidP="00CD1339">
      <w:r w:rsidRPr="00CD1339">
        <w:t>Net Profit Margin is a financial ratio used to calculate the percentage of profit a company produces from its total revenue (</w:t>
      </w:r>
      <w:proofErr w:type="spellStart"/>
      <w:r w:rsidRPr="00CD1339">
        <w:t>Palasciano</w:t>
      </w:r>
      <w:proofErr w:type="spellEnd"/>
      <w:r w:rsidRPr="00CD1339">
        <w:t>, 2025).</w:t>
      </w:r>
    </w:p>
    <w:p w14:paraId="2A364116" w14:textId="213B0984" w:rsidR="007D43F0" w:rsidRPr="007D43F0" w:rsidRDefault="007D43F0" w:rsidP="007D43F0">
      <w:pPr>
        <w:rPr>
          <w:rFonts w:eastAsiaTheme="minorEastAsia"/>
        </w:rPr>
      </w:pPr>
      <w:r>
        <w:t xml:space="preserve">Net Profit Margin = </w:t>
      </w:r>
      <m:oMath>
        <m:f>
          <m:fPr>
            <m:ctrlPr>
              <w:rPr>
                <w:rFonts w:ascii="Cambria Math" w:hAnsi="Cambria Math"/>
                <w:i/>
              </w:rPr>
            </m:ctrlPr>
          </m:fPr>
          <m:num>
            <m:r>
              <w:rPr>
                <w:rFonts w:ascii="Cambria Math" w:hAnsi="Cambria Math"/>
              </w:rPr>
              <m:t xml:space="preserve">Net Profit </m:t>
            </m:r>
          </m:num>
          <m:den>
            <m:r>
              <w:rPr>
                <w:rFonts w:ascii="Cambria Math" w:hAnsi="Cambria Math"/>
              </w:rPr>
              <m:t>Revenue</m:t>
            </m:r>
          </m:den>
        </m:f>
        <m:r>
          <w:rPr>
            <w:rFonts w:ascii="Cambria Math" w:hAnsi="Cambria Math"/>
          </w:rPr>
          <m:t>×100</m:t>
        </m:r>
      </m:oMath>
      <w:r>
        <w:rPr>
          <w:rFonts w:eastAsiaTheme="minorEastAsia"/>
        </w:rPr>
        <w:t xml:space="preserve"> </w:t>
      </w:r>
    </w:p>
    <w:tbl>
      <w:tblPr>
        <w:tblStyle w:val="GridTable4-Accent4"/>
        <w:tblW w:w="9483" w:type="dxa"/>
        <w:tblLook w:val="04A0" w:firstRow="1" w:lastRow="0" w:firstColumn="1" w:lastColumn="0" w:noHBand="0" w:noVBand="1"/>
      </w:tblPr>
      <w:tblGrid>
        <w:gridCol w:w="3023"/>
        <w:gridCol w:w="2926"/>
        <w:gridCol w:w="3534"/>
      </w:tblGrid>
      <w:tr w:rsidR="007D43F0" w14:paraId="52F2D533" w14:textId="77777777" w:rsidTr="00A001A5">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17455F68" w14:textId="77777777" w:rsidR="007D43F0" w:rsidRDefault="007D43F0" w:rsidP="00B27B95">
            <w:pPr>
              <w:rPr>
                <w:rFonts w:eastAsiaTheme="minorEastAsia"/>
              </w:rPr>
            </w:pPr>
            <w:r>
              <w:rPr>
                <w:rFonts w:eastAsiaTheme="minorEastAsia"/>
              </w:rPr>
              <w:t xml:space="preserve">Particulars </w:t>
            </w:r>
          </w:p>
        </w:tc>
        <w:tc>
          <w:tcPr>
            <w:tcW w:w="2926" w:type="dxa"/>
          </w:tcPr>
          <w:p w14:paraId="5B69D83F" w14:textId="77777777" w:rsidR="007D43F0" w:rsidRDefault="007D43F0"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2024</w:t>
            </w:r>
          </w:p>
        </w:tc>
        <w:tc>
          <w:tcPr>
            <w:tcW w:w="3534" w:type="dxa"/>
          </w:tcPr>
          <w:p w14:paraId="0699BCF6" w14:textId="77777777" w:rsidR="007D43F0" w:rsidRDefault="007D43F0"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2023</w:t>
            </w:r>
          </w:p>
        </w:tc>
      </w:tr>
      <w:tr w:rsidR="007D43F0" w14:paraId="325FB368" w14:textId="77777777" w:rsidTr="00A001A5">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48E9E955" w14:textId="0FE512AD" w:rsidR="007D43F0" w:rsidRDefault="007D43F0" w:rsidP="00B27B95">
            <w:pPr>
              <w:rPr>
                <w:rFonts w:eastAsiaTheme="minorEastAsia"/>
              </w:rPr>
            </w:pPr>
            <w:r>
              <w:t>Net Profit Margin</w:t>
            </w:r>
          </w:p>
        </w:tc>
        <w:tc>
          <w:tcPr>
            <w:tcW w:w="2926" w:type="dxa"/>
          </w:tcPr>
          <w:p w14:paraId="50A9399F" w14:textId="791337D6" w:rsidR="007D43F0"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312.1</m:t>
                  </m:r>
                </m:num>
                <m:den>
                  <m:r>
                    <w:rPr>
                      <w:rFonts w:ascii="Cambria Math" w:hAnsi="Cambria Math"/>
                    </w:rPr>
                    <m:t>2959.9</m:t>
                  </m:r>
                </m:den>
              </m:f>
              <m:r>
                <w:rPr>
                  <w:rFonts w:ascii="Cambria Math" w:hAnsi="Cambria Math"/>
                </w:rPr>
                <m:t>×100</m:t>
              </m:r>
            </m:oMath>
            <w:r w:rsidR="007D43F0">
              <w:rPr>
                <w:rFonts w:eastAsiaTheme="minorEastAsia"/>
              </w:rPr>
              <w:t xml:space="preserve"> = 1</w:t>
            </w:r>
            <w:r w:rsidR="008360DE">
              <w:rPr>
                <w:rFonts w:eastAsiaTheme="minorEastAsia"/>
              </w:rPr>
              <w:t>0.54</w:t>
            </w:r>
            <w:r w:rsidR="007D43F0">
              <w:rPr>
                <w:rFonts w:eastAsiaTheme="minorEastAsia"/>
              </w:rPr>
              <w:t>%</w:t>
            </w:r>
          </w:p>
        </w:tc>
        <w:tc>
          <w:tcPr>
            <w:tcW w:w="3534" w:type="dxa"/>
          </w:tcPr>
          <w:p w14:paraId="07145724" w14:textId="1A41175F" w:rsidR="007D43F0"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278.8</m:t>
                  </m:r>
                </m:num>
                <m:den>
                  <m:r>
                    <w:rPr>
                      <w:rFonts w:ascii="Cambria Math" w:hAnsi="Cambria Math"/>
                    </w:rPr>
                    <m:t>2625.2</m:t>
                  </m:r>
                </m:den>
              </m:f>
              <m:r>
                <w:rPr>
                  <w:rFonts w:ascii="Cambria Math" w:hAnsi="Cambria Math"/>
                </w:rPr>
                <m:t>×100</m:t>
              </m:r>
            </m:oMath>
            <w:r w:rsidR="007D43F0">
              <w:rPr>
                <w:rFonts w:eastAsiaTheme="minorEastAsia"/>
              </w:rPr>
              <w:t xml:space="preserve"> = 1</w:t>
            </w:r>
            <w:r w:rsidR="008360DE">
              <w:rPr>
                <w:rFonts w:eastAsiaTheme="minorEastAsia"/>
              </w:rPr>
              <w:t>0.62</w:t>
            </w:r>
            <w:r w:rsidR="007D43F0">
              <w:rPr>
                <w:rFonts w:eastAsiaTheme="minorEastAsia"/>
              </w:rPr>
              <w:t>%</w:t>
            </w:r>
          </w:p>
        </w:tc>
      </w:tr>
    </w:tbl>
    <w:p w14:paraId="21D47606" w14:textId="77777777" w:rsidR="007D43F0" w:rsidRDefault="007D43F0" w:rsidP="007D43F0">
      <w:pPr>
        <w:jc w:val="center"/>
        <w:rPr>
          <w:b/>
          <w:bCs/>
          <w:lang w:val="en-IN"/>
        </w:rPr>
      </w:pPr>
    </w:p>
    <w:p w14:paraId="07C0CC9A" w14:textId="72C12605" w:rsidR="00DF7E4D" w:rsidRDefault="00DF7E4D" w:rsidP="00DF7E4D">
      <w:r w:rsidRPr="00DF7E4D">
        <w:rPr>
          <w:b/>
          <w:bCs/>
          <w:lang w:val="en-IN"/>
        </w:rPr>
        <w:t xml:space="preserve">Interpretation: </w:t>
      </w:r>
      <w:r w:rsidRPr="00DF7E4D">
        <w:t>The Net Profit Margin decreased slightly from 10.62% in 2023 to 10.54% in 2024. Although the decrease is minimal, it indicates a slight decline in the company's ability to convert revenue into profit after accounting for all expenses, including taxes and interest.</w:t>
      </w:r>
    </w:p>
    <w:p w14:paraId="74791CF0" w14:textId="77777777" w:rsidR="00D579B9" w:rsidRPr="00D579B9" w:rsidRDefault="00D579B9" w:rsidP="00D579B9">
      <w:pPr>
        <w:rPr>
          <w:b/>
          <w:bCs/>
          <w:lang w:val="en-IN"/>
        </w:rPr>
      </w:pPr>
      <w:r w:rsidRPr="00D579B9">
        <w:rPr>
          <w:b/>
          <w:bCs/>
          <w:lang w:val="en-IN"/>
        </w:rPr>
        <w:t>Net Profit Margin Increase:</w:t>
      </w:r>
    </w:p>
    <w:p w14:paraId="65580EC8" w14:textId="77777777" w:rsidR="00D579B9" w:rsidRPr="00D579B9" w:rsidRDefault="00D579B9" w:rsidP="00D579B9">
      <w:pPr>
        <w:numPr>
          <w:ilvl w:val="0"/>
          <w:numId w:val="16"/>
        </w:numPr>
        <w:rPr>
          <w:b/>
          <w:bCs/>
          <w:lang w:val="en-IN"/>
        </w:rPr>
      </w:pPr>
      <w:r w:rsidRPr="00D579B9">
        <w:rPr>
          <w:b/>
          <w:bCs/>
          <w:lang w:val="en-IN"/>
        </w:rPr>
        <w:t xml:space="preserve">Improved Cost Control: </w:t>
      </w:r>
      <w:r w:rsidRPr="00D579B9">
        <w:rPr>
          <w:lang w:val="en-IN"/>
        </w:rPr>
        <w:t>The Net Profit Margin could have increased due to a reduction in operating or non-operating costs, improving profitability.</w:t>
      </w:r>
    </w:p>
    <w:p w14:paraId="2E4CA031" w14:textId="4CB09523" w:rsidR="00D579B9" w:rsidRPr="00D579B9" w:rsidRDefault="00D579B9" w:rsidP="00DF7E4D">
      <w:pPr>
        <w:numPr>
          <w:ilvl w:val="0"/>
          <w:numId w:val="16"/>
        </w:numPr>
        <w:rPr>
          <w:b/>
          <w:bCs/>
          <w:lang w:val="en-IN"/>
        </w:rPr>
      </w:pPr>
      <w:r w:rsidRPr="00D579B9">
        <w:rPr>
          <w:b/>
          <w:bCs/>
          <w:lang w:val="en-IN"/>
        </w:rPr>
        <w:lastRenderedPageBreak/>
        <w:t xml:space="preserve">Revenue Growth: </w:t>
      </w:r>
      <w:r w:rsidRPr="00D579B9">
        <w:rPr>
          <w:lang w:val="en-IN"/>
        </w:rPr>
        <w:t>An increase in net profit could be driven by higher sales, which would boost the margin.</w:t>
      </w:r>
    </w:p>
    <w:p w14:paraId="0689AFCD" w14:textId="79A01244" w:rsidR="00DF7E4D" w:rsidRDefault="00DF7E4D" w:rsidP="007D43F0">
      <w:pPr>
        <w:jc w:val="center"/>
        <w:rPr>
          <w:b/>
          <w:bCs/>
          <w:lang w:val="en-IN"/>
        </w:rPr>
      </w:pPr>
      <w:r w:rsidRPr="00DF7E4D">
        <w:rPr>
          <w:b/>
          <w:bCs/>
          <w:lang w:val="en-IN"/>
        </w:rPr>
        <w:t>Return on Asset (ROA)</w:t>
      </w:r>
    </w:p>
    <w:p w14:paraId="61832CBC" w14:textId="77777777" w:rsidR="005A7C8F" w:rsidRDefault="005A7C8F" w:rsidP="00DF7E4D">
      <w:r w:rsidRPr="005A7C8F">
        <w:t>This ratio indicates the effectiveness of asset utilization that results in profit in the company. When ROA is larger, it indicates that the device is efficient in using its assets (Maverick, 2021).</w:t>
      </w:r>
    </w:p>
    <w:p w14:paraId="2FE5287E" w14:textId="39D2A7FB" w:rsidR="00DF7E4D" w:rsidRDefault="00DF7E4D" w:rsidP="00DF7E4D">
      <w:r>
        <w:t xml:space="preserve">Return on Asset (ROA) </w:t>
      </w:r>
      <w:r w:rsidRPr="00DF7E4D">
        <w:t xml:space="preserve">= </w:t>
      </w:r>
      <m:oMath>
        <m:f>
          <m:fPr>
            <m:ctrlPr>
              <w:rPr>
                <w:rFonts w:ascii="Cambria Math" w:hAnsi="Cambria Math"/>
                <w:i/>
              </w:rPr>
            </m:ctrlPr>
          </m:fPr>
          <m:num>
            <m:r>
              <w:rPr>
                <w:rFonts w:ascii="Cambria Math" w:hAnsi="Cambria Math"/>
              </w:rPr>
              <m:t>Operating Profit Before Tax</m:t>
            </m:r>
          </m:num>
          <m:den>
            <m:r>
              <w:rPr>
                <w:rFonts w:ascii="Cambria Math" w:hAnsi="Cambria Math"/>
              </w:rPr>
              <m:t>Total Assets</m:t>
            </m:r>
          </m:den>
        </m:f>
        <m:r>
          <w:rPr>
            <w:rFonts w:ascii="Cambria Math" w:hAnsi="Cambria Math"/>
          </w:rPr>
          <m:t>×100</m:t>
        </m:r>
      </m:oMath>
      <w:r w:rsidRPr="00DF7E4D">
        <w:t xml:space="preserve"> </w:t>
      </w:r>
    </w:p>
    <w:tbl>
      <w:tblPr>
        <w:tblStyle w:val="GridTable4-Accent4"/>
        <w:tblW w:w="9483" w:type="dxa"/>
        <w:tblLook w:val="04A0" w:firstRow="1" w:lastRow="0" w:firstColumn="1" w:lastColumn="0" w:noHBand="0" w:noVBand="1"/>
      </w:tblPr>
      <w:tblGrid>
        <w:gridCol w:w="3023"/>
        <w:gridCol w:w="2926"/>
        <w:gridCol w:w="3534"/>
      </w:tblGrid>
      <w:tr w:rsidR="00DF7E4D" w14:paraId="6934F35C" w14:textId="77777777" w:rsidTr="00A001A5">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72064749" w14:textId="77777777" w:rsidR="00DF7E4D" w:rsidRDefault="00DF7E4D" w:rsidP="00B27B95">
            <w:pPr>
              <w:rPr>
                <w:rFonts w:eastAsiaTheme="minorEastAsia"/>
              </w:rPr>
            </w:pPr>
            <w:r>
              <w:rPr>
                <w:rFonts w:eastAsiaTheme="minorEastAsia"/>
              </w:rPr>
              <w:t xml:space="preserve">Particulars </w:t>
            </w:r>
          </w:p>
        </w:tc>
        <w:tc>
          <w:tcPr>
            <w:tcW w:w="2926" w:type="dxa"/>
          </w:tcPr>
          <w:p w14:paraId="75E9B127" w14:textId="77777777" w:rsidR="00DF7E4D" w:rsidRDefault="00DF7E4D"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2024</w:t>
            </w:r>
          </w:p>
        </w:tc>
        <w:tc>
          <w:tcPr>
            <w:tcW w:w="3534" w:type="dxa"/>
          </w:tcPr>
          <w:p w14:paraId="213E2C44" w14:textId="77777777" w:rsidR="00DF7E4D" w:rsidRDefault="00DF7E4D"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2023</w:t>
            </w:r>
          </w:p>
        </w:tc>
      </w:tr>
      <w:tr w:rsidR="00DF7E4D" w14:paraId="584934B7" w14:textId="77777777" w:rsidTr="00A001A5">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2F68F547" w14:textId="14A18E39" w:rsidR="00DF7E4D" w:rsidRDefault="00DF7E4D" w:rsidP="00B27B95">
            <w:pPr>
              <w:rPr>
                <w:rFonts w:eastAsiaTheme="minorEastAsia"/>
              </w:rPr>
            </w:pPr>
            <w:r>
              <w:t>Return on Asset (ROA)</w:t>
            </w:r>
          </w:p>
        </w:tc>
        <w:tc>
          <w:tcPr>
            <w:tcW w:w="2926" w:type="dxa"/>
          </w:tcPr>
          <w:p w14:paraId="68966B00" w14:textId="1FD85D61" w:rsidR="00DF7E4D"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561.1</m:t>
                  </m:r>
                </m:num>
                <m:den>
                  <m:r>
                    <w:rPr>
                      <w:rFonts w:ascii="Cambria Math" w:hAnsi="Cambria Math"/>
                    </w:rPr>
                    <m:t>9521.3</m:t>
                  </m:r>
                </m:den>
              </m:f>
              <m:r>
                <w:rPr>
                  <w:rFonts w:ascii="Cambria Math" w:hAnsi="Cambria Math"/>
                </w:rPr>
                <m:t>×100</m:t>
              </m:r>
            </m:oMath>
            <w:r w:rsidR="00DF7E4D">
              <w:rPr>
                <w:rFonts w:eastAsiaTheme="minorEastAsia"/>
              </w:rPr>
              <w:t xml:space="preserve"> = 5.89%</w:t>
            </w:r>
          </w:p>
        </w:tc>
        <w:tc>
          <w:tcPr>
            <w:tcW w:w="3534" w:type="dxa"/>
          </w:tcPr>
          <w:p w14:paraId="6D93C068" w14:textId="7D263E79" w:rsidR="00DF7E4D"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413.4</m:t>
                  </m:r>
                </m:num>
                <m:den>
                  <m:r>
                    <w:rPr>
                      <w:rFonts w:ascii="Cambria Math" w:hAnsi="Cambria Math"/>
                    </w:rPr>
                    <m:t>9942.8</m:t>
                  </m:r>
                </m:den>
              </m:f>
              <m:r>
                <w:rPr>
                  <w:rFonts w:ascii="Cambria Math" w:hAnsi="Cambria Math"/>
                </w:rPr>
                <m:t>×100</m:t>
              </m:r>
            </m:oMath>
            <w:r w:rsidR="00DF7E4D">
              <w:rPr>
                <w:rFonts w:eastAsiaTheme="minorEastAsia"/>
              </w:rPr>
              <w:t xml:space="preserve"> = 4.16%</w:t>
            </w:r>
          </w:p>
        </w:tc>
      </w:tr>
    </w:tbl>
    <w:p w14:paraId="7EE92A5A" w14:textId="77777777" w:rsidR="00DF7E4D" w:rsidRDefault="00DF7E4D" w:rsidP="00DF7E4D"/>
    <w:p w14:paraId="57040A27" w14:textId="78774848" w:rsidR="00DF7E4D" w:rsidRDefault="00DF7E4D" w:rsidP="00DF7E4D">
      <w:r w:rsidRPr="00DF7E4D">
        <w:rPr>
          <w:b/>
          <w:bCs/>
        </w:rPr>
        <w:t xml:space="preserve">Interpretation: </w:t>
      </w:r>
      <w:r w:rsidRPr="00DF7E4D">
        <w:t>The ROA increased from 4.16% in 2023 to 5.89% in 2024, meaning the company is utilizing its assets more effectively to generate profit. This improvement suggests better asset management and greater efficiency in turning assets into earnings.</w:t>
      </w:r>
    </w:p>
    <w:p w14:paraId="0AD71431" w14:textId="77777777" w:rsidR="00D579B9" w:rsidRPr="00D579B9" w:rsidRDefault="00D579B9" w:rsidP="00D579B9">
      <w:pPr>
        <w:rPr>
          <w:lang w:val="en-IN"/>
        </w:rPr>
      </w:pPr>
      <w:r w:rsidRPr="00D579B9">
        <w:rPr>
          <w:b/>
          <w:bCs/>
          <w:lang w:val="en-IN"/>
        </w:rPr>
        <w:t>Return on Asset (ROA) Increase:</w:t>
      </w:r>
    </w:p>
    <w:p w14:paraId="782E454F" w14:textId="4940697E" w:rsidR="00D579B9" w:rsidRPr="00D579B9" w:rsidRDefault="00D579B9" w:rsidP="00D579B9">
      <w:pPr>
        <w:numPr>
          <w:ilvl w:val="0"/>
          <w:numId w:val="17"/>
        </w:numPr>
        <w:rPr>
          <w:lang w:val="en-IN"/>
        </w:rPr>
      </w:pPr>
      <w:r w:rsidRPr="00D579B9">
        <w:rPr>
          <w:b/>
          <w:bCs/>
          <w:lang w:val="en-IN"/>
        </w:rPr>
        <w:t>Better Asset Utilization</w:t>
      </w:r>
      <w:r w:rsidRPr="00D579B9">
        <w:rPr>
          <w:lang w:val="en-IN"/>
        </w:rPr>
        <w:t xml:space="preserve">: </w:t>
      </w:r>
      <w:r w:rsidR="005A7C8F" w:rsidRPr="005A7C8F">
        <w:rPr>
          <w:lang w:val="en-IN"/>
        </w:rPr>
        <w:t>When ROA is higher there may be a sign that the assets are utilized more efficiently to generate profits (Hargrave, 2025). This might have been the resultant effect of improved management of the assets they have or rather the utilization of assets which yield higher returns.</w:t>
      </w:r>
    </w:p>
    <w:p w14:paraId="001557FC" w14:textId="3D7E65E0" w:rsidR="00D579B9" w:rsidRPr="00D579B9" w:rsidRDefault="00D579B9" w:rsidP="00DF7E4D">
      <w:pPr>
        <w:numPr>
          <w:ilvl w:val="0"/>
          <w:numId w:val="17"/>
        </w:numPr>
        <w:rPr>
          <w:lang w:val="en-IN"/>
        </w:rPr>
      </w:pPr>
      <w:r w:rsidRPr="00D579B9">
        <w:rPr>
          <w:b/>
          <w:bCs/>
          <w:lang w:val="en-IN"/>
        </w:rPr>
        <w:t>Higher Net Profit</w:t>
      </w:r>
      <w:r w:rsidRPr="00D579B9">
        <w:rPr>
          <w:lang w:val="en-IN"/>
        </w:rPr>
        <w:t xml:space="preserve">: </w:t>
      </w:r>
      <w:r w:rsidR="005A7C8F" w:rsidRPr="005A7C8F">
        <w:rPr>
          <w:lang w:val="en-IN"/>
        </w:rPr>
        <w:t>In the case where the net profit grew very well and the assets were maintained or at a slower growth rate, ROA would improve and demonstrate good profitability per asset.</w:t>
      </w:r>
    </w:p>
    <w:p w14:paraId="0EF1D936" w14:textId="5C85D4BE" w:rsidR="00DF7E4D" w:rsidRDefault="00DF7E4D" w:rsidP="00DF7E4D">
      <w:pPr>
        <w:jc w:val="center"/>
        <w:rPr>
          <w:b/>
          <w:bCs/>
        </w:rPr>
      </w:pPr>
      <w:r w:rsidRPr="00DF7E4D">
        <w:rPr>
          <w:b/>
          <w:bCs/>
        </w:rPr>
        <w:t>Return on Equity (ROE)</w:t>
      </w:r>
    </w:p>
    <w:p w14:paraId="3CC88D5E" w14:textId="18BFC8E2" w:rsidR="00DF7E4D" w:rsidRDefault="00DF7E4D" w:rsidP="00DF7E4D">
      <w:r w:rsidRPr="00DF7E4D">
        <w:t>This ratio measures the return generated on shareholders’ equity. It shows how well the company is using its investors' capital to generate profits</w:t>
      </w:r>
      <w:r w:rsidR="00CD1339" w:rsidRPr="00CD1339">
        <w:t xml:space="preserve"> (Maverick, 2021)</w:t>
      </w:r>
      <w:r w:rsidRPr="00DF7E4D">
        <w:t>.</w:t>
      </w:r>
    </w:p>
    <w:p w14:paraId="3E9CBCE4" w14:textId="1E76B704" w:rsidR="00DF7E4D" w:rsidRDefault="00DF7E4D" w:rsidP="00DF7E4D">
      <w:pPr>
        <w:rPr>
          <w:rFonts w:eastAsiaTheme="minorEastAsia"/>
        </w:rPr>
      </w:pPr>
      <w:r>
        <w:t xml:space="preserve">Return on Equity (ROE) </w:t>
      </w:r>
      <w:r w:rsidRPr="00DF7E4D">
        <w:t xml:space="preserve">= </w:t>
      </w:r>
      <m:oMath>
        <m:f>
          <m:fPr>
            <m:ctrlPr>
              <w:rPr>
                <w:rFonts w:ascii="Cambria Math" w:hAnsi="Cambria Math"/>
                <w:i/>
              </w:rPr>
            </m:ctrlPr>
          </m:fPr>
          <m:num>
            <m:r>
              <w:rPr>
                <w:rFonts w:ascii="Cambria Math" w:hAnsi="Cambria Math"/>
              </w:rPr>
              <m:t>Net Profit</m:t>
            </m:r>
          </m:num>
          <m:den>
            <m:r>
              <w:rPr>
                <w:rFonts w:ascii="Cambria Math" w:hAnsi="Cambria Math"/>
              </w:rPr>
              <m:t>Total Equity</m:t>
            </m:r>
          </m:den>
        </m:f>
        <m:r>
          <w:rPr>
            <w:rFonts w:ascii="Cambria Math" w:hAnsi="Cambria Math"/>
          </w:rPr>
          <m:t>×100</m:t>
        </m:r>
      </m:oMath>
    </w:p>
    <w:p w14:paraId="65012F0E" w14:textId="77777777" w:rsidR="00185C77" w:rsidRDefault="00185C77" w:rsidP="00DF7E4D">
      <w:pPr>
        <w:rPr>
          <w:rFonts w:eastAsiaTheme="minorEastAsia"/>
        </w:rPr>
      </w:pPr>
    </w:p>
    <w:p w14:paraId="67E5D2DA" w14:textId="77777777" w:rsidR="00185C77" w:rsidRPr="00DF7E4D" w:rsidRDefault="00185C77" w:rsidP="00DF7E4D"/>
    <w:tbl>
      <w:tblPr>
        <w:tblStyle w:val="GridTable4-Accent4"/>
        <w:tblW w:w="9483" w:type="dxa"/>
        <w:tblLook w:val="04A0" w:firstRow="1" w:lastRow="0" w:firstColumn="1" w:lastColumn="0" w:noHBand="0" w:noVBand="1"/>
      </w:tblPr>
      <w:tblGrid>
        <w:gridCol w:w="3023"/>
        <w:gridCol w:w="2926"/>
        <w:gridCol w:w="3534"/>
      </w:tblGrid>
      <w:tr w:rsidR="00477B5B" w14:paraId="7BB4C54C" w14:textId="77777777" w:rsidTr="00A001A5">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2AEA4EA5" w14:textId="77777777" w:rsidR="00477B5B" w:rsidRDefault="00477B5B" w:rsidP="00B27B95">
            <w:pPr>
              <w:rPr>
                <w:rFonts w:eastAsiaTheme="minorEastAsia"/>
              </w:rPr>
            </w:pPr>
            <w:r>
              <w:rPr>
                <w:rFonts w:eastAsiaTheme="minorEastAsia"/>
              </w:rPr>
              <w:lastRenderedPageBreak/>
              <w:t xml:space="preserve">Particulars </w:t>
            </w:r>
          </w:p>
        </w:tc>
        <w:tc>
          <w:tcPr>
            <w:tcW w:w="2926" w:type="dxa"/>
          </w:tcPr>
          <w:p w14:paraId="79D7D4F2" w14:textId="77777777" w:rsidR="00477B5B" w:rsidRDefault="00477B5B"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2024</w:t>
            </w:r>
          </w:p>
        </w:tc>
        <w:tc>
          <w:tcPr>
            <w:tcW w:w="3534" w:type="dxa"/>
          </w:tcPr>
          <w:p w14:paraId="68115347" w14:textId="77777777" w:rsidR="00477B5B" w:rsidRDefault="00477B5B"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2023</w:t>
            </w:r>
          </w:p>
        </w:tc>
      </w:tr>
      <w:tr w:rsidR="00477B5B" w14:paraId="08C7859F" w14:textId="77777777" w:rsidTr="00A001A5">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6101F423" w14:textId="2B680CB2" w:rsidR="00477B5B" w:rsidRDefault="00477B5B" w:rsidP="00B27B95">
            <w:pPr>
              <w:rPr>
                <w:rFonts w:eastAsiaTheme="minorEastAsia"/>
              </w:rPr>
            </w:pPr>
            <w:r>
              <w:t>Return on Equity (ROE)</w:t>
            </w:r>
          </w:p>
        </w:tc>
        <w:tc>
          <w:tcPr>
            <w:tcW w:w="2926" w:type="dxa"/>
          </w:tcPr>
          <w:p w14:paraId="22FFC28D" w14:textId="724EAD82" w:rsidR="00477B5B"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312.1</m:t>
                  </m:r>
                </m:num>
                <m:den>
                  <m:r>
                    <w:rPr>
                      <w:rFonts w:ascii="Cambria Math" w:hAnsi="Cambria Math"/>
                    </w:rPr>
                    <m:t>3519.4</m:t>
                  </m:r>
                </m:den>
              </m:f>
              <m:r>
                <w:rPr>
                  <w:rFonts w:ascii="Cambria Math" w:hAnsi="Cambria Math"/>
                </w:rPr>
                <m:t>×100</m:t>
              </m:r>
            </m:oMath>
            <w:r w:rsidR="00477B5B">
              <w:rPr>
                <w:rFonts w:eastAsiaTheme="minorEastAsia"/>
              </w:rPr>
              <w:t xml:space="preserve"> = 8.87%</w:t>
            </w:r>
          </w:p>
        </w:tc>
        <w:tc>
          <w:tcPr>
            <w:tcW w:w="3534" w:type="dxa"/>
          </w:tcPr>
          <w:p w14:paraId="48D75AE9" w14:textId="0572FA56" w:rsidR="00477B5B"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278.8</m:t>
                  </m:r>
                </m:num>
                <m:den>
                  <m:r>
                    <w:rPr>
                      <w:rFonts w:ascii="Cambria Math" w:hAnsi="Cambria Math"/>
                    </w:rPr>
                    <m:t>4111.4</m:t>
                  </m:r>
                </m:den>
              </m:f>
              <m:r>
                <w:rPr>
                  <w:rFonts w:ascii="Cambria Math" w:hAnsi="Cambria Math"/>
                </w:rPr>
                <m:t>×100</m:t>
              </m:r>
            </m:oMath>
            <w:r w:rsidR="00477B5B">
              <w:rPr>
                <w:rFonts w:eastAsiaTheme="minorEastAsia"/>
              </w:rPr>
              <w:t xml:space="preserve"> = 4.16%</w:t>
            </w:r>
          </w:p>
        </w:tc>
      </w:tr>
    </w:tbl>
    <w:p w14:paraId="7EB90516" w14:textId="77777777" w:rsidR="00DF7E4D" w:rsidRDefault="00DF7E4D" w:rsidP="00DF7E4D">
      <w:pPr>
        <w:rPr>
          <w:lang w:val="en-IN"/>
        </w:rPr>
      </w:pPr>
    </w:p>
    <w:p w14:paraId="7022C5EB" w14:textId="07A03239" w:rsidR="00477B5B" w:rsidRDefault="00477B5B" w:rsidP="00DF7E4D">
      <w:r w:rsidRPr="00477B5B">
        <w:rPr>
          <w:b/>
          <w:bCs/>
          <w:lang w:val="en-IN"/>
        </w:rPr>
        <w:t xml:space="preserve">Interpretation: </w:t>
      </w:r>
      <w:r w:rsidRPr="00477B5B">
        <w:t>The ROE rose from 6.78% in 2023 to 8.87% in 2024, indicating a higher return for shareholders. This suggests that the company is using its equity capital more effectively to generate profits, which is a positive outcome for investors.</w:t>
      </w:r>
    </w:p>
    <w:p w14:paraId="126EFCAA" w14:textId="77777777" w:rsidR="00D579B9" w:rsidRPr="00D579B9" w:rsidRDefault="00D579B9" w:rsidP="00D579B9">
      <w:pPr>
        <w:rPr>
          <w:lang w:val="en-IN"/>
        </w:rPr>
      </w:pPr>
      <w:r w:rsidRPr="00D579B9">
        <w:rPr>
          <w:b/>
          <w:bCs/>
          <w:lang w:val="en-IN"/>
        </w:rPr>
        <w:t>Return on Equity (ROE) Increase:</w:t>
      </w:r>
    </w:p>
    <w:p w14:paraId="46DFBD21" w14:textId="78FF1278" w:rsidR="00D579B9" w:rsidRPr="00D579B9" w:rsidRDefault="00D579B9" w:rsidP="00D579B9">
      <w:pPr>
        <w:numPr>
          <w:ilvl w:val="0"/>
          <w:numId w:val="15"/>
        </w:numPr>
        <w:rPr>
          <w:lang w:val="en-IN"/>
        </w:rPr>
      </w:pPr>
      <w:r w:rsidRPr="00D579B9">
        <w:rPr>
          <w:b/>
          <w:bCs/>
          <w:lang w:val="en-IN"/>
        </w:rPr>
        <w:t>Higher Net Profit</w:t>
      </w:r>
      <w:r w:rsidRPr="00D579B9">
        <w:rPr>
          <w:lang w:val="en-IN"/>
        </w:rPr>
        <w:t xml:space="preserve">: The increase in </w:t>
      </w:r>
      <w:r w:rsidRPr="00A001A5">
        <w:rPr>
          <w:lang w:val="en-IN"/>
        </w:rPr>
        <w:t>ROE</w:t>
      </w:r>
      <w:r w:rsidRPr="00D579B9">
        <w:rPr>
          <w:lang w:val="en-IN"/>
        </w:rPr>
        <w:t xml:space="preserve"> suggests that Whitbread earned more profit from its shareholders' equity, possibly due to higher revenues or better cost control</w:t>
      </w:r>
      <w:r w:rsidR="00A001A5" w:rsidRPr="00A001A5">
        <w:t xml:space="preserve"> </w:t>
      </w:r>
      <w:r w:rsidR="00A001A5" w:rsidRPr="00A001A5">
        <w:rPr>
          <w:lang w:val="en-IN"/>
        </w:rPr>
        <w:t>(CFI Team, 2024)</w:t>
      </w:r>
      <w:r w:rsidRPr="00D579B9">
        <w:rPr>
          <w:lang w:val="en-IN"/>
        </w:rPr>
        <w:t>.</w:t>
      </w:r>
    </w:p>
    <w:p w14:paraId="1D4C0B42" w14:textId="41814112" w:rsidR="00D579B9" w:rsidRPr="00D579B9" w:rsidRDefault="00D579B9" w:rsidP="00DF7E4D">
      <w:pPr>
        <w:numPr>
          <w:ilvl w:val="0"/>
          <w:numId w:val="15"/>
        </w:numPr>
        <w:rPr>
          <w:lang w:val="en-IN"/>
        </w:rPr>
      </w:pPr>
      <w:r w:rsidRPr="00D579B9">
        <w:rPr>
          <w:b/>
          <w:bCs/>
          <w:lang w:val="en-IN"/>
        </w:rPr>
        <w:t>Decreased Equity</w:t>
      </w:r>
      <w:r w:rsidRPr="00D579B9">
        <w:rPr>
          <w:lang w:val="en-IN"/>
        </w:rPr>
        <w:t xml:space="preserve">: </w:t>
      </w:r>
      <w:r w:rsidRPr="00A001A5">
        <w:rPr>
          <w:lang w:val="en-IN"/>
        </w:rPr>
        <w:t>If equity remained stable or decreased while profits grew, the ROE would increase, as the same amount of equity generates more return.</w:t>
      </w:r>
    </w:p>
    <w:p w14:paraId="67ADB5B7" w14:textId="3FAF80BA" w:rsidR="00477B5B" w:rsidRDefault="00477B5B" w:rsidP="00477B5B">
      <w:pPr>
        <w:jc w:val="center"/>
        <w:rPr>
          <w:b/>
          <w:bCs/>
        </w:rPr>
      </w:pPr>
      <w:r w:rsidRPr="00477B5B">
        <w:rPr>
          <w:b/>
          <w:bCs/>
        </w:rPr>
        <w:t>Return on Capital Employed (ROCE)</w:t>
      </w:r>
    </w:p>
    <w:p w14:paraId="3563C6F2" w14:textId="0CF88F0A" w:rsidR="00477B5B" w:rsidRDefault="00477B5B" w:rsidP="00477B5B">
      <w:r w:rsidRPr="00477B5B">
        <w:t>This ratio measures the profitability of the company relative to the capital employed in the business</w:t>
      </w:r>
      <w:r w:rsidR="00A001A5" w:rsidRPr="00A001A5">
        <w:t xml:space="preserve"> (</w:t>
      </w:r>
      <w:proofErr w:type="spellStart"/>
      <w:r w:rsidR="00A001A5" w:rsidRPr="00A001A5">
        <w:t>Mcclure</w:t>
      </w:r>
      <w:proofErr w:type="spellEnd"/>
      <w:r w:rsidR="00A001A5" w:rsidRPr="00A001A5">
        <w:t>, 2021)</w:t>
      </w:r>
      <w:r w:rsidRPr="00477B5B">
        <w:t>. It helps assess how efficiently the company is using its capital to generate profit.</w:t>
      </w:r>
    </w:p>
    <w:p w14:paraId="3435D23F" w14:textId="3C3F2B90" w:rsidR="00477B5B" w:rsidRDefault="00477B5B" w:rsidP="00477B5B">
      <w:pPr>
        <w:rPr>
          <w:rFonts w:eastAsiaTheme="minorEastAsia"/>
        </w:rPr>
      </w:pPr>
      <w:r w:rsidRPr="00477B5B">
        <w:rPr>
          <w:b/>
          <w:bCs/>
        </w:rPr>
        <w:t>Return on Capital Employed (ROCE)</w:t>
      </w:r>
      <w:r>
        <w:t xml:space="preserve"> </w:t>
      </w:r>
      <w:r w:rsidRPr="00DF7E4D">
        <w:t xml:space="preserve">= </w:t>
      </w:r>
      <m:oMath>
        <m:f>
          <m:fPr>
            <m:ctrlPr>
              <w:rPr>
                <w:rFonts w:ascii="Cambria Math" w:hAnsi="Cambria Math"/>
                <w:i/>
              </w:rPr>
            </m:ctrlPr>
          </m:fPr>
          <m:num>
            <m:r>
              <w:rPr>
                <w:rFonts w:ascii="Cambria Math" w:hAnsi="Cambria Math"/>
              </w:rPr>
              <m:t>Operating Profit before tax</m:t>
            </m:r>
          </m:num>
          <m:den>
            <m:r>
              <w:rPr>
                <w:rFonts w:ascii="Cambria Math" w:hAnsi="Cambria Math"/>
              </w:rPr>
              <m:t>Total Assets-Current Liabilities</m:t>
            </m:r>
          </m:den>
        </m:f>
        <m:r>
          <w:rPr>
            <w:rFonts w:ascii="Cambria Math" w:hAnsi="Cambria Math"/>
          </w:rPr>
          <m:t>×100</m:t>
        </m:r>
      </m:oMath>
    </w:p>
    <w:tbl>
      <w:tblPr>
        <w:tblStyle w:val="GridTable4-Accent4"/>
        <w:tblW w:w="9483" w:type="dxa"/>
        <w:tblLook w:val="04A0" w:firstRow="1" w:lastRow="0" w:firstColumn="1" w:lastColumn="0" w:noHBand="0" w:noVBand="1"/>
      </w:tblPr>
      <w:tblGrid>
        <w:gridCol w:w="3023"/>
        <w:gridCol w:w="2926"/>
        <w:gridCol w:w="3534"/>
      </w:tblGrid>
      <w:tr w:rsidR="00477B5B" w14:paraId="31A55371" w14:textId="77777777" w:rsidTr="00A001A5">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75A71D07" w14:textId="77777777" w:rsidR="00477B5B" w:rsidRDefault="00477B5B" w:rsidP="00B27B95">
            <w:pPr>
              <w:rPr>
                <w:rFonts w:eastAsiaTheme="minorEastAsia"/>
              </w:rPr>
            </w:pPr>
            <w:r>
              <w:rPr>
                <w:rFonts w:eastAsiaTheme="minorEastAsia"/>
              </w:rPr>
              <w:t xml:space="preserve">Particulars </w:t>
            </w:r>
          </w:p>
        </w:tc>
        <w:tc>
          <w:tcPr>
            <w:tcW w:w="2926" w:type="dxa"/>
          </w:tcPr>
          <w:p w14:paraId="27119945" w14:textId="77777777" w:rsidR="00477B5B" w:rsidRDefault="00477B5B"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2024</w:t>
            </w:r>
          </w:p>
        </w:tc>
        <w:tc>
          <w:tcPr>
            <w:tcW w:w="3534" w:type="dxa"/>
          </w:tcPr>
          <w:p w14:paraId="6931AC21" w14:textId="77777777" w:rsidR="00477B5B" w:rsidRDefault="00477B5B"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2023</w:t>
            </w:r>
          </w:p>
        </w:tc>
      </w:tr>
      <w:tr w:rsidR="00477B5B" w14:paraId="700CA4F8" w14:textId="77777777" w:rsidTr="00A001A5">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2E7EEDA5" w14:textId="4CC1F82C" w:rsidR="00477B5B" w:rsidRDefault="00477B5B" w:rsidP="00B27B95">
            <w:pPr>
              <w:rPr>
                <w:rFonts w:eastAsiaTheme="minorEastAsia"/>
              </w:rPr>
            </w:pPr>
            <w:r w:rsidRPr="00477B5B">
              <w:t>Return on Capital Employed (ROCE)</w:t>
            </w:r>
          </w:p>
        </w:tc>
        <w:tc>
          <w:tcPr>
            <w:tcW w:w="2926" w:type="dxa"/>
          </w:tcPr>
          <w:p w14:paraId="566F9361" w14:textId="5B7D78F7" w:rsidR="00477B5B"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312.1</m:t>
                  </m:r>
                </m:num>
                <m:den>
                  <m:r>
                    <w:rPr>
                      <w:rFonts w:ascii="Cambria Math" w:hAnsi="Cambria Math"/>
                    </w:rPr>
                    <m:t xml:space="preserve">9521.3-870.4 </m:t>
                  </m:r>
                </m:den>
              </m:f>
              <m:r>
                <w:rPr>
                  <w:rFonts w:ascii="Cambria Math" w:hAnsi="Cambria Math"/>
                </w:rPr>
                <m:t>×100</m:t>
              </m:r>
            </m:oMath>
            <w:r w:rsidR="00477B5B">
              <w:rPr>
                <w:rFonts w:eastAsiaTheme="minorEastAsia"/>
              </w:rPr>
              <w:t xml:space="preserve"> = </w:t>
            </w:r>
            <w:r w:rsidR="00A74C20">
              <w:rPr>
                <w:rFonts w:eastAsiaTheme="minorEastAsia"/>
              </w:rPr>
              <w:t>6.49</w:t>
            </w:r>
            <w:r w:rsidR="00477B5B">
              <w:rPr>
                <w:rFonts w:eastAsiaTheme="minorEastAsia"/>
              </w:rPr>
              <w:t>%</w:t>
            </w:r>
          </w:p>
        </w:tc>
        <w:tc>
          <w:tcPr>
            <w:tcW w:w="3534" w:type="dxa"/>
          </w:tcPr>
          <w:p w14:paraId="1175D22C" w14:textId="17DE5A3C" w:rsidR="00477B5B"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413.4</m:t>
                  </m:r>
                </m:num>
                <m:den>
                  <m:r>
                    <w:rPr>
                      <w:rFonts w:ascii="Cambria Math" w:hAnsi="Cambria Math"/>
                    </w:rPr>
                    <m:t xml:space="preserve">9942.8-845.6 </m:t>
                  </m:r>
                </m:den>
              </m:f>
              <m:r>
                <w:rPr>
                  <w:rFonts w:ascii="Cambria Math" w:hAnsi="Cambria Math"/>
                </w:rPr>
                <m:t>×100</m:t>
              </m:r>
            </m:oMath>
            <w:r w:rsidR="00477B5B">
              <w:rPr>
                <w:rFonts w:eastAsiaTheme="minorEastAsia"/>
              </w:rPr>
              <w:t xml:space="preserve"> = 4.</w:t>
            </w:r>
            <w:r w:rsidR="00A74C20">
              <w:rPr>
                <w:rFonts w:eastAsiaTheme="minorEastAsia"/>
              </w:rPr>
              <w:t>54</w:t>
            </w:r>
            <w:r w:rsidR="00477B5B">
              <w:rPr>
                <w:rFonts w:eastAsiaTheme="minorEastAsia"/>
              </w:rPr>
              <w:t>%</w:t>
            </w:r>
          </w:p>
        </w:tc>
      </w:tr>
    </w:tbl>
    <w:p w14:paraId="09E2338C" w14:textId="77777777" w:rsidR="00477B5B" w:rsidRPr="00477B5B" w:rsidRDefault="00477B5B" w:rsidP="00477B5B">
      <w:pPr>
        <w:rPr>
          <w:b/>
          <w:bCs/>
        </w:rPr>
      </w:pPr>
    </w:p>
    <w:p w14:paraId="5550C067" w14:textId="18C94870" w:rsidR="00477B5B" w:rsidRDefault="00A74C20" w:rsidP="00477B5B">
      <w:r w:rsidRPr="00A74C20">
        <w:rPr>
          <w:b/>
          <w:bCs/>
          <w:lang w:val="en-IN"/>
        </w:rPr>
        <w:t xml:space="preserve">Interpretation: </w:t>
      </w:r>
      <w:r w:rsidRPr="00A74C20">
        <w:t>The ROCE increased from 4.54% in 2023 to 6.49% in 2024, indicating that the company is generating more profit from its capital. This improvement shows more efficient use of capital employed</w:t>
      </w:r>
      <w:r>
        <w:t>, which leads</w:t>
      </w:r>
      <w:r w:rsidRPr="00A74C20">
        <w:t xml:space="preserve"> to higher profitability for the business</w:t>
      </w:r>
      <w:r w:rsidR="00A001A5" w:rsidRPr="00A001A5">
        <w:t xml:space="preserve"> (</w:t>
      </w:r>
      <w:proofErr w:type="spellStart"/>
      <w:r w:rsidR="00A001A5" w:rsidRPr="00A001A5">
        <w:t>Mcclure</w:t>
      </w:r>
      <w:proofErr w:type="spellEnd"/>
      <w:r w:rsidR="00A001A5" w:rsidRPr="00A001A5">
        <w:t>, 2021)</w:t>
      </w:r>
      <w:r w:rsidRPr="00A74C20">
        <w:t>.</w:t>
      </w:r>
    </w:p>
    <w:p w14:paraId="44EFAC37" w14:textId="5951BD72" w:rsidR="00A74C20" w:rsidRPr="00A74C20" w:rsidRDefault="00A74C20" w:rsidP="00A74C20">
      <w:pPr>
        <w:pStyle w:val="ListParagraph"/>
        <w:numPr>
          <w:ilvl w:val="0"/>
          <w:numId w:val="1"/>
        </w:numPr>
        <w:rPr>
          <w:b/>
          <w:bCs/>
          <w:lang w:val="en-IN"/>
        </w:rPr>
      </w:pPr>
      <w:r>
        <w:rPr>
          <w:b/>
          <w:bCs/>
          <w:lang w:val="en-IN"/>
        </w:rPr>
        <w:t xml:space="preserve">Liquidity Ratio:  </w:t>
      </w:r>
      <w:r w:rsidRPr="00A74C20">
        <w:rPr>
          <w:lang w:val="en-IN"/>
        </w:rPr>
        <w:t>Liquidity ratios measure a company's ability to meet its short-term financial obligations using its most liquid assets</w:t>
      </w:r>
      <w:r w:rsidR="00CD1339" w:rsidRPr="00CD1339">
        <w:t xml:space="preserve"> </w:t>
      </w:r>
      <w:r w:rsidR="00CD1339" w:rsidRPr="00CD1339">
        <w:rPr>
          <w:lang w:val="en-IN"/>
        </w:rPr>
        <w:t>(CFI, 2020)</w:t>
      </w:r>
      <w:r w:rsidRPr="00A74C20">
        <w:rPr>
          <w:lang w:val="en-IN"/>
        </w:rPr>
        <w:t xml:space="preserve">. They are important </w:t>
      </w:r>
      <w:r w:rsidRPr="00A74C20">
        <w:rPr>
          <w:lang w:val="en-IN"/>
        </w:rPr>
        <w:lastRenderedPageBreak/>
        <w:t>because they help assess whether a company has enough cash or assets that can quickly be converted into cash to cover its immediate debts.</w:t>
      </w:r>
    </w:p>
    <w:p w14:paraId="4CD5FD84" w14:textId="23830705" w:rsidR="00A74C20" w:rsidRDefault="00A74C20" w:rsidP="00A74C20">
      <w:pPr>
        <w:jc w:val="center"/>
        <w:rPr>
          <w:b/>
          <w:bCs/>
        </w:rPr>
      </w:pPr>
      <w:r w:rsidRPr="00A74C20">
        <w:rPr>
          <w:b/>
          <w:bCs/>
        </w:rPr>
        <w:t>Current Ratio</w:t>
      </w:r>
    </w:p>
    <w:p w14:paraId="141028A0" w14:textId="7CECA150" w:rsidR="00A74C20" w:rsidRDefault="00A74C20" w:rsidP="00A74C20">
      <w:pPr>
        <w:rPr>
          <w:lang w:val="en-IN"/>
        </w:rPr>
      </w:pPr>
      <w:r w:rsidRPr="00A74C20">
        <w:t xml:space="preserve">The Current Ratio measures a company's ability to pay off its short-term liabilities with its short-term assets. It indicates whether the company has enough assets </w:t>
      </w:r>
      <w:r>
        <w:t>including</w:t>
      </w:r>
      <w:r w:rsidRPr="00A74C20">
        <w:t xml:space="preserve"> cash, receivables, and inventory to cover its current debts that are due within a year</w:t>
      </w:r>
      <w:r w:rsidR="00CD1339" w:rsidRPr="00CD1339">
        <w:t xml:space="preserve"> (CFI, 2020)</w:t>
      </w:r>
      <w:r w:rsidRPr="00A74C20">
        <w:t>.</w:t>
      </w:r>
    </w:p>
    <w:p w14:paraId="76062131" w14:textId="0EC1A15A" w:rsidR="00A74C20" w:rsidRPr="00D04BAA" w:rsidRDefault="00D04BAA" w:rsidP="00D04BAA">
      <w:pPr>
        <w:rPr>
          <w:b/>
          <w:bCs/>
        </w:rPr>
      </w:pPr>
      <w:r w:rsidRPr="00A74C20">
        <w:rPr>
          <w:b/>
          <w:bCs/>
        </w:rPr>
        <w:t>Current Ratio</w:t>
      </w:r>
      <w:r w:rsidR="00A74C20" w:rsidRPr="00DF7E4D">
        <w:t xml:space="preserve">= </w:t>
      </w:r>
      <m:oMath>
        <m:f>
          <m:fPr>
            <m:ctrlPr>
              <w:rPr>
                <w:rFonts w:ascii="Cambria Math" w:hAnsi="Cambria Math"/>
                <w:i/>
              </w:rPr>
            </m:ctrlPr>
          </m:fPr>
          <m:num>
            <m:r>
              <w:rPr>
                <w:rFonts w:ascii="Cambria Math" w:hAnsi="Cambria Math"/>
              </w:rPr>
              <m:t>Current Assets</m:t>
            </m:r>
          </m:num>
          <m:den>
            <m:r>
              <w:rPr>
                <w:rFonts w:ascii="Cambria Math" w:hAnsi="Cambria Math"/>
              </w:rPr>
              <m:t>Current Liabilities</m:t>
            </m:r>
          </m:den>
        </m:f>
      </m:oMath>
    </w:p>
    <w:p w14:paraId="4875F960" w14:textId="77777777" w:rsidR="00DF7E4D" w:rsidRPr="003362DB" w:rsidRDefault="00DF7E4D" w:rsidP="00D04BAA">
      <w:pPr>
        <w:rPr>
          <w:lang w:val="en-IN"/>
        </w:rPr>
      </w:pPr>
    </w:p>
    <w:tbl>
      <w:tblPr>
        <w:tblStyle w:val="GridTable4-Accent4"/>
        <w:tblW w:w="9483" w:type="dxa"/>
        <w:tblLook w:val="04A0" w:firstRow="1" w:lastRow="0" w:firstColumn="1" w:lastColumn="0" w:noHBand="0" w:noVBand="1"/>
      </w:tblPr>
      <w:tblGrid>
        <w:gridCol w:w="3023"/>
        <w:gridCol w:w="2926"/>
        <w:gridCol w:w="3534"/>
      </w:tblGrid>
      <w:tr w:rsidR="00D04BAA" w14:paraId="7D34A0D2" w14:textId="77777777" w:rsidTr="00A001A5">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4671C3AE" w14:textId="77777777" w:rsidR="00D04BAA" w:rsidRDefault="00D04BAA" w:rsidP="00B27B95">
            <w:pPr>
              <w:rPr>
                <w:rFonts w:eastAsiaTheme="minorEastAsia"/>
              </w:rPr>
            </w:pPr>
            <w:r>
              <w:rPr>
                <w:rFonts w:eastAsiaTheme="minorEastAsia"/>
              </w:rPr>
              <w:t xml:space="preserve">Particulars </w:t>
            </w:r>
          </w:p>
        </w:tc>
        <w:tc>
          <w:tcPr>
            <w:tcW w:w="2926" w:type="dxa"/>
          </w:tcPr>
          <w:p w14:paraId="156CD55C" w14:textId="77777777" w:rsidR="00D04BAA" w:rsidRDefault="00D04BAA"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2024</w:t>
            </w:r>
          </w:p>
        </w:tc>
        <w:tc>
          <w:tcPr>
            <w:tcW w:w="3534" w:type="dxa"/>
          </w:tcPr>
          <w:p w14:paraId="0B41FA86" w14:textId="77777777" w:rsidR="00D04BAA" w:rsidRDefault="00D04BAA"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2023</w:t>
            </w:r>
          </w:p>
        </w:tc>
      </w:tr>
      <w:tr w:rsidR="00D04BAA" w14:paraId="577D8B16" w14:textId="77777777" w:rsidTr="00A001A5">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1019C33F" w14:textId="77777777" w:rsidR="00D04BAA" w:rsidRPr="00D04BAA" w:rsidRDefault="00D04BAA" w:rsidP="00D04BAA">
            <w:pPr>
              <w:jc w:val="center"/>
            </w:pPr>
            <w:r w:rsidRPr="00D04BAA">
              <w:t>Current Ratio</w:t>
            </w:r>
          </w:p>
          <w:p w14:paraId="670A96B1" w14:textId="04D23A78" w:rsidR="00D04BAA" w:rsidRDefault="00D04BAA" w:rsidP="00B27B95">
            <w:pPr>
              <w:rPr>
                <w:rFonts w:eastAsiaTheme="minorEastAsia"/>
              </w:rPr>
            </w:pPr>
          </w:p>
        </w:tc>
        <w:tc>
          <w:tcPr>
            <w:tcW w:w="2926" w:type="dxa"/>
          </w:tcPr>
          <w:p w14:paraId="1C43EEA0" w14:textId="386A4D66" w:rsidR="00D04BAA"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837.2</m:t>
                  </m:r>
                </m:num>
                <m:den>
                  <m:r>
                    <w:rPr>
                      <w:rFonts w:ascii="Cambria Math" w:hAnsi="Cambria Math"/>
                    </w:rPr>
                    <m:t xml:space="preserve">870.4 </m:t>
                  </m:r>
                </m:den>
              </m:f>
            </m:oMath>
            <w:r w:rsidR="00D04BAA">
              <w:rPr>
                <w:rFonts w:eastAsiaTheme="minorEastAsia"/>
              </w:rPr>
              <w:t xml:space="preserve"> = 0.96:1</w:t>
            </w:r>
          </w:p>
        </w:tc>
        <w:tc>
          <w:tcPr>
            <w:tcW w:w="3534" w:type="dxa"/>
          </w:tcPr>
          <w:p w14:paraId="7526404C" w14:textId="0D849721" w:rsidR="00D04BAA"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1328.3</m:t>
                  </m:r>
                </m:num>
                <m:den>
                  <m:r>
                    <w:rPr>
                      <w:rFonts w:ascii="Cambria Math" w:hAnsi="Cambria Math"/>
                    </w:rPr>
                    <m:t xml:space="preserve">845.6 </m:t>
                  </m:r>
                </m:den>
              </m:f>
            </m:oMath>
            <w:r w:rsidR="00D04BAA">
              <w:rPr>
                <w:rFonts w:eastAsiaTheme="minorEastAsia"/>
              </w:rPr>
              <w:t xml:space="preserve"> = 1.57:1</w:t>
            </w:r>
          </w:p>
        </w:tc>
      </w:tr>
    </w:tbl>
    <w:p w14:paraId="2855098D" w14:textId="77777777" w:rsidR="00D04BAA" w:rsidRDefault="00D04BAA" w:rsidP="003362DB">
      <w:r w:rsidRPr="00D04BAA">
        <w:rPr>
          <w:b/>
          <w:bCs/>
        </w:rPr>
        <w:t xml:space="preserve">Interpretation: </w:t>
      </w:r>
      <w:r w:rsidRPr="00D04BAA">
        <w:t>The Current Ratio decreased significantly from 1.57 in 2023 to 0.96 in 2024. This indicates a decline in the company’s ability to cover its short-term liabilities with its short-term assets. A current ratio below 1 suggests that the company might face challenges in meeting its short-term obligations without relying on inventory or other less liquid assets.</w:t>
      </w:r>
    </w:p>
    <w:p w14:paraId="15F8412C" w14:textId="77777777" w:rsidR="00D579B9" w:rsidRPr="00D579B9" w:rsidRDefault="00D579B9" w:rsidP="00D579B9">
      <w:pPr>
        <w:rPr>
          <w:b/>
          <w:bCs/>
          <w:lang w:val="en-IN"/>
        </w:rPr>
      </w:pPr>
      <w:r w:rsidRPr="00D579B9">
        <w:rPr>
          <w:b/>
          <w:bCs/>
          <w:lang w:val="en-IN"/>
        </w:rPr>
        <w:t>Current Ratio Decrease:</w:t>
      </w:r>
    </w:p>
    <w:p w14:paraId="6FE8EED4" w14:textId="77777777" w:rsidR="00D579B9" w:rsidRPr="00D579B9" w:rsidRDefault="00D579B9" w:rsidP="00D579B9">
      <w:pPr>
        <w:numPr>
          <w:ilvl w:val="0"/>
          <w:numId w:val="12"/>
        </w:numPr>
        <w:rPr>
          <w:b/>
          <w:bCs/>
          <w:lang w:val="en-IN"/>
        </w:rPr>
      </w:pPr>
      <w:r w:rsidRPr="00D579B9">
        <w:rPr>
          <w:b/>
          <w:bCs/>
          <w:lang w:val="en-IN"/>
        </w:rPr>
        <w:t xml:space="preserve">Increased Current Liabilities: </w:t>
      </w:r>
      <w:r w:rsidRPr="00D579B9">
        <w:rPr>
          <w:lang w:val="en-IN"/>
        </w:rPr>
        <w:t>Whitbread may have increased its short-term liabilities, causing the Current Ratio to drop from 1.57 in 2023 to 0.96 in 2024.</w:t>
      </w:r>
    </w:p>
    <w:p w14:paraId="6B5997A3" w14:textId="6ADAACEF" w:rsidR="00D579B9" w:rsidRPr="00D579B9" w:rsidRDefault="00D579B9" w:rsidP="003362DB">
      <w:pPr>
        <w:numPr>
          <w:ilvl w:val="0"/>
          <w:numId w:val="12"/>
        </w:numPr>
        <w:rPr>
          <w:b/>
          <w:bCs/>
          <w:lang w:val="en-IN"/>
        </w:rPr>
      </w:pPr>
      <w:r w:rsidRPr="00D579B9">
        <w:rPr>
          <w:b/>
          <w:bCs/>
          <w:lang w:val="en-IN"/>
        </w:rPr>
        <w:t xml:space="preserve">Reduced Current Assets: </w:t>
      </w:r>
      <w:r w:rsidRPr="00D579B9">
        <w:rPr>
          <w:lang w:val="en-IN"/>
        </w:rPr>
        <w:t>A decrease in short-term assets, such as cash or receivables, may also have caused the drop in the ratio, suggesting tighter liquidity</w:t>
      </w:r>
      <w:r w:rsidR="00A001A5" w:rsidRPr="00A001A5">
        <w:t xml:space="preserve"> </w:t>
      </w:r>
      <w:r w:rsidR="00A001A5" w:rsidRPr="00A001A5">
        <w:rPr>
          <w:lang w:val="en-IN"/>
        </w:rPr>
        <w:t>(BBC, 2025)</w:t>
      </w:r>
      <w:r w:rsidRPr="00D579B9">
        <w:rPr>
          <w:lang w:val="en-IN"/>
        </w:rPr>
        <w:t>.</w:t>
      </w:r>
    </w:p>
    <w:p w14:paraId="52084A3A" w14:textId="2BCE5775" w:rsidR="00D579B9" w:rsidRDefault="00D579B9" w:rsidP="00D579B9">
      <w:pPr>
        <w:rPr>
          <w:b/>
          <w:bCs/>
          <w:lang w:val="en-IN"/>
        </w:rPr>
      </w:pPr>
      <w:r>
        <w:rPr>
          <w:b/>
          <w:bCs/>
          <w:lang w:val="en-IN"/>
        </w:rPr>
        <w:t xml:space="preserve">Possible Reasons: </w:t>
      </w:r>
    </w:p>
    <w:p w14:paraId="70EB0966" w14:textId="5ECE3BC9" w:rsidR="00D579B9" w:rsidRPr="00D579B9" w:rsidRDefault="00D579B9" w:rsidP="00D579B9">
      <w:pPr>
        <w:rPr>
          <w:lang w:val="en-IN"/>
        </w:rPr>
      </w:pPr>
      <w:r w:rsidRPr="00D579B9">
        <w:rPr>
          <w:b/>
          <w:bCs/>
          <w:lang w:val="en-IN"/>
        </w:rPr>
        <w:t xml:space="preserve">Improved Operating Profit: </w:t>
      </w:r>
      <w:r w:rsidRPr="00D579B9">
        <w:rPr>
          <w:lang w:val="en-IN"/>
        </w:rPr>
        <w:t>An increase in ROCE could be due to higher operating profit, meaning Whitbread is generating more profit from its available capital</w:t>
      </w:r>
      <w:r w:rsidR="00A001A5" w:rsidRPr="00A001A5">
        <w:t xml:space="preserve"> </w:t>
      </w:r>
      <w:r w:rsidR="00A001A5" w:rsidRPr="00A001A5">
        <w:rPr>
          <w:lang w:val="en-IN"/>
        </w:rPr>
        <w:t>(Maverick, 2022)</w:t>
      </w:r>
      <w:r w:rsidRPr="00D579B9">
        <w:rPr>
          <w:lang w:val="en-IN"/>
        </w:rPr>
        <w:t>. This could result from cost reductions, improved sales, or better overall efficiency.</w:t>
      </w:r>
    </w:p>
    <w:p w14:paraId="1C5F040F" w14:textId="0417E746" w:rsidR="00D579B9" w:rsidRPr="00D579B9" w:rsidRDefault="00D579B9" w:rsidP="00D579B9">
      <w:pPr>
        <w:rPr>
          <w:b/>
          <w:bCs/>
          <w:lang w:val="en-IN"/>
        </w:rPr>
      </w:pPr>
      <w:r w:rsidRPr="00D579B9">
        <w:rPr>
          <w:b/>
          <w:bCs/>
          <w:lang w:val="en-IN"/>
        </w:rPr>
        <w:t xml:space="preserve">More Efficient Capital Utilization: </w:t>
      </w:r>
      <w:r w:rsidRPr="00D579B9">
        <w:rPr>
          <w:lang w:val="en-IN"/>
        </w:rPr>
        <w:t>ROCE might improve if Whitbread became more efficient in utilizing its assets or if it made investments that provided higher returns on capital. This would show that the company is effectively deploying its resources to generate profit</w:t>
      </w:r>
      <w:r w:rsidR="00A001A5" w:rsidRPr="00A001A5">
        <w:t xml:space="preserve"> </w:t>
      </w:r>
      <w:r w:rsidR="00A001A5" w:rsidRPr="00A001A5">
        <w:rPr>
          <w:lang w:val="en-IN"/>
        </w:rPr>
        <w:t>(Maverick, 2022)</w:t>
      </w:r>
      <w:r w:rsidRPr="00D579B9">
        <w:rPr>
          <w:lang w:val="en-IN"/>
        </w:rPr>
        <w:t>.</w:t>
      </w:r>
    </w:p>
    <w:p w14:paraId="74748BB8" w14:textId="77777777" w:rsidR="00D04BAA" w:rsidRDefault="00D04BAA" w:rsidP="00D04BAA">
      <w:pPr>
        <w:jc w:val="center"/>
        <w:rPr>
          <w:b/>
          <w:bCs/>
        </w:rPr>
      </w:pPr>
      <w:r>
        <w:rPr>
          <w:b/>
          <w:bCs/>
        </w:rPr>
        <w:lastRenderedPageBreak/>
        <w:t>Quick Ratio</w:t>
      </w:r>
    </w:p>
    <w:p w14:paraId="751B6DC8" w14:textId="77777777" w:rsidR="005A7C8F" w:rsidRDefault="005A7C8F" w:rsidP="00D04BAA">
      <w:r w:rsidRPr="005A7C8F">
        <w:t xml:space="preserve">Quick ratio is a stricter metric of liquidity as compared to the current ratio. It does not include inventory in the current assets consideration; it narrows down to what the business can utilize to settle its </w:t>
      </w:r>
      <w:proofErr w:type="gramStart"/>
      <w:r w:rsidRPr="005A7C8F">
        <w:t>short term</w:t>
      </w:r>
      <w:proofErr w:type="gramEnd"/>
      <w:r w:rsidRPr="005A7C8F">
        <w:t xml:space="preserve"> obligations and measure using only those assets that are most liquid such as cash, accounts receivables, and marketable securities (CFI, 2020).</w:t>
      </w:r>
    </w:p>
    <w:p w14:paraId="57A0E012" w14:textId="6D65CAA1" w:rsidR="00D04BAA" w:rsidRPr="00D04BAA" w:rsidRDefault="00D04BAA" w:rsidP="00D04BAA">
      <w:pPr>
        <w:rPr>
          <w:b/>
          <w:bCs/>
        </w:rPr>
      </w:pPr>
      <w:r>
        <w:rPr>
          <w:b/>
          <w:bCs/>
        </w:rPr>
        <w:t>Quick</w:t>
      </w:r>
      <w:r w:rsidRPr="00A74C20">
        <w:rPr>
          <w:b/>
          <w:bCs/>
        </w:rPr>
        <w:t xml:space="preserve"> Ratio</w:t>
      </w:r>
      <w:r w:rsidRPr="00DF7E4D">
        <w:t xml:space="preserve">= </w:t>
      </w:r>
      <m:oMath>
        <m:f>
          <m:fPr>
            <m:ctrlPr>
              <w:rPr>
                <w:rFonts w:ascii="Cambria Math" w:hAnsi="Cambria Math"/>
                <w:i/>
              </w:rPr>
            </m:ctrlPr>
          </m:fPr>
          <m:num>
            <m:r>
              <w:rPr>
                <w:rFonts w:ascii="Cambria Math" w:hAnsi="Cambria Math"/>
              </w:rPr>
              <m:t>Current Assets-Inventories</m:t>
            </m:r>
          </m:num>
          <m:den>
            <m:r>
              <w:rPr>
                <w:rFonts w:ascii="Cambria Math" w:hAnsi="Cambria Math"/>
              </w:rPr>
              <m:t>Current Liabilities</m:t>
            </m:r>
          </m:den>
        </m:f>
      </m:oMath>
    </w:p>
    <w:tbl>
      <w:tblPr>
        <w:tblStyle w:val="GridTable4-Accent4"/>
        <w:tblW w:w="9483" w:type="dxa"/>
        <w:tblLook w:val="04A0" w:firstRow="1" w:lastRow="0" w:firstColumn="1" w:lastColumn="0" w:noHBand="0" w:noVBand="1"/>
      </w:tblPr>
      <w:tblGrid>
        <w:gridCol w:w="3023"/>
        <w:gridCol w:w="2926"/>
        <w:gridCol w:w="3534"/>
      </w:tblGrid>
      <w:tr w:rsidR="00D04BAA" w14:paraId="25F68BA1" w14:textId="77777777" w:rsidTr="00A001A5">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6696E8B0" w14:textId="77777777" w:rsidR="00D04BAA" w:rsidRDefault="00D04BAA" w:rsidP="00B27B95">
            <w:pPr>
              <w:rPr>
                <w:rFonts w:eastAsiaTheme="minorEastAsia"/>
              </w:rPr>
            </w:pPr>
            <w:r>
              <w:rPr>
                <w:rFonts w:eastAsiaTheme="minorEastAsia"/>
              </w:rPr>
              <w:t xml:space="preserve">Particulars </w:t>
            </w:r>
          </w:p>
        </w:tc>
        <w:tc>
          <w:tcPr>
            <w:tcW w:w="2926" w:type="dxa"/>
          </w:tcPr>
          <w:p w14:paraId="46698DC4" w14:textId="77777777" w:rsidR="00D04BAA" w:rsidRDefault="00D04BAA"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2024</w:t>
            </w:r>
          </w:p>
        </w:tc>
        <w:tc>
          <w:tcPr>
            <w:tcW w:w="3534" w:type="dxa"/>
          </w:tcPr>
          <w:p w14:paraId="5A706C45" w14:textId="77777777" w:rsidR="00D04BAA" w:rsidRDefault="00D04BAA"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2023</w:t>
            </w:r>
          </w:p>
        </w:tc>
      </w:tr>
      <w:tr w:rsidR="00D04BAA" w14:paraId="4A399930" w14:textId="77777777" w:rsidTr="00A001A5">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7E575CED" w14:textId="36980D4E" w:rsidR="00D04BAA" w:rsidRPr="00D04BAA" w:rsidRDefault="00D04BAA" w:rsidP="00B27B95">
            <w:pPr>
              <w:jc w:val="center"/>
            </w:pPr>
            <w:r>
              <w:t xml:space="preserve">Quick </w:t>
            </w:r>
            <w:r w:rsidRPr="00D04BAA">
              <w:t>Ratio</w:t>
            </w:r>
          </w:p>
          <w:p w14:paraId="7894EE33" w14:textId="77777777" w:rsidR="00D04BAA" w:rsidRDefault="00D04BAA" w:rsidP="00B27B95">
            <w:pPr>
              <w:rPr>
                <w:rFonts w:eastAsiaTheme="minorEastAsia"/>
              </w:rPr>
            </w:pPr>
          </w:p>
        </w:tc>
        <w:tc>
          <w:tcPr>
            <w:tcW w:w="2926" w:type="dxa"/>
          </w:tcPr>
          <w:p w14:paraId="04830F58" w14:textId="74B64422" w:rsidR="00D04BAA"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837.2-21.2</m:t>
                  </m:r>
                </m:num>
                <m:den>
                  <m:r>
                    <w:rPr>
                      <w:rFonts w:ascii="Cambria Math" w:hAnsi="Cambria Math"/>
                    </w:rPr>
                    <m:t xml:space="preserve">870.4 </m:t>
                  </m:r>
                </m:den>
              </m:f>
            </m:oMath>
            <w:r w:rsidR="00D04BAA">
              <w:rPr>
                <w:rFonts w:eastAsiaTheme="minorEastAsia"/>
              </w:rPr>
              <w:t xml:space="preserve"> = 0.94:1</w:t>
            </w:r>
          </w:p>
        </w:tc>
        <w:tc>
          <w:tcPr>
            <w:tcW w:w="3534" w:type="dxa"/>
          </w:tcPr>
          <w:p w14:paraId="32F05D57" w14:textId="54A2E2DD" w:rsidR="00D04BAA"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1328.3-21.7</m:t>
                  </m:r>
                </m:num>
                <m:den>
                  <m:r>
                    <w:rPr>
                      <w:rFonts w:ascii="Cambria Math" w:hAnsi="Cambria Math"/>
                    </w:rPr>
                    <m:t xml:space="preserve">845.6 </m:t>
                  </m:r>
                </m:den>
              </m:f>
            </m:oMath>
            <w:r w:rsidR="00D04BAA">
              <w:rPr>
                <w:rFonts w:eastAsiaTheme="minorEastAsia"/>
              </w:rPr>
              <w:t xml:space="preserve"> = 1.55:1</w:t>
            </w:r>
          </w:p>
        </w:tc>
      </w:tr>
    </w:tbl>
    <w:p w14:paraId="54BCB5CA" w14:textId="77777777" w:rsidR="00D04BAA" w:rsidRDefault="00D04BAA" w:rsidP="00D04BAA"/>
    <w:p w14:paraId="44D30404" w14:textId="40415770" w:rsidR="00D04BAA" w:rsidRDefault="00D04BAA" w:rsidP="00D04BAA">
      <w:r w:rsidRPr="00D04BAA">
        <w:rPr>
          <w:b/>
          <w:bCs/>
        </w:rPr>
        <w:t xml:space="preserve">Interpretation: </w:t>
      </w:r>
      <w:r w:rsidR="005A7C8F" w:rsidRPr="005A7C8F">
        <w:t>Quick Ratio as well fell down to 0.94 in 2024 as compared to 1.55 in 2023. Quick ratio is still a more restrictive measure of liquidity and it does not include inventory as current assets. When the ratio is below 1 it indicates that the business might not be able to cater to its short-term liabilities using either cash or receivables as liquid assets.</w:t>
      </w:r>
    </w:p>
    <w:p w14:paraId="220506F3" w14:textId="77777777" w:rsidR="00D579B9" w:rsidRPr="00D579B9" w:rsidRDefault="00D579B9" w:rsidP="00D579B9">
      <w:pPr>
        <w:rPr>
          <w:lang w:val="en-IN"/>
        </w:rPr>
      </w:pPr>
      <w:r w:rsidRPr="00D579B9">
        <w:rPr>
          <w:b/>
          <w:bCs/>
          <w:lang w:val="en-IN"/>
        </w:rPr>
        <w:t>Quick Ratio Decrease:</w:t>
      </w:r>
    </w:p>
    <w:p w14:paraId="35E85472" w14:textId="44FCFA23" w:rsidR="00D579B9" w:rsidRPr="00D579B9" w:rsidRDefault="00D579B9" w:rsidP="00D579B9">
      <w:pPr>
        <w:numPr>
          <w:ilvl w:val="0"/>
          <w:numId w:val="13"/>
        </w:numPr>
        <w:rPr>
          <w:lang w:val="en-IN"/>
        </w:rPr>
      </w:pPr>
      <w:r w:rsidRPr="00D579B9">
        <w:rPr>
          <w:b/>
          <w:bCs/>
          <w:lang w:val="en-IN"/>
        </w:rPr>
        <w:t>Lower Liquid Assets</w:t>
      </w:r>
      <w:r w:rsidRPr="00D579B9">
        <w:rPr>
          <w:lang w:val="en-IN"/>
        </w:rPr>
        <w:t xml:space="preserve">: </w:t>
      </w:r>
      <w:r w:rsidR="005A7C8F" w:rsidRPr="005A7C8F">
        <w:rPr>
          <w:lang w:val="en-IN"/>
        </w:rPr>
        <w:t>The fall of the Quick Ratio in 2024 to 0.94 compared to 1.55 in the previous year means that the company will have less cash or receivables to work with and it would be more difficult to pay short- term liability without using inventory.</w:t>
      </w:r>
      <w:r w:rsidR="005A7C8F">
        <w:rPr>
          <w:lang w:val="en-IN"/>
        </w:rPr>
        <w:t xml:space="preserve"> </w:t>
      </w:r>
    </w:p>
    <w:p w14:paraId="61048D93" w14:textId="636C5791" w:rsidR="00D579B9" w:rsidRPr="00A001A5" w:rsidRDefault="00D579B9" w:rsidP="00D04BAA">
      <w:pPr>
        <w:numPr>
          <w:ilvl w:val="0"/>
          <w:numId w:val="13"/>
        </w:numPr>
        <w:rPr>
          <w:lang w:val="en-IN"/>
        </w:rPr>
      </w:pPr>
      <w:r w:rsidRPr="00D579B9">
        <w:rPr>
          <w:b/>
          <w:bCs/>
          <w:lang w:val="en-IN"/>
        </w:rPr>
        <w:t>Increase in Current Liabilities</w:t>
      </w:r>
      <w:r w:rsidRPr="00D579B9">
        <w:rPr>
          <w:lang w:val="en-IN"/>
        </w:rPr>
        <w:t>: An increase in short-term debts or payables could have also lowered the quick ratio, reducing liquidity.</w:t>
      </w:r>
    </w:p>
    <w:p w14:paraId="4B481723" w14:textId="7630E113" w:rsidR="00D04BAA" w:rsidRPr="00933962" w:rsidRDefault="00933962" w:rsidP="00D04BAA">
      <w:pPr>
        <w:pStyle w:val="ListParagraph"/>
        <w:numPr>
          <w:ilvl w:val="0"/>
          <w:numId w:val="1"/>
        </w:numPr>
        <w:rPr>
          <w:b/>
          <w:bCs/>
        </w:rPr>
      </w:pPr>
      <w:r w:rsidRPr="00933962">
        <w:rPr>
          <w:b/>
          <w:bCs/>
        </w:rPr>
        <w:t xml:space="preserve">Gearing Ratios: </w:t>
      </w:r>
      <w:r w:rsidR="005A7C8F" w:rsidRPr="005A7C8F">
        <w:t>Gearing Ratio indicates what percentage of the capital of one firm is financed with a debt (Boyte-White, 2025). It gives us an idea of the extent to which capital structure of the company is financed using borrowed funds.</w:t>
      </w:r>
    </w:p>
    <w:p w14:paraId="6529599C" w14:textId="57D35E8E" w:rsidR="00933962" w:rsidRPr="00933962" w:rsidRDefault="00933962" w:rsidP="00933962">
      <w:pPr>
        <w:jc w:val="center"/>
        <w:rPr>
          <w:b/>
          <w:bCs/>
        </w:rPr>
      </w:pPr>
      <w:r w:rsidRPr="00933962">
        <w:rPr>
          <w:b/>
          <w:bCs/>
        </w:rPr>
        <w:t>Debt to Equity Ratio</w:t>
      </w:r>
    </w:p>
    <w:p w14:paraId="7038CC73" w14:textId="63610536" w:rsidR="00933962" w:rsidRDefault="00933962" w:rsidP="00933962">
      <w:r w:rsidRPr="00933962">
        <w:t xml:space="preserve">The </w:t>
      </w:r>
      <w:r w:rsidR="00A001A5" w:rsidRPr="00933962">
        <w:t>Debt-to-Equity</w:t>
      </w:r>
      <w:r w:rsidRPr="00933962">
        <w:t xml:space="preserve"> Ratio measures the proportion of debt used to finance the company relative to shareholders' equity</w:t>
      </w:r>
      <w:r w:rsidR="00CD1339" w:rsidRPr="00CD1339">
        <w:t xml:space="preserve"> (Fernando, 2025)</w:t>
      </w:r>
      <w:r w:rsidRPr="00933962">
        <w:t>. A higher ratio indicates more financial leverage and greater reliance on debt.</w:t>
      </w:r>
    </w:p>
    <w:p w14:paraId="44D6DAA6" w14:textId="4FE2F659" w:rsidR="00933962" w:rsidRPr="00933962" w:rsidRDefault="00933962" w:rsidP="00933962">
      <w:r>
        <w:t xml:space="preserve">Debt to equity ratio = </w:t>
      </w:r>
      <m:oMath>
        <m:f>
          <m:fPr>
            <m:ctrlPr>
              <w:rPr>
                <w:rFonts w:ascii="Cambria Math" w:hAnsi="Cambria Math"/>
                <w:i/>
              </w:rPr>
            </m:ctrlPr>
          </m:fPr>
          <m:num>
            <m:r>
              <w:rPr>
                <w:rFonts w:ascii="Cambria Math" w:hAnsi="Cambria Math"/>
              </w:rPr>
              <m:t>Total Debt</m:t>
            </m:r>
          </m:num>
          <m:den>
            <m:r>
              <w:rPr>
                <w:rFonts w:ascii="Cambria Math" w:hAnsi="Cambria Math"/>
              </w:rPr>
              <m:t>Total Equity</m:t>
            </m:r>
          </m:den>
        </m:f>
      </m:oMath>
    </w:p>
    <w:tbl>
      <w:tblPr>
        <w:tblStyle w:val="GridTable4-Accent4"/>
        <w:tblW w:w="9483" w:type="dxa"/>
        <w:tblLook w:val="04A0" w:firstRow="1" w:lastRow="0" w:firstColumn="1" w:lastColumn="0" w:noHBand="0" w:noVBand="1"/>
      </w:tblPr>
      <w:tblGrid>
        <w:gridCol w:w="3023"/>
        <w:gridCol w:w="2926"/>
        <w:gridCol w:w="3534"/>
      </w:tblGrid>
      <w:tr w:rsidR="00933962" w14:paraId="789B2F0A" w14:textId="77777777" w:rsidTr="00A001A5">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325512D6" w14:textId="77777777" w:rsidR="00933962" w:rsidRDefault="00933962" w:rsidP="00B27B95">
            <w:pPr>
              <w:rPr>
                <w:rFonts w:eastAsiaTheme="minorEastAsia"/>
              </w:rPr>
            </w:pPr>
            <w:r>
              <w:rPr>
                <w:rFonts w:eastAsiaTheme="minorEastAsia"/>
              </w:rPr>
              <w:lastRenderedPageBreak/>
              <w:t xml:space="preserve">Particulars </w:t>
            </w:r>
          </w:p>
        </w:tc>
        <w:tc>
          <w:tcPr>
            <w:tcW w:w="2926" w:type="dxa"/>
          </w:tcPr>
          <w:p w14:paraId="04C065B3" w14:textId="77777777" w:rsidR="00933962" w:rsidRDefault="00933962"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2024</w:t>
            </w:r>
          </w:p>
        </w:tc>
        <w:tc>
          <w:tcPr>
            <w:tcW w:w="3534" w:type="dxa"/>
          </w:tcPr>
          <w:p w14:paraId="640A4237" w14:textId="77777777" w:rsidR="00933962" w:rsidRDefault="00933962"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2023</w:t>
            </w:r>
          </w:p>
        </w:tc>
      </w:tr>
      <w:tr w:rsidR="00933962" w14:paraId="0ECE03D3" w14:textId="77777777" w:rsidTr="00A001A5">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7513CB74" w14:textId="77777777" w:rsidR="00482C19" w:rsidRPr="00482C19" w:rsidRDefault="00482C19" w:rsidP="00482C19">
            <w:pPr>
              <w:jc w:val="center"/>
            </w:pPr>
            <w:r w:rsidRPr="00482C19">
              <w:t>Debt to Equity Ratio</w:t>
            </w:r>
          </w:p>
          <w:p w14:paraId="68B0E61D" w14:textId="77777777" w:rsidR="00933962" w:rsidRDefault="00933962" w:rsidP="00B27B95">
            <w:pPr>
              <w:rPr>
                <w:rFonts w:eastAsiaTheme="minorEastAsia"/>
              </w:rPr>
            </w:pPr>
          </w:p>
        </w:tc>
        <w:tc>
          <w:tcPr>
            <w:tcW w:w="2926" w:type="dxa"/>
          </w:tcPr>
          <w:p w14:paraId="6578D3DB" w14:textId="1E16C27C" w:rsidR="00933962"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994.9</m:t>
                  </m:r>
                </m:num>
                <m:den>
                  <m:r>
                    <w:rPr>
                      <w:rFonts w:ascii="Cambria Math" w:hAnsi="Cambria Math"/>
                    </w:rPr>
                    <m:t xml:space="preserve">3519.40 </m:t>
                  </m:r>
                </m:den>
              </m:f>
            </m:oMath>
            <w:r w:rsidR="00933962">
              <w:rPr>
                <w:rFonts w:eastAsiaTheme="minorEastAsia"/>
              </w:rPr>
              <w:t xml:space="preserve"> = 0.28</w:t>
            </w:r>
          </w:p>
        </w:tc>
        <w:tc>
          <w:tcPr>
            <w:tcW w:w="3534" w:type="dxa"/>
          </w:tcPr>
          <w:p w14:paraId="676452EC" w14:textId="39FD94B7" w:rsidR="00933962"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993.4</m:t>
                  </m:r>
                </m:num>
                <m:den>
                  <m:r>
                    <w:rPr>
                      <w:rFonts w:ascii="Cambria Math" w:hAnsi="Cambria Math"/>
                    </w:rPr>
                    <m:t>4111.4</m:t>
                  </m:r>
                </m:den>
              </m:f>
            </m:oMath>
            <w:r w:rsidR="00933962">
              <w:rPr>
                <w:rFonts w:eastAsiaTheme="minorEastAsia"/>
              </w:rPr>
              <w:t xml:space="preserve"> = 0.24</w:t>
            </w:r>
          </w:p>
        </w:tc>
      </w:tr>
    </w:tbl>
    <w:p w14:paraId="031FD3A3" w14:textId="77777777" w:rsidR="00D04BAA" w:rsidRDefault="00D04BAA" w:rsidP="00D04BAA">
      <w:pPr>
        <w:rPr>
          <w:b/>
          <w:bCs/>
        </w:rPr>
      </w:pPr>
    </w:p>
    <w:p w14:paraId="1B4856D0" w14:textId="10AD53B1" w:rsidR="00933962" w:rsidRDefault="00933962" w:rsidP="00D04BAA">
      <w:r>
        <w:rPr>
          <w:b/>
          <w:bCs/>
        </w:rPr>
        <w:t xml:space="preserve">Interpretation: </w:t>
      </w:r>
      <w:r w:rsidRPr="00933962">
        <w:t xml:space="preserve">The </w:t>
      </w:r>
      <w:r w:rsidR="00D579B9" w:rsidRPr="00933962">
        <w:t>Debt-to-Equity</w:t>
      </w:r>
      <w:r w:rsidRPr="00933962">
        <w:t xml:space="preserve"> Ratio increased from 0.24 in 2023 to 0.28 in 2024, meaning that the company has slightly increased its reliance on debt financing relative to equity. While the ratio is still relatively low, the increase indicates higher financial risk as the company uses more debt to fund its operations.</w:t>
      </w:r>
    </w:p>
    <w:p w14:paraId="6B32D1B8" w14:textId="5E5046C2" w:rsidR="00D579B9" w:rsidRPr="00D579B9" w:rsidRDefault="00A001A5" w:rsidP="00D579B9">
      <w:pPr>
        <w:rPr>
          <w:lang w:val="en-IN"/>
        </w:rPr>
      </w:pPr>
      <w:r>
        <w:rPr>
          <w:b/>
          <w:bCs/>
          <w:lang w:val="en-IN"/>
        </w:rPr>
        <w:t>Debt-to-Equity</w:t>
      </w:r>
      <w:r w:rsidR="00D579B9" w:rsidRPr="00D579B9">
        <w:rPr>
          <w:b/>
          <w:bCs/>
          <w:lang w:val="en-IN"/>
        </w:rPr>
        <w:t xml:space="preserve"> Ratio Increase:</w:t>
      </w:r>
    </w:p>
    <w:p w14:paraId="17A47868" w14:textId="3EADB6AE" w:rsidR="00D579B9" w:rsidRPr="00D579B9" w:rsidRDefault="00D579B9" w:rsidP="00D579B9">
      <w:pPr>
        <w:numPr>
          <w:ilvl w:val="0"/>
          <w:numId w:val="10"/>
        </w:numPr>
        <w:rPr>
          <w:lang w:val="en-IN"/>
        </w:rPr>
      </w:pPr>
      <w:r w:rsidRPr="00D579B9">
        <w:rPr>
          <w:b/>
          <w:bCs/>
          <w:lang w:val="en-IN"/>
        </w:rPr>
        <w:t>More Debt Financing</w:t>
      </w:r>
      <w:r w:rsidRPr="00D579B9">
        <w:rPr>
          <w:lang w:val="en-IN"/>
        </w:rPr>
        <w:t>: Whitbread may have taken on more debt in 2024, increasing its reliance on borrowed funds.</w:t>
      </w:r>
      <w:r w:rsidR="000859E1" w:rsidRPr="000859E1">
        <w:t xml:space="preserve"> </w:t>
      </w:r>
      <w:r w:rsidR="000859E1" w:rsidRPr="000859E1">
        <w:rPr>
          <w:lang w:val="en-IN"/>
        </w:rPr>
        <w:t>(CFI, 2025)</w:t>
      </w:r>
    </w:p>
    <w:p w14:paraId="5803CB33" w14:textId="63419128" w:rsidR="00D579B9" w:rsidRPr="00D579B9" w:rsidRDefault="00D579B9" w:rsidP="00D04BAA">
      <w:pPr>
        <w:numPr>
          <w:ilvl w:val="0"/>
          <w:numId w:val="10"/>
        </w:numPr>
        <w:rPr>
          <w:lang w:val="en-IN"/>
        </w:rPr>
      </w:pPr>
      <w:r w:rsidRPr="00D579B9">
        <w:rPr>
          <w:b/>
          <w:bCs/>
          <w:lang w:val="en-IN"/>
        </w:rPr>
        <w:t>Stable Equity</w:t>
      </w:r>
      <w:r w:rsidRPr="00D579B9">
        <w:rPr>
          <w:lang w:val="en-IN"/>
        </w:rPr>
        <w:t>: The equity remained relatively stable, which made the increase in debt more noticeable.</w:t>
      </w:r>
    </w:p>
    <w:p w14:paraId="2E65596C" w14:textId="563E6BF7" w:rsidR="00933962" w:rsidRDefault="00933962" w:rsidP="00933962">
      <w:pPr>
        <w:jc w:val="center"/>
        <w:rPr>
          <w:b/>
          <w:bCs/>
        </w:rPr>
      </w:pPr>
      <w:r w:rsidRPr="00933962">
        <w:rPr>
          <w:b/>
          <w:bCs/>
        </w:rPr>
        <w:t>Gearing Ratio</w:t>
      </w:r>
    </w:p>
    <w:p w14:paraId="0511B313" w14:textId="73F35A22" w:rsidR="00933962" w:rsidRDefault="00933962" w:rsidP="00933962">
      <w:r w:rsidRPr="00933962">
        <w:t>The Gearing Ratio shows the proportion of a company's capital that is financed by debt</w:t>
      </w:r>
      <w:r w:rsidR="00CD1339" w:rsidRPr="00CD1339">
        <w:t xml:space="preserve"> (Kenton, 2024)</w:t>
      </w:r>
      <w:r w:rsidRPr="00933962">
        <w:t>. It provides insight into how much of the company’s capital structure is dependent on borrowed funds.</w:t>
      </w:r>
    </w:p>
    <w:p w14:paraId="293D86E3" w14:textId="585038E4" w:rsidR="00933962" w:rsidRDefault="00933962" w:rsidP="00933962">
      <w:pPr>
        <w:rPr>
          <w:rFonts w:eastAsiaTheme="minorEastAsia"/>
        </w:rPr>
      </w:pPr>
      <w:r>
        <w:t xml:space="preserve">Gearing ratio = </w:t>
      </w:r>
      <m:oMath>
        <m:f>
          <m:fPr>
            <m:ctrlPr>
              <w:rPr>
                <w:rFonts w:ascii="Cambria Math" w:hAnsi="Cambria Math"/>
                <w:i/>
              </w:rPr>
            </m:ctrlPr>
          </m:fPr>
          <m:num>
            <m:r>
              <w:rPr>
                <w:rFonts w:ascii="Cambria Math" w:hAnsi="Cambria Math"/>
              </w:rPr>
              <m:t>Total Debt</m:t>
            </m:r>
          </m:num>
          <m:den>
            <m:r>
              <w:rPr>
                <w:rFonts w:ascii="Cambria Math" w:hAnsi="Cambria Math"/>
              </w:rPr>
              <m:t>Total Debt + Total Equity</m:t>
            </m:r>
          </m:den>
        </m:f>
      </m:oMath>
    </w:p>
    <w:tbl>
      <w:tblPr>
        <w:tblStyle w:val="TableGrid"/>
        <w:tblW w:w="9483" w:type="dxa"/>
        <w:tblLook w:val="04A0" w:firstRow="1" w:lastRow="0" w:firstColumn="1" w:lastColumn="0" w:noHBand="0" w:noVBand="1"/>
      </w:tblPr>
      <w:tblGrid>
        <w:gridCol w:w="3023"/>
        <w:gridCol w:w="2926"/>
        <w:gridCol w:w="3534"/>
      </w:tblGrid>
      <w:tr w:rsidR="00933962" w14:paraId="51DDAA46" w14:textId="77777777" w:rsidTr="00B27B95">
        <w:trPr>
          <w:trHeight w:val="408"/>
        </w:trPr>
        <w:tc>
          <w:tcPr>
            <w:tcW w:w="3023" w:type="dxa"/>
          </w:tcPr>
          <w:p w14:paraId="7F0CAF82" w14:textId="77777777" w:rsidR="00933962" w:rsidRDefault="00933962" w:rsidP="00B27B95">
            <w:pPr>
              <w:rPr>
                <w:rFonts w:eastAsiaTheme="minorEastAsia"/>
              </w:rPr>
            </w:pPr>
            <w:r>
              <w:rPr>
                <w:rFonts w:eastAsiaTheme="minorEastAsia"/>
              </w:rPr>
              <w:t xml:space="preserve">Particulars </w:t>
            </w:r>
          </w:p>
        </w:tc>
        <w:tc>
          <w:tcPr>
            <w:tcW w:w="2926" w:type="dxa"/>
          </w:tcPr>
          <w:p w14:paraId="24B619F8" w14:textId="77777777" w:rsidR="00933962" w:rsidRDefault="00933962" w:rsidP="00B27B95">
            <w:pPr>
              <w:rPr>
                <w:rFonts w:eastAsiaTheme="minorEastAsia"/>
              </w:rPr>
            </w:pPr>
            <w:r>
              <w:rPr>
                <w:rFonts w:eastAsiaTheme="minorEastAsia"/>
              </w:rPr>
              <w:t>2024</w:t>
            </w:r>
          </w:p>
        </w:tc>
        <w:tc>
          <w:tcPr>
            <w:tcW w:w="3534" w:type="dxa"/>
          </w:tcPr>
          <w:p w14:paraId="790F0FCA" w14:textId="77777777" w:rsidR="00933962" w:rsidRDefault="00933962" w:rsidP="00B27B95">
            <w:pPr>
              <w:rPr>
                <w:rFonts w:eastAsiaTheme="minorEastAsia"/>
              </w:rPr>
            </w:pPr>
            <w:r>
              <w:rPr>
                <w:rFonts w:eastAsiaTheme="minorEastAsia"/>
              </w:rPr>
              <w:t>2023</w:t>
            </w:r>
          </w:p>
        </w:tc>
      </w:tr>
      <w:tr w:rsidR="00933962" w14:paraId="02D614BF" w14:textId="77777777" w:rsidTr="00B27B95">
        <w:trPr>
          <w:trHeight w:val="1116"/>
        </w:trPr>
        <w:tc>
          <w:tcPr>
            <w:tcW w:w="3023" w:type="dxa"/>
          </w:tcPr>
          <w:p w14:paraId="7641C94C" w14:textId="77777777" w:rsidR="00482C19" w:rsidRPr="00482C19" w:rsidRDefault="00482C19" w:rsidP="00482C19">
            <w:pPr>
              <w:jc w:val="center"/>
            </w:pPr>
            <w:r w:rsidRPr="00482C19">
              <w:t>Gearing Ratio</w:t>
            </w:r>
          </w:p>
          <w:p w14:paraId="2D923788" w14:textId="77777777" w:rsidR="00933962" w:rsidRPr="00482C19" w:rsidRDefault="00933962" w:rsidP="00B27B95">
            <w:pPr>
              <w:rPr>
                <w:rFonts w:eastAsiaTheme="minorEastAsia"/>
                <w:b/>
                <w:bCs/>
              </w:rPr>
            </w:pPr>
          </w:p>
        </w:tc>
        <w:tc>
          <w:tcPr>
            <w:tcW w:w="2926" w:type="dxa"/>
          </w:tcPr>
          <w:p w14:paraId="5D692FCD" w14:textId="471E1ABC" w:rsidR="00933962" w:rsidRDefault="00000000" w:rsidP="00B27B95">
            <w:pPr>
              <w:rPr>
                <w:rFonts w:eastAsiaTheme="minorEastAsia"/>
              </w:rPr>
            </w:pPr>
            <m:oMath>
              <m:f>
                <m:fPr>
                  <m:ctrlPr>
                    <w:rPr>
                      <w:rFonts w:ascii="Cambria Math" w:hAnsi="Cambria Math"/>
                      <w:i/>
                    </w:rPr>
                  </m:ctrlPr>
                </m:fPr>
                <m:num>
                  <m:r>
                    <w:rPr>
                      <w:rFonts w:ascii="Cambria Math" w:hAnsi="Cambria Math"/>
                    </w:rPr>
                    <m:t>994.9</m:t>
                  </m:r>
                </m:num>
                <m:den>
                  <m:r>
                    <w:rPr>
                      <w:rFonts w:ascii="Cambria Math" w:hAnsi="Cambria Math"/>
                    </w:rPr>
                    <m:t xml:space="preserve">994.9+ 3519.40 </m:t>
                  </m:r>
                </m:den>
              </m:f>
            </m:oMath>
            <w:r w:rsidR="00933962">
              <w:rPr>
                <w:rFonts w:eastAsiaTheme="minorEastAsia"/>
              </w:rPr>
              <w:t xml:space="preserve"> = 0.28</w:t>
            </w:r>
          </w:p>
        </w:tc>
        <w:tc>
          <w:tcPr>
            <w:tcW w:w="3534" w:type="dxa"/>
          </w:tcPr>
          <w:p w14:paraId="275BABAF" w14:textId="71CCAC97" w:rsidR="00933962" w:rsidRDefault="00000000" w:rsidP="00B27B95">
            <w:pPr>
              <w:rPr>
                <w:rFonts w:eastAsiaTheme="minorEastAsia"/>
              </w:rPr>
            </w:pPr>
            <m:oMath>
              <m:f>
                <m:fPr>
                  <m:ctrlPr>
                    <w:rPr>
                      <w:rFonts w:ascii="Cambria Math" w:hAnsi="Cambria Math"/>
                      <w:i/>
                    </w:rPr>
                  </m:ctrlPr>
                </m:fPr>
                <m:num>
                  <m:r>
                    <w:rPr>
                      <w:rFonts w:ascii="Cambria Math" w:hAnsi="Cambria Math"/>
                    </w:rPr>
                    <m:t>993.4</m:t>
                  </m:r>
                </m:num>
                <m:den>
                  <m:r>
                    <w:rPr>
                      <w:rFonts w:ascii="Cambria Math" w:hAnsi="Cambria Math"/>
                    </w:rPr>
                    <m:t>993.4+4111.4</m:t>
                  </m:r>
                </m:den>
              </m:f>
            </m:oMath>
            <w:r w:rsidR="00933962">
              <w:rPr>
                <w:rFonts w:eastAsiaTheme="minorEastAsia"/>
              </w:rPr>
              <w:t xml:space="preserve"> = 0.24</w:t>
            </w:r>
          </w:p>
        </w:tc>
      </w:tr>
    </w:tbl>
    <w:p w14:paraId="3F8F7F1F" w14:textId="77777777" w:rsidR="00933962" w:rsidRDefault="00933962" w:rsidP="00933962"/>
    <w:p w14:paraId="22CDCB5E" w14:textId="2A001C0F" w:rsidR="00933962" w:rsidRDefault="00933962" w:rsidP="00933962">
      <w:r w:rsidRPr="00933962">
        <w:rPr>
          <w:b/>
          <w:bCs/>
        </w:rPr>
        <w:t>Interpretation:</w:t>
      </w:r>
      <w:r>
        <w:t xml:space="preserve"> </w:t>
      </w:r>
      <w:r w:rsidRPr="00933962">
        <w:t>The Gearing Ratio increased from 0.19 in 2023 to 0.22 in 2024, reflecting a rise in the company's financial leverage. This suggests that the company is becoming more reliant on debt to fund its activities</w:t>
      </w:r>
      <w:r>
        <w:t>.</w:t>
      </w:r>
    </w:p>
    <w:p w14:paraId="2C60C075" w14:textId="77777777" w:rsidR="00185C77" w:rsidRDefault="00185C77" w:rsidP="00933962"/>
    <w:p w14:paraId="7A867CBF" w14:textId="77777777" w:rsidR="00185C77" w:rsidRDefault="00185C77" w:rsidP="00933962"/>
    <w:p w14:paraId="16CCB42C" w14:textId="77777777" w:rsidR="00D579B9" w:rsidRPr="00D579B9" w:rsidRDefault="00D579B9" w:rsidP="00D579B9">
      <w:pPr>
        <w:rPr>
          <w:lang w:val="en-IN"/>
        </w:rPr>
      </w:pPr>
      <w:r w:rsidRPr="00D579B9">
        <w:rPr>
          <w:b/>
          <w:bCs/>
          <w:lang w:val="en-IN"/>
        </w:rPr>
        <w:lastRenderedPageBreak/>
        <w:t>Gearing Ratio Increase:</w:t>
      </w:r>
    </w:p>
    <w:p w14:paraId="4628B049" w14:textId="481F56C5" w:rsidR="00D579B9" w:rsidRPr="00D579B9" w:rsidRDefault="00D579B9" w:rsidP="00D579B9">
      <w:pPr>
        <w:numPr>
          <w:ilvl w:val="0"/>
          <w:numId w:val="11"/>
        </w:numPr>
        <w:rPr>
          <w:lang w:val="en-IN"/>
        </w:rPr>
      </w:pPr>
      <w:r w:rsidRPr="00D579B9">
        <w:rPr>
          <w:b/>
          <w:bCs/>
          <w:lang w:val="en-IN"/>
        </w:rPr>
        <w:t>Higher Debt Levels</w:t>
      </w:r>
      <w:r w:rsidRPr="00D579B9">
        <w:rPr>
          <w:lang w:val="en-IN"/>
        </w:rPr>
        <w:t>: The company could have raised more debt, which caused the gearing ratio to increase</w:t>
      </w:r>
      <w:r w:rsidR="000859E1" w:rsidRPr="000859E1">
        <w:t xml:space="preserve"> </w:t>
      </w:r>
      <w:r w:rsidR="000859E1" w:rsidRPr="000859E1">
        <w:rPr>
          <w:lang w:val="en-IN"/>
        </w:rPr>
        <w:t>(Allianz, 2024)</w:t>
      </w:r>
      <w:r w:rsidRPr="00D579B9">
        <w:rPr>
          <w:lang w:val="en-IN"/>
        </w:rPr>
        <w:t>.</w:t>
      </w:r>
    </w:p>
    <w:p w14:paraId="05EDC2D7" w14:textId="1420311D" w:rsidR="00CD1339" w:rsidRPr="00CD1339" w:rsidRDefault="00D579B9" w:rsidP="00CD1339">
      <w:pPr>
        <w:numPr>
          <w:ilvl w:val="0"/>
          <w:numId w:val="11"/>
        </w:numPr>
        <w:rPr>
          <w:lang w:val="en-IN"/>
        </w:rPr>
      </w:pPr>
      <w:r w:rsidRPr="00D579B9">
        <w:rPr>
          <w:b/>
          <w:bCs/>
          <w:lang w:val="en-IN"/>
        </w:rPr>
        <w:t>Lower Equity Growth</w:t>
      </w:r>
      <w:r w:rsidRPr="00D579B9">
        <w:rPr>
          <w:lang w:val="en-IN"/>
        </w:rPr>
        <w:t>: If equity growth was slower than debt growth, the ratio would rise, increasing financial risk</w:t>
      </w:r>
      <w:r w:rsidR="000859E1" w:rsidRPr="000859E1">
        <w:t xml:space="preserve"> </w:t>
      </w:r>
      <w:r w:rsidR="000859E1" w:rsidRPr="000859E1">
        <w:rPr>
          <w:lang w:val="en-IN"/>
        </w:rPr>
        <w:t>(Allianz, 2024)</w:t>
      </w:r>
      <w:r w:rsidRPr="00D579B9">
        <w:rPr>
          <w:lang w:val="en-IN"/>
        </w:rPr>
        <w:t>.</w:t>
      </w:r>
    </w:p>
    <w:p w14:paraId="1E42EE1F" w14:textId="077B07A5" w:rsidR="00933962" w:rsidRPr="00CD1339" w:rsidRDefault="00933962" w:rsidP="00933962">
      <w:pPr>
        <w:pStyle w:val="ListParagraph"/>
        <w:numPr>
          <w:ilvl w:val="0"/>
          <w:numId w:val="1"/>
        </w:numPr>
        <w:rPr>
          <w:b/>
          <w:bCs/>
        </w:rPr>
      </w:pPr>
      <w:r w:rsidRPr="00933962">
        <w:rPr>
          <w:b/>
          <w:bCs/>
        </w:rPr>
        <w:t xml:space="preserve">Efficiency Ratio: </w:t>
      </w:r>
      <w:r w:rsidRPr="00933962">
        <w:t>Efficiency ratios show how well a company uses its assets and resources to generate revenue</w:t>
      </w:r>
      <w:r w:rsidR="00CD1339" w:rsidRPr="00CD1339">
        <w:t xml:space="preserve"> (CFI, 2022)</w:t>
      </w:r>
      <w:r w:rsidRPr="00933962">
        <w:t>. These ratios help assess how effectively the company manages inventory, receivables, payables, and fixed assets.</w:t>
      </w:r>
    </w:p>
    <w:p w14:paraId="2A1C2750" w14:textId="52A58005" w:rsidR="00933962" w:rsidRDefault="00482C19" w:rsidP="00CD1339">
      <w:pPr>
        <w:jc w:val="center"/>
        <w:rPr>
          <w:b/>
          <w:bCs/>
        </w:rPr>
      </w:pPr>
      <w:r w:rsidRPr="00482C19">
        <w:rPr>
          <w:b/>
          <w:bCs/>
        </w:rPr>
        <w:t>Inventory Turnover</w:t>
      </w:r>
    </w:p>
    <w:p w14:paraId="19020610" w14:textId="59D5C05D" w:rsidR="00482C19" w:rsidRPr="00933962" w:rsidRDefault="00482C19" w:rsidP="00482C19">
      <w:r>
        <w:t>It measures the average number of days inventory is held before being sold.</w:t>
      </w:r>
    </w:p>
    <w:p w14:paraId="1B89A412" w14:textId="575E945E" w:rsidR="00482C19" w:rsidRDefault="00482C19" w:rsidP="00482C19">
      <w:pPr>
        <w:rPr>
          <w:rFonts w:eastAsiaTheme="minorEastAsia"/>
        </w:rPr>
      </w:pPr>
      <w:r w:rsidRPr="00482C19">
        <w:t xml:space="preserve">Inventory Turnover </w:t>
      </w:r>
      <w:r>
        <w:t>=</w:t>
      </w:r>
      <m:oMath>
        <m:f>
          <m:fPr>
            <m:ctrlPr>
              <w:rPr>
                <w:rFonts w:ascii="Cambria Math" w:hAnsi="Cambria Math"/>
                <w:i/>
              </w:rPr>
            </m:ctrlPr>
          </m:fPr>
          <m:num>
            <m:r>
              <w:rPr>
                <w:rFonts w:ascii="Cambria Math" w:hAnsi="Cambria Math"/>
              </w:rPr>
              <m:t>Cost of Goods Sold</m:t>
            </m:r>
          </m:num>
          <m:den>
            <m:r>
              <w:rPr>
                <w:rFonts w:ascii="Cambria Math" w:hAnsi="Cambria Math"/>
              </w:rPr>
              <m:t>Inventory</m:t>
            </m:r>
          </m:den>
        </m:f>
      </m:oMath>
    </w:p>
    <w:tbl>
      <w:tblPr>
        <w:tblStyle w:val="GridTable4-Accent4"/>
        <w:tblW w:w="9483" w:type="dxa"/>
        <w:tblLook w:val="04A0" w:firstRow="1" w:lastRow="0" w:firstColumn="1" w:lastColumn="0" w:noHBand="0" w:noVBand="1"/>
      </w:tblPr>
      <w:tblGrid>
        <w:gridCol w:w="3023"/>
        <w:gridCol w:w="2926"/>
        <w:gridCol w:w="3534"/>
      </w:tblGrid>
      <w:tr w:rsidR="00482C19" w14:paraId="00619EBC" w14:textId="77777777" w:rsidTr="000859E1">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7C04A959" w14:textId="77777777" w:rsidR="00482C19" w:rsidRDefault="00482C19" w:rsidP="00B27B95">
            <w:pPr>
              <w:rPr>
                <w:rFonts w:eastAsiaTheme="minorEastAsia"/>
              </w:rPr>
            </w:pPr>
            <w:r>
              <w:rPr>
                <w:rFonts w:eastAsiaTheme="minorEastAsia"/>
              </w:rPr>
              <w:t xml:space="preserve">Particulars </w:t>
            </w:r>
          </w:p>
        </w:tc>
        <w:tc>
          <w:tcPr>
            <w:tcW w:w="2926" w:type="dxa"/>
          </w:tcPr>
          <w:p w14:paraId="59E1BB29" w14:textId="77777777" w:rsidR="00482C19" w:rsidRDefault="00482C19"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2024</w:t>
            </w:r>
          </w:p>
        </w:tc>
        <w:tc>
          <w:tcPr>
            <w:tcW w:w="3534" w:type="dxa"/>
          </w:tcPr>
          <w:p w14:paraId="43D5E93D" w14:textId="77777777" w:rsidR="00482C19" w:rsidRDefault="00482C19"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2023</w:t>
            </w:r>
          </w:p>
        </w:tc>
      </w:tr>
      <w:tr w:rsidR="00482C19" w14:paraId="4B7E6158" w14:textId="77777777" w:rsidTr="000859E1">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763B7D29" w14:textId="4FA9E351" w:rsidR="00482C19" w:rsidRDefault="00482C19" w:rsidP="00482C19">
            <w:pPr>
              <w:jc w:val="center"/>
              <w:rPr>
                <w:b w:val="0"/>
                <w:bCs w:val="0"/>
              </w:rPr>
            </w:pPr>
            <w:r w:rsidRPr="00482C19">
              <w:t xml:space="preserve">Inventory Turnover </w:t>
            </w:r>
          </w:p>
          <w:p w14:paraId="4726F41B" w14:textId="77777777" w:rsidR="00482C19" w:rsidRDefault="00482C19" w:rsidP="00B27B95">
            <w:pPr>
              <w:rPr>
                <w:rFonts w:eastAsiaTheme="minorEastAsia"/>
              </w:rPr>
            </w:pPr>
          </w:p>
        </w:tc>
        <w:tc>
          <w:tcPr>
            <w:tcW w:w="2926" w:type="dxa"/>
          </w:tcPr>
          <w:p w14:paraId="3C6F9D6E" w14:textId="4D795B4B" w:rsidR="00482C19"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2959.9- 561.1</m:t>
                  </m:r>
                </m:num>
                <m:den>
                  <m:r>
                    <w:rPr>
                      <w:rFonts w:ascii="Cambria Math" w:hAnsi="Cambria Math"/>
                    </w:rPr>
                    <m:t xml:space="preserve"> 21.2</m:t>
                  </m:r>
                </m:den>
              </m:f>
            </m:oMath>
            <w:r w:rsidR="00482C19">
              <w:rPr>
                <w:rFonts w:eastAsiaTheme="minorEastAsia"/>
              </w:rPr>
              <w:t xml:space="preserve"> = 113.151</w:t>
            </w:r>
          </w:p>
        </w:tc>
        <w:tc>
          <w:tcPr>
            <w:tcW w:w="3534" w:type="dxa"/>
          </w:tcPr>
          <w:p w14:paraId="20F754D6" w14:textId="66302918" w:rsidR="00482C19"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2625.2-413.4</m:t>
                  </m:r>
                </m:num>
                <m:den>
                  <m:r>
                    <w:rPr>
                      <w:rFonts w:ascii="Cambria Math" w:hAnsi="Cambria Math"/>
                    </w:rPr>
                    <m:t>21.7</m:t>
                  </m:r>
                </m:den>
              </m:f>
            </m:oMath>
            <w:r w:rsidR="00482C19">
              <w:rPr>
                <w:rFonts w:eastAsiaTheme="minorEastAsia"/>
              </w:rPr>
              <w:t xml:space="preserve"> = 101.926</w:t>
            </w:r>
          </w:p>
        </w:tc>
      </w:tr>
    </w:tbl>
    <w:p w14:paraId="08F383FF" w14:textId="77777777" w:rsidR="00482C19" w:rsidRDefault="00482C19" w:rsidP="00482C19"/>
    <w:p w14:paraId="5ACE8B87" w14:textId="142F1DEC" w:rsidR="00482C19" w:rsidRDefault="00482C19" w:rsidP="00482C19">
      <w:r w:rsidRPr="00482C19">
        <w:rPr>
          <w:b/>
          <w:bCs/>
        </w:rPr>
        <w:t xml:space="preserve">Interpretation: </w:t>
      </w:r>
      <w:r w:rsidRPr="00482C19">
        <w:t>The increase in Inventory Turnover Days from 101.93 days in 2023 to 113.15 days in 2024 suggests that it is taking the company longer to sell its inventory in 2024.</w:t>
      </w:r>
    </w:p>
    <w:p w14:paraId="4410BA6B" w14:textId="77777777" w:rsidR="00982688" w:rsidRPr="00982688" w:rsidRDefault="00982688" w:rsidP="00982688">
      <w:pPr>
        <w:rPr>
          <w:lang w:val="en-IN"/>
        </w:rPr>
      </w:pPr>
      <w:r w:rsidRPr="00982688">
        <w:rPr>
          <w:b/>
          <w:bCs/>
          <w:lang w:val="en-IN"/>
        </w:rPr>
        <w:t>Inventory Turnover Days Increase:</w:t>
      </w:r>
    </w:p>
    <w:p w14:paraId="50CC771B" w14:textId="735DA9F8" w:rsidR="00982688" w:rsidRPr="00982688" w:rsidRDefault="00982688" w:rsidP="00982688">
      <w:pPr>
        <w:numPr>
          <w:ilvl w:val="0"/>
          <w:numId w:val="6"/>
        </w:numPr>
        <w:rPr>
          <w:lang w:val="en-IN"/>
        </w:rPr>
      </w:pPr>
      <w:r w:rsidRPr="00982688">
        <w:rPr>
          <w:b/>
          <w:bCs/>
          <w:lang w:val="en-IN"/>
        </w:rPr>
        <w:t>Slower Sales or Demand</w:t>
      </w:r>
      <w:r w:rsidRPr="00982688">
        <w:rPr>
          <w:lang w:val="en-IN"/>
        </w:rPr>
        <w:t>: Reduced demand leading to longer inventory holding periods</w:t>
      </w:r>
      <w:r w:rsidR="000859E1" w:rsidRPr="000859E1">
        <w:t xml:space="preserve"> </w:t>
      </w:r>
      <w:r w:rsidR="000859E1" w:rsidRPr="000859E1">
        <w:rPr>
          <w:lang w:val="en-IN"/>
        </w:rPr>
        <w:t>(Melanie, 2018)</w:t>
      </w:r>
      <w:r w:rsidRPr="00982688">
        <w:rPr>
          <w:lang w:val="en-IN"/>
        </w:rPr>
        <w:t>.</w:t>
      </w:r>
    </w:p>
    <w:p w14:paraId="3DFC1953" w14:textId="67E207C6" w:rsidR="00982688" w:rsidRPr="000859E1" w:rsidRDefault="00982688" w:rsidP="00482C19">
      <w:pPr>
        <w:numPr>
          <w:ilvl w:val="0"/>
          <w:numId w:val="6"/>
        </w:numPr>
        <w:rPr>
          <w:lang w:val="en-IN"/>
        </w:rPr>
      </w:pPr>
      <w:r w:rsidRPr="00982688">
        <w:rPr>
          <w:b/>
          <w:bCs/>
          <w:lang w:val="en-IN"/>
        </w:rPr>
        <w:t>Overproduction or Overstocking</w:t>
      </w:r>
      <w:r w:rsidRPr="00982688">
        <w:rPr>
          <w:lang w:val="en-IN"/>
        </w:rPr>
        <w:t>: Producing or purchasing more inventory than needed, causing delays in sales.</w:t>
      </w:r>
    </w:p>
    <w:p w14:paraId="64C800A5" w14:textId="2A3CBA92" w:rsidR="00482C19" w:rsidRDefault="00482C19" w:rsidP="00482C19">
      <w:pPr>
        <w:jc w:val="center"/>
        <w:rPr>
          <w:b/>
          <w:bCs/>
        </w:rPr>
      </w:pPr>
      <w:r w:rsidRPr="00482C19">
        <w:rPr>
          <w:b/>
          <w:bCs/>
        </w:rPr>
        <w:t>Receivables Turnover (Days)</w:t>
      </w:r>
    </w:p>
    <w:p w14:paraId="25623400" w14:textId="6B854C5B" w:rsidR="00CD1339" w:rsidRDefault="00CD1339" w:rsidP="00CD1339">
      <w:r w:rsidRPr="00CD1339">
        <w:t>The accounts receivables turnover ratio measures how efficiently a company collects payment from its customers</w:t>
      </w:r>
      <w:r w:rsidR="005C5EB8" w:rsidRPr="005C5EB8">
        <w:t xml:space="preserve"> (CFI Team, 2025)</w:t>
      </w:r>
      <w:r w:rsidRPr="00CD1339">
        <w:t>.</w:t>
      </w:r>
    </w:p>
    <w:p w14:paraId="6E716749" w14:textId="4E9C53EC" w:rsidR="00482C19" w:rsidRPr="00482C19" w:rsidRDefault="00482C19" w:rsidP="00482C19">
      <w:r w:rsidRPr="00482C19">
        <w:t>Receivables Turnover (Days)=</w:t>
      </w:r>
      <m:oMath>
        <m:f>
          <m:fPr>
            <m:ctrlPr>
              <w:rPr>
                <w:rFonts w:ascii="Cambria Math" w:hAnsi="Cambria Math"/>
                <w:i/>
              </w:rPr>
            </m:ctrlPr>
          </m:fPr>
          <m:num>
            <m:r>
              <w:rPr>
                <w:rFonts w:ascii="Cambria Math" w:hAnsi="Cambria Math"/>
              </w:rPr>
              <m:t>Trade and Other Receivables</m:t>
            </m:r>
          </m:num>
          <m:den>
            <m:r>
              <w:rPr>
                <w:rFonts w:ascii="Cambria Math" w:hAnsi="Cambria Math"/>
              </w:rPr>
              <m:t>Revene</m:t>
            </m:r>
          </m:den>
        </m:f>
      </m:oMath>
      <w:r>
        <w:rPr>
          <w:rFonts w:eastAsiaTheme="minorEastAsia"/>
        </w:rPr>
        <w:t>*365</w:t>
      </w:r>
    </w:p>
    <w:tbl>
      <w:tblPr>
        <w:tblStyle w:val="GridTable4-Accent4"/>
        <w:tblW w:w="9483" w:type="dxa"/>
        <w:tblLook w:val="04A0" w:firstRow="1" w:lastRow="0" w:firstColumn="1" w:lastColumn="0" w:noHBand="0" w:noVBand="1"/>
      </w:tblPr>
      <w:tblGrid>
        <w:gridCol w:w="3023"/>
        <w:gridCol w:w="2926"/>
        <w:gridCol w:w="3534"/>
      </w:tblGrid>
      <w:tr w:rsidR="00482C19" w14:paraId="2C09EC9A" w14:textId="77777777" w:rsidTr="000859E1">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4E69A978" w14:textId="77777777" w:rsidR="00482C19" w:rsidRDefault="00482C19" w:rsidP="00B27B95">
            <w:pPr>
              <w:rPr>
                <w:rFonts w:eastAsiaTheme="minorEastAsia"/>
              </w:rPr>
            </w:pPr>
            <w:r>
              <w:rPr>
                <w:rFonts w:eastAsiaTheme="minorEastAsia"/>
              </w:rPr>
              <w:lastRenderedPageBreak/>
              <w:t xml:space="preserve">Particulars </w:t>
            </w:r>
          </w:p>
        </w:tc>
        <w:tc>
          <w:tcPr>
            <w:tcW w:w="2926" w:type="dxa"/>
          </w:tcPr>
          <w:p w14:paraId="46974DEA" w14:textId="77777777" w:rsidR="00482C19" w:rsidRDefault="00482C19"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2024</w:t>
            </w:r>
          </w:p>
        </w:tc>
        <w:tc>
          <w:tcPr>
            <w:tcW w:w="3534" w:type="dxa"/>
          </w:tcPr>
          <w:p w14:paraId="3594E45F" w14:textId="77777777" w:rsidR="00482C19" w:rsidRDefault="00482C19"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2023</w:t>
            </w:r>
          </w:p>
        </w:tc>
      </w:tr>
      <w:tr w:rsidR="00482C19" w14:paraId="09CBD986" w14:textId="77777777" w:rsidTr="000859E1">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50E6AE05" w14:textId="77777777" w:rsidR="00482C19" w:rsidRDefault="00482C19" w:rsidP="00482C19">
            <w:pPr>
              <w:jc w:val="center"/>
              <w:rPr>
                <w:b w:val="0"/>
                <w:bCs w:val="0"/>
              </w:rPr>
            </w:pPr>
            <w:r w:rsidRPr="00482C19">
              <w:t>Receivables Turnover (Days)</w:t>
            </w:r>
          </w:p>
          <w:p w14:paraId="43086842" w14:textId="77777777" w:rsidR="00482C19" w:rsidRDefault="00482C19" w:rsidP="00B27B95">
            <w:pPr>
              <w:rPr>
                <w:rFonts w:eastAsiaTheme="minorEastAsia"/>
              </w:rPr>
            </w:pPr>
          </w:p>
        </w:tc>
        <w:tc>
          <w:tcPr>
            <w:tcW w:w="2926" w:type="dxa"/>
          </w:tcPr>
          <w:p w14:paraId="34948571" w14:textId="36083FF4" w:rsidR="00482C19"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119.3</m:t>
                  </m:r>
                </m:num>
                <m:den>
                  <m:r>
                    <w:rPr>
                      <w:rFonts w:ascii="Cambria Math" w:hAnsi="Cambria Math"/>
                    </w:rPr>
                    <m:t xml:space="preserve"> 2959.9</m:t>
                  </m:r>
                </m:den>
              </m:f>
              <m:r>
                <w:rPr>
                  <w:rFonts w:ascii="Cambria Math" w:hAnsi="Cambria Math"/>
                </w:rPr>
                <m:t>*365</m:t>
              </m:r>
            </m:oMath>
            <w:r w:rsidR="00482C19">
              <w:rPr>
                <w:rFonts w:eastAsiaTheme="minorEastAsia"/>
              </w:rPr>
              <w:t xml:space="preserve"> = 15 days</w:t>
            </w:r>
          </w:p>
        </w:tc>
        <w:tc>
          <w:tcPr>
            <w:tcW w:w="3534" w:type="dxa"/>
          </w:tcPr>
          <w:p w14:paraId="40D0153F" w14:textId="4AB31442" w:rsidR="00482C19"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141.8</m:t>
                  </m:r>
                </m:num>
                <m:den>
                  <m:r>
                    <w:rPr>
                      <w:rFonts w:ascii="Cambria Math" w:hAnsi="Cambria Math"/>
                    </w:rPr>
                    <m:t>2625.2</m:t>
                  </m:r>
                </m:den>
              </m:f>
            </m:oMath>
            <w:r w:rsidR="00482C19">
              <w:rPr>
                <w:rFonts w:eastAsiaTheme="minorEastAsia"/>
              </w:rPr>
              <w:t xml:space="preserve"> * 365= 20 days</w:t>
            </w:r>
          </w:p>
        </w:tc>
      </w:tr>
    </w:tbl>
    <w:p w14:paraId="1928798B" w14:textId="77777777" w:rsidR="00482C19" w:rsidRPr="00482C19" w:rsidRDefault="00482C19" w:rsidP="00482C19">
      <w:pPr>
        <w:jc w:val="center"/>
        <w:rPr>
          <w:b/>
          <w:bCs/>
        </w:rPr>
      </w:pPr>
    </w:p>
    <w:p w14:paraId="4145AE53" w14:textId="1FE38D6D" w:rsidR="00933962" w:rsidRDefault="00482C19" w:rsidP="00933962">
      <w:r w:rsidRPr="00482C19">
        <w:rPr>
          <w:b/>
          <w:bCs/>
        </w:rPr>
        <w:t xml:space="preserve">Interpretation: </w:t>
      </w:r>
      <w:r w:rsidR="0065315F" w:rsidRPr="0065315F">
        <w:t>The decrease in Receivables Turnover Days from</w:t>
      </w:r>
      <w:r w:rsidR="0065315F">
        <w:t xml:space="preserve"> 20</w:t>
      </w:r>
      <w:r w:rsidR="0065315F" w:rsidRPr="0065315F">
        <w:t xml:space="preserve"> days in 2023 to </w:t>
      </w:r>
      <w:r w:rsidR="0065315F">
        <w:t>15</w:t>
      </w:r>
      <w:r w:rsidR="0065315F" w:rsidRPr="0065315F">
        <w:t xml:space="preserve"> days in 2024 shows that Whitbread has been able to collect its receivables more quickly in 2024.</w:t>
      </w:r>
    </w:p>
    <w:p w14:paraId="5AA13D62" w14:textId="77777777" w:rsidR="00982688" w:rsidRPr="00982688" w:rsidRDefault="00982688" w:rsidP="00982688">
      <w:pPr>
        <w:rPr>
          <w:lang w:val="en-IN"/>
        </w:rPr>
      </w:pPr>
      <w:r w:rsidRPr="00982688">
        <w:rPr>
          <w:b/>
          <w:bCs/>
          <w:lang w:val="en-IN"/>
        </w:rPr>
        <w:t>Receivables Turnover Days Decrease:</w:t>
      </w:r>
    </w:p>
    <w:p w14:paraId="76BCB12A" w14:textId="5002DEBA" w:rsidR="00982688" w:rsidRPr="00982688" w:rsidRDefault="00982688" w:rsidP="00982688">
      <w:pPr>
        <w:numPr>
          <w:ilvl w:val="0"/>
          <w:numId w:val="7"/>
        </w:numPr>
        <w:rPr>
          <w:lang w:val="en-IN"/>
        </w:rPr>
      </w:pPr>
      <w:r w:rsidRPr="00982688">
        <w:rPr>
          <w:b/>
          <w:bCs/>
          <w:lang w:val="en-IN"/>
        </w:rPr>
        <w:t>Improved Collection Efficiency</w:t>
      </w:r>
      <w:r w:rsidRPr="00982688">
        <w:rPr>
          <w:lang w:val="en-IN"/>
        </w:rPr>
        <w:t>: Better credit control or invoicing practices resulting in quicker payments</w:t>
      </w:r>
      <w:r w:rsidR="000859E1" w:rsidRPr="000859E1">
        <w:t xml:space="preserve"> </w:t>
      </w:r>
      <w:r w:rsidR="000859E1" w:rsidRPr="000859E1">
        <w:rPr>
          <w:lang w:val="en-IN"/>
        </w:rPr>
        <w:t>(Hanley, 2025)</w:t>
      </w:r>
      <w:r w:rsidRPr="00982688">
        <w:rPr>
          <w:lang w:val="en-IN"/>
        </w:rPr>
        <w:t>.</w:t>
      </w:r>
    </w:p>
    <w:p w14:paraId="24146BA4" w14:textId="79CBDEC3" w:rsidR="00982688" w:rsidRPr="00982688" w:rsidRDefault="00982688" w:rsidP="00933962">
      <w:pPr>
        <w:numPr>
          <w:ilvl w:val="0"/>
          <w:numId w:val="7"/>
        </w:numPr>
        <w:rPr>
          <w:lang w:val="en-IN"/>
        </w:rPr>
      </w:pPr>
      <w:r w:rsidRPr="00982688">
        <w:rPr>
          <w:b/>
          <w:bCs/>
          <w:lang w:val="en-IN"/>
        </w:rPr>
        <w:t>Changes in Customer Payment Terms</w:t>
      </w:r>
      <w:r w:rsidRPr="00982688">
        <w:rPr>
          <w:lang w:val="en-IN"/>
        </w:rPr>
        <w:t>: Shortened payment periods or discounts for early payments encouraging faster collection</w:t>
      </w:r>
      <w:r w:rsidR="000859E1" w:rsidRPr="000859E1">
        <w:t xml:space="preserve"> </w:t>
      </w:r>
      <w:r w:rsidR="000859E1" w:rsidRPr="000859E1">
        <w:rPr>
          <w:lang w:val="en-IN"/>
        </w:rPr>
        <w:t>(Hanley, 2025)</w:t>
      </w:r>
      <w:r w:rsidRPr="00982688">
        <w:rPr>
          <w:lang w:val="en-IN"/>
        </w:rPr>
        <w:t>.</w:t>
      </w:r>
    </w:p>
    <w:p w14:paraId="04BC6AA4" w14:textId="37B10EC9" w:rsidR="0065315F" w:rsidRDefault="0065315F" w:rsidP="0065315F">
      <w:pPr>
        <w:jc w:val="center"/>
        <w:rPr>
          <w:b/>
          <w:bCs/>
        </w:rPr>
      </w:pPr>
      <w:r w:rsidRPr="0065315F">
        <w:rPr>
          <w:b/>
          <w:bCs/>
        </w:rPr>
        <w:t>Payables Turnover (Days)</w:t>
      </w:r>
    </w:p>
    <w:p w14:paraId="3B1F802F" w14:textId="5C0D0398" w:rsidR="0065315F" w:rsidRDefault="0065315F" w:rsidP="0065315F">
      <w:r w:rsidRPr="0065315F">
        <w:t>The Payables Turnover ratio measures the average time it takes for a company to pay its suppliers</w:t>
      </w:r>
      <w:r w:rsidR="00CD1339" w:rsidRPr="00CD1339">
        <w:t xml:space="preserve"> (CFI, 2022)</w:t>
      </w:r>
      <w:r w:rsidRPr="0065315F">
        <w:t xml:space="preserve">. </w:t>
      </w:r>
    </w:p>
    <w:p w14:paraId="2ACB8198" w14:textId="1B9D20A5" w:rsidR="0065315F" w:rsidRPr="00482C19" w:rsidRDefault="0065315F" w:rsidP="0065315F">
      <w:r w:rsidRPr="00482C19">
        <w:t>Receivables Turnover (Days)=</w:t>
      </w:r>
      <m:oMath>
        <m:f>
          <m:fPr>
            <m:ctrlPr>
              <w:rPr>
                <w:rFonts w:ascii="Cambria Math" w:hAnsi="Cambria Math"/>
                <w:i/>
              </w:rPr>
            </m:ctrlPr>
          </m:fPr>
          <m:num>
            <m:r>
              <w:rPr>
                <w:rFonts w:ascii="Cambria Math" w:hAnsi="Cambria Math"/>
              </w:rPr>
              <m:t>Trade and Other Payables</m:t>
            </m:r>
          </m:num>
          <m:den>
            <m:r>
              <w:rPr>
                <w:rFonts w:ascii="Cambria Math" w:hAnsi="Cambria Math"/>
              </w:rPr>
              <m:t>Cost of Goods Sold</m:t>
            </m:r>
          </m:den>
        </m:f>
      </m:oMath>
      <w:r>
        <w:rPr>
          <w:rFonts w:eastAsiaTheme="minorEastAsia"/>
        </w:rPr>
        <w:t>*365</w:t>
      </w:r>
    </w:p>
    <w:p w14:paraId="4DB81A08" w14:textId="77777777" w:rsidR="0065315F" w:rsidRDefault="0065315F" w:rsidP="0065315F"/>
    <w:tbl>
      <w:tblPr>
        <w:tblStyle w:val="GridTable4-Accent4"/>
        <w:tblW w:w="9483" w:type="dxa"/>
        <w:tblLook w:val="04A0" w:firstRow="1" w:lastRow="0" w:firstColumn="1" w:lastColumn="0" w:noHBand="0" w:noVBand="1"/>
      </w:tblPr>
      <w:tblGrid>
        <w:gridCol w:w="3023"/>
        <w:gridCol w:w="2926"/>
        <w:gridCol w:w="3534"/>
      </w:tblGrid>
      <w:tr w:rsidR="0065315F" w14:paraId="0F7579FB" w14:textId="77777777" w:rsidTr="000859E1">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046D08A5" w14:textId="77777777" w:rsidR="0065315F" w:rsidRDefault="0065315F" w:rsidP="00B27B95">
            <w:pPr>
              <w:rPr>
                <w:rFonts w:eastAsiaTheme="minorEastAsia"/>
              </w:rPr>
            </w:pPr>
            <w:r>
              <w:rPr>
                <w:rFonts w:eastAsiaTheme="minorEastAsia"/>
              </w:rPr>
              <w:t xml:space="preserve">Particulars </w:t>
            </w:r>
          </w:p>
        </w:tc>
        <w:tc>
          <w:tcPr>
            <w:tcW w:w="2926" w:type="dxa"/>
          </w:tcPr>
          <w:p w14:paraId="65F154AA" w14:textId="77777777" w:rsidR="0065315F" w:rsidRDefault="0065315F"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2024</w:t>
            </w:r>
          </w:p>
        </w:tc>
        <w:tc>
          <w:tcPr>
            <w:tcW w:w="3534" w:type="dxa"/>
          </w:tcPr>
          <w:p w14:paraId="7649FCD5" w14:textId="77777777" w:rsidR="0065315F" w:rsidRDefault="0065315F"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2023</w:t>
            </w:r>
          </w:p>
        </w:tc>
      </w:tr>
      <w:tr w:rsidR="0065315F" w14:paraId="209C4A53" w14:textId="77777777" w:rsidTr="000859E1">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28D55CBD" w14:textId="46D8F343" w:rsidR="0065315F" w:rsidRDefault="0065315F" w:rsidP="00B27B95">
            <w:pPr>
              <w:jc w:val="center"/>
              <w:rPr>
                <w:b w:val="0"/>
                <w:bCs w:val="0"/>
              </w:rPr>
            </w:pPr>
            <w:r w:rsidRPr="0065315F">
              <w:t>Payables</w:t>
            </w:r>
            <w:r w:rsidRPr="00482C19">
              <w:t xml:space="preserve"> Turnover (Days)</w:t>
            </w:r>
          </w:p>
          <w:p w14:paraId="1C538E3D" w14:textId="77777777" w:rsidR="0065315F" w:rsidRDefault="0065315F" w:rsidP="00B27B95">
            <w:pPr>
              <w:rPr>
                <w:rFonts w:eastAsiaTheme="minorEastAsia"/>
              </w:rPr>
            </w:pPr>
          </w:p>
        </w:tc>
        <w:tc>
          <w:tcPr>
            <w:tcW w:w="2926" w:type="dxa"/>
          </w:tcPr>
          <w:p w14:paraId="4C8469E4" w14:textId="1C3A5C81" w:rsidR="0065315F"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670.5</m:t>
                  </m:r>
                </m:num>
                <m:den>
                  <m:r>
                    <w:rPr>
                      <w:rFonts w:ascii="Cambria Math" w:hAnsi="Cambria Math"/>
                    </w:rPr>
                    <m:t xml:space="preserve"> 2398.8</m:t>
                  </m:r>
                </m:den>
              </m:f>
              <m:r>
                <w:rPr>
                  <w:rFonts w:ascii="Cambria Math" w:hAnsi="Cambria Math"/>
                </w:rPr>
                <m:t>*365</m:t>
              </m:r>
            </m:oMath>
            <w:r w:rsidR="0065315F">
              <w:rPr>
                <w:rFonts w:eastAsiaTheme="minorEastAsia"/>
              </w:rPr>
              <w:t xml:space="preserve"> = 102 days</w:t>
            </w:r>
          </w:p>
        </w:tc>
        <w:tc>
          <w:tcPr>
            <w:tcW w:w="3534" w:type="dxa"/>
          </w:tcPr>
          <w:p w14:paraId="0EDF1E5B" w14:textId="09B8E2A3" w:rsidR="0065315F"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676.7</m:t>
                  </m:r>
                </m:num>
                <m:den>
                  <m:r>
                    <w:rPr>
                      <w:rFonts w:ascii="Cambria Math" w:hAnsi="Cambria Math"/>
                    </w:rPr>
                    <m:t>2211.8</m:t>
                  </m:r>
                </m:den>
              </m:f>
            </m:oMath>
            <w:r w:rsidR="0065315F">
              <w:rPr>
                <w:rFonts w:eastAsiaTheme="minorEastAsia"/>
              </w:rPr>
              <w:t xml:space="preserve"> * 365= 112 days</w:t>
            </w:r>
          </w:p>
        </w:tc>
      </w:tr>
    </w:tbl>
    <w:p w14:paraId="6BFF2619" w14:textId="77777777" w:rsidR="0065315F" w:rsidRPr="0065315F" w:rsidRDefault="0065315F" w:rsidP="0065315F"/>
    <w:p w14:paraId="68850FBD" w14:textId="2048AC38" w:rsidR="00933962" w:rsidRDefault="0065315F" w:rsidP="00D04BAA">
      <w:r>
        <w:rPr>
          <w:b/>
          <w:bCs/>
        </w:rPr>
        <w:t xml:space="preserve">Interpretation: </w:t>
      </w:r>
      <w:r w:rsidRPr="0065315F">
        <w:t>The slight decrease in Payables Turnover Days from 0.31 days in 2023 to 0.28 days in 2024 indicates that Whitbread is paying its suppliers a little faster in 2024.</w:t>
      </w:r>
    </w:p>
    <w:p w14:paraId="1271CF9C" w14:textId="77777777" w:rsidR="00D579B9" w:rsidRPr="00D579B9" w:rsidRDefault="00D579B9" w:rsidP="00D579B9">
      <w:pPr>
        <w:rPr>
          <w:lang w:val="en-IN"/>
        </w:rPr>
      </w:pPr>
      <w:r w:rsidRPr="00D579B9">
        <w:rPr>
          <w:b/>
          <w:bCs/>
          <w:lang w:val="en-IN"/>
        </w:rPr>
        <w:t>Payables Turnover (Days) Decrease:</w:t>
      </w:r>
    </w:p>
    <w:p w14:paraId="33365130" w14:textId="35D700F3" w:rsidR="00D579B9" w:rsidRPr="00D579B9" w:rsidRDefault="00D579B9" w:rsidP="00D579B9">
      <w:pPr>
        <w:numPr>
          <w:ilvl w:val="0"/>
          <w:numId w:val="8"/>
        </w:numPr>
        <w:rPr>
          <w:lang w:val="en-IN"/>
        </w:rPr>
      </w:pPr>
      <w:r w:rsidRPr="00D579B9">
        <w:rPr>
          <w:b/>
          <w:bCs/>
          <w:lang w:val="en-IN"/>
        </w:rPr>
        <w:t>Improved Supplier Relations</w:t>
      </w:r>
      <w:r w:rsidRPr="00D579B9">
        <w:rPr>
          <w:lang w:val="en-IN"/>
        </w:rPr>
        <w:t>: Whitbread may be paying suppliers faster to secure better terms or discounts</w:t>
      </w:r>
      <w:r w:rsidR="000859E1" w:rsidRPr="000859E1">
        <w:t xml:space="preserve"> </w:t>
      </w:r>
      <w:r w:rsidR="000859E1" w:rsidRPr="000859E1">
        <w:rPr>
          <w:lang w:val="en-IN"/>
        </w:rPr>
        <w:t>(Madigan, 2022)</w:t>
      </w:r>
      <w:r w:rsidRPr="00D579B9">
        <w:rPr>
          <w:lang w:val="en-IN"/>
        </w:rPr>
        <w:t>.</w:t>
      </w:r>
    </w:p>
    <w:p w14:paraId="6D739431" w14:textId="635CC031" w:rsidR="00982688" w:rsidRPr="00D579B9" w:rsidRDefault="00D579B9" w:rsidP="00D04BAA">
      <w:pPr>
        <w:numPr>
          <w:ilvl w:val="0"/>
          <w:numId w:val="8"/>
        </w:numPr>
        <w:rPr>
          <w:lang w:val="en-IN"/>
        </w:rPr>
      </w:pPr>
      <w:r w:rsidRPr="00D579B9">
        <w:rPr>
          <w:b/>
          <w:bCs/>
          <w:lang w:val="en-IN"/>
        </w:rPr>
        <w:lastRenderedPageBreak/>
        <w:t>Better Cash Flow Management</w:t>
      </w:r>
      <w:r w:rsidRPr="00D579B9">
        <w:rPr>
          <w:lang w:val="en-IN"/>
        </w:rPr>
        <w:t>: The company might have improved its cash management, allowing it to pay off debts quicker.</w:t>
      </w:r>
    </w:p>
    <w:p w14:paraId="139526C8" w14:textId="48B54169" w:rsidR="0065315F" w:rsidRDefault="0065315F" w:rsidP="0065315F">
      <w:pPr>
        <w:jc w:val="center"/>
        <w:rPr>
          <w:b/>
          <w:bCs/>
        </w:rPr>
      </w:pPr>
      <w:r w:rsidRPr="0065315F">
        <w:rPr>
          <w:b/>
          <w:bCs/>
        </w:rPr>
        <w:t>Asset Turnover</w:t>
      </w:r>
    </w:p>
    <w:p w14:paraId="0835EC38" w14:textId="74DAB8FB" w:rsidR="0065315F" w:rsidRDefault="0065315F" w:rsidP="0065315F">
      <w:r w:rsidRPr="0065315F">
        <w:t>The Asset Turnover ratio measures how effectively the company is using its total assets to generate sales</w:t>
      </w:r>
      <w:r w:rsidR="000859E1" w:rsidRPr="000859E1">
        <w:t xml:space="preserve"> (Forage, 2023)</w:t>
      </w:r>
      <w:r w:rsidRPr="0065315F">
        <w:t>.</w:t>
      </w:r>
    </w:p>
    <w:p w14:paraId="7D14A669" w14:textId="15BFECD8" w:rsidR="0065315F" w:rsidRDefault="0065315F" w:rsidP="0065315F">
      <w:pPr>
        <w:rPr>
          <w:rFonts w:eastAsiaTheme="minorEastAsia"/>
        </w:rPr>
      </w:pPr>
      <w:r>
        <w:t>Asset</w:t>
      </w:r>
      <w:r w:rsidRPr="00482C19">
        <w:t xml:space="preserve"> Turnover =</w:t>
      </w:r>
      <m:oMath>
        <m:f>
          <m:fPr>
            <m:ctrlPr>
              <w:rPr>
                <w:rFonts w:ascii="Cambria Math" w:hAnsi="Cambria Math"/>
                <w:i/>
              </w:rPr>
            </m:ctrlPr>
          </m:fPr>
          <m:num>
            <m:r>
              <w:rPr>
                <w:rFonts w:ascii="Cambria Math" w:hAnsi="Cambria Math"/>
              </w:rPr>
              <m:t>Revenue</m:t>
            </m:r>
          </m:num>
          <m:den>
            <m:r>
              <w:rPr>
                <w:rFonts w:ascii="Cambria Math" w:hAnsi="Cambria Math"/>
              </w:rPr>
              <m:t>Total Assets</m:t>
            </m:r>
          </m:den>
        </m:f>
      </m:oMath>
    </w:p>
    <w:tbl>
      <w:tblPr>
        <w:tblStyle w:val="GridTable4-Accent4"/>
        <w:tblW w:w="9483" w:type="dxa"/>
        <w:tblLook w:val="04A0" w:firstRow="1" w:lastRow="0" w:firstColumn="1" w:lastColumn="0" w:noHBand="0" w:noVBand="1"/>
      </w:tblPr>
      <w:tblGrid>
        <w:gridCol w:w="3023"/>
        <w:gridCol w:w="2926"/>
        <w:gridCol w:w="3534"/>
      </w:tblGrid>
      <w:tr w:rsidR="0065315F" w14:paraId="41C21187" w14:textId="77777777" w:rsidTr="000859E1">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1C5F44A1" w14:textId="77777777" w:rsidR="0065315F" w:rsidRDefault="0065315F" w:rsidP="00B27B95">
            <w:pPr>
              <w:rPr>
                <w:rFonts w:eastAsiaTheme="minorEastAsia"/>
              </w:rPr>
            </w:pPr>
            <w:r>
              <w:rPr>
                <w:rFonts w:eastAsiaTheme="minorEastAsia"/>
              </w:rPr>
              <w:t xml:space="preserve">Particulars </w:t>
            </w:r>
          </w:p>
        </w:tc>
        <w:tc>
          <w:tcPr>
            <w:tcW w:w="2926" w:type="dxa"/>
          </w:tcPr>
          <w:p w14:paraId="0DD88A37" w14:textId="77777777" w:rsidR="0065315F" w:rsidRDefault="0065315F"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2024</w:t>
            </w:r>
          </w:p>
        </w:tc>
        <w:tc>
          <w:tcPr>
            <w:tcW w:w="3534" w:type="dxa"/>
          </w:tcPr>
          <w:p w14:paraId="473B1C86" w14:textId="77777777" w:rsidR="0065315F" w:rsidRDefault="0065315F"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2023</w:t>
            </w:r>
          </w:p>
        </w:tc>
      </w:tr>
      <w:tr w:rsidR="0065315F" w14:paraId="24FED15D" w14:textId="77777777" w:rsidTr="000859E1">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4D274182" w14:textId="6291B267" w:rsidR="0065315F" w:rsidRDefault="0065315F" w:rsidP="00B27B95">
            <w:pPr>
              <w:jc w:val="center"/>
              <w:rPr>
                <w:b w:val="0"/>
                <w:bCs w:val="0"/>
              </w:rPr>
            </w:pPr>
            <w:r>
              <w:t>Asset Turnover</w:t>
            </w:r>
          </w:p>
          <w:p w14:paraId="7608ED6B" w14:textId="77777777" w:rsidR="0065315F" w:rsidRDefault="0065315F" w:rsidP="00B27B95">
            <w:pPr>
              <w:rPr>
                <w:rFonts w:eastAsiaTheme="minorEastAsia"/>
              </w:rPr>
            </w:pPr>
          </w:p>
        </w:tc>
        <w:tc>
          <w:tcPr>
            <w:tcW w:w="2926" w:type="dxa"/>
          </w:tcPr>
          <w:p w14:paraId="4F890FDD" w14:textId="62C5EE74" w:rsidR="0065315F"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2959.9</m:t>
                  </m:r>
                </m:num>
                <m:den>
                  <m:r>
                    <w:rPr>
                      <w:rFonts w:ascii="Cambria Math" w:hAnsi="Cambria Math"/>
                    </w:rPr>
                    <m:t xml:space="preserve"> 9521</m:t>
                  </m:r>
                </m:den>
              </m:f>
            </m:oMath>
            <w:r w:rsidR="0065315F">
              <w:rPr>
                <w:rFonts w:eastAsiaTheme="minorEastAsia"/>
              </w:rPr>
              <w:t>= 0.31</w:t>
            </w:r>
          </w:p>
        </w:tc>
        <w:tc>
          <w:tcPr>
            <w:tcW w:w="3534" w:type="dxa"/>
          </w:tcPr>
          <w:p w14:paraId="58328400" w14:textId="437FE2B9" w:rsidR="0065315F"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2625.2</m:t>
                  </m:r>
                </m:num>
                <m:den>
                  <m:r>
                    <w:rPr>
                      <w:rFonts w:ascii="Cambria Math" w:hAnsi="Cambria Math"/>
                    </w:rPr>
                    <m:t>9942.8</m:t>
                  </m:r>
                </m:den>
              </m:f>
            </m:oMath>
            <w:r w:rsidR="0065315F">
              <w:rPr>
                <w:rFonts w:eastAsiaTheme="minorEastAsia"/>
              </w:rPr>
              <w:t xml:space="preserve"> = 0.26</w:t>
            </w:r>
          </w:p>
        </w:tc>
      </w:tr>
    </w:tbl>
    <w:p w14:paraId="08103FE7" w14:textId="77777777" w:rsidR="0065315F" w:rsidRPr="00482C19" w:rsidRDefault="0065315F" w:rsidP="0065315F"/>
    <w:p w14:paraId="31D20109" w14:textId="3D38A02D" w:rsidR="00D579B9" w:rsidRDefault="0065315F" w:rsidP="0065315F">
      <w:r w:rsidRPr="0065315F">
        <w:rPr>
          <w:b/>
          <w:bCs/>
        </w:rPr>
        <w:t xml:space="preserve">Interpretation: </w:t>
      </w:r>
      <w:r w:rsidRPr="0065315F">
        <w:t>The increase in Asset Turnover from 0.26 times in 2023 to 0.31 times in 2024 suggests that Whitbread is using its assets more efficiently to generate revenue.</w:t>
      </w:r>
    </w:p>
    <w:p w14:paraId="59C02634" w14:textId="7651B6EB" w:rsidR="0065315F" w:rsidRDefault="0065315F" w:rsidP="0065315F">
      <w:pPr>
        <w:jc w:val="center"/>
        <w:rPr>
          <w:b/>
          <w:bCs/>
        </w:rPr>
      </w:pPr>
      <w:r w:rsidRPr="0065315F">
        <w:rPr>
          <w:b/>
          <w:bCs/>
        </w:rPr>
        <w:t>Fixed Asset Turnover</w:t>
      </w:r>
    </w:p>
    <w:p w14:paraId="3FBCBB77" w14:textId="411001E6" w:rsidR="0065315F" w:rsidRPr="0065315F" w:rsidRDefault="0065315F" w:rsidP="0065315F">
      <w:r w:rsidRPr="0065315F">
        <w:t>The Fixed Asset Turnover ratio measures how effectively the company is using its fixed assets (like property, plant, and equipment) to generate sales</w:t>
      </w:r>
      <w:r w:rsidR="005C5EB8" w:rsidRPr="005C5EB8">
        <w:t xml:space="preserve"> (CFI Team, 2025)</w:t>
      </w:r>
      <w:r w:rsidRPr="0065315F">
        <w:t>.</w:t>
      </w:r>
    </w:p>
    <w:p w14:paraId="22F0FB73" w14:textId="069246CA" w:rsidR="0065315F" w:rsidRDefault="0065315F" w:rsidP="0065315F">
      <w:pPr>
        <w:rPr>
          <w:rFonts w:eastAsiaTheme="minorEastAsia"/>
        </w:rPr>
      </w:pPr>
      <w:r>
        <w:t>Fixed Asset</w:t>
      </w:r>
      <w:r w:rsidRPr="00482C19">
        <w:t xml:space="preserve"> Turnover =</w:t>
      </w:r>
      <m:oMath>
        <m:f>
          <m:fPr>
            <m:ctrlPr>
              <w:rPr>
                <w:rFonts w:ascii="Cambria Math" w:hAnsi="Cambria Math"/>
                <w:i/>
              </w:rPr>
            </m:ctrlPr>
          </m:fPr>
          <m:num>
            <m:r>
              <w:rPr>
                <w:rFonts w:ascii="Cambria Math" w:hAnsi="Cambria Math"/>
              </w:rPr>
              <m:t>Revenue</m:t>
            </m:r>
          </m:num>
          <m:den>
            <m:r>
              <w:rPr>
                <w:rFonts w:ascii="Cambria Math" w:hAnsi="Cambria Math"/>
              </w:rPr>
              <m:t>Total Non-current Assets</m:t>
            </m:r>
          </m:den>
        </m:f>
      </m:oMath>
    </w:p>
    <w:tbl>
      <w:tblPr>
        <w:tblStyle w:val="GridTable4-Accent4"/>
        <w:tblW w:w="9483" w:type="dxa"/>
        <w:tblLook w:val="04A0" w:firstRow="1" w:lastRow="0" w:firstColumn="1" w:lastColumn="0" w:noHBand="0" w:noVBand="1"/>
      </w:tblPr>
      <w:tblGrid>
        <w:gridCol w:w="3023"/>
        <w:gridCol w:w="2926"/>
        <w:gridCol w:w="3534"/>
      </w:tblGrid>
      <w:tr w:rsidR="0065315F" w14:paraId="14365149" w14:textId="77777777" w:rsidTr="000859E1">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0FD136AB" w14:textId="77777777" w:rsidR="0065315F" w:rsidRDefault="0065315F" w:rsidP="00B27B95">
            <w:pPr>
              <w:rPr>
                <w:rFonts w:eastAsiaTheme="minorEastAsia"/>
              </w:rPr>
            </w:pPr>
            <w:r>
              <w:rPr>
                <w:rFonts w:eastAsiaTheme="minorEastAsia"/>
              </w:rPr>
              <w:t xml:space="preserve">Particulars </w:t>
            </w:r>
          </w:p>
        </w:tc>
        <w:tc>
          <w:tcPr>
            <w:tcW w:w="2926" w:type="dxa"/>
          </w:tcPr>
          <w:p w14:paraId="682AEA8D" w14:textId="77777777" w:rsidR="0065315F" w:rsidRDefault="0065315F"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2024</w:t>
            </w:r>
          </w:p>
        </w:tc>
        <w:tc>
          <w:tcPr>
            <w:tcW w:w="3534" w:type="dxa"/>
          </w:tcPr>
          <w:p w14:paraId="51751869" w14:textId="77777777" w:rsidR="0065315F" w:rsidRDefault="0065315F"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2023</w:t>
            </w:r>
          </w:p>
        </w:tc>
      </w:tr>
      <w:tr w:rsidR="0065315F" w14:paraId="67352F7B" w14:textId="77777777" w:rsidTr="000859E1">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02D90888" w14:textId="07EC6F4B" w:rsidR="0065315F" w:rsidRDefault="0065315F" w:rsidP="00B27B95">
            <w:pPr>
              <w:jc w:val="center"/>
              <w:rPr>
                <w:b w:val="0"/>
                <w:bCs w:val="0"/>
              </w:rPr>
            </w:pPr>
            <w:r>
              <w:t>Fixed Asset Turnover</w:t>
            </w:r>
          </w:p>
          <w:p w14:paraId="5B2906EC" w14:textId="77777777" w:rsidR="0065315F" w:rsidRDefault="0065315F" w:rsidP="00B27B95">
            <w:pPr>
              <w:rPr>
                <w:rFonts w:eastAsiaTheme="minorEastAsia"/>
              </w:rPr>
            </w:pPr>
          </w:p>
        </w:tc>
        <w:tc>
          <w:tcPr>
            <w:tcW w:w="2926" w:type="dxa"/>
          </w:tcPr>
          <w:p w14:paraId="4FFB6A72" w14:textId="1261AC1D" w:rsidR="0065315F"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2959.9</m:t>
                  </m:r>
                </m:num>
                <m:den>
                  <m:r>
                    <w:rPr>
                      <w:rFonts w:ascii="Cambria Math" w:hAnsi="Cambria Math"/>
                    </w:rPr>
                    <m:t xml:space="preserve"> 8629.7</m:t>
                  </m:r>
                </m:den>
              </m:f>
            </m:oMath>
            <w:r w:rsidR="0065315F">
              <w:rPr>
                <w:rFonts w:eastAsiaTheme="minorEastAsia"/>
              </w:rPr>
              <w:t>= 0.34</w:t>
            </w:r>
          </w:p>
        </w:tc>
        <w:tc>
          <w:tcPr>
            <w:tcW w:w="3534" w:type="dxa"/>
          </w:tcPr>
          <w:p w14:paraId="7B2F78AB" w14:textId="05B85A85" w:rsidR="0065315F"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2625.2</m:t>
                  </m:r>
                </m:num>
                <m:den>
                  <m:r>
                    <w:rPr>
                      <w:rFonts w:ascii="Cambria Math" w:hAnsi="Cambria Math"/>
                    </w:rPr>
                    <m:t>8611.3</m:t>
                  </m:r>
                </m:den>
              </m:f>
            </m:oMath>
            <w:r w:rsidR="0065315F">
              <w:rPr>
                <w:rFonts w:eastAsiaTheme="minorEastAsia"/>
              </w:rPr>
              <w:t xml:space="preserve"> = 0.30</w:t>
            </w:r>
          </w:p>
        </w:tc>
      </w:tr>
    </w:tbl>
    <w:p w14:paraId="268CB903" w14:textId="77777777" w:rsidR="0065315F" w:rsidRDefault="0065315F" w:rsidP="0065315F"/>
    <w:p w14:paraId="0D1F18C8" w14:textId="083B3CB3" w:rsidR="0065315F" w:rsidRDefault="0065315F" w:rsidP="0065315F">
      <w:r w:rsidRPr="0065315F">
        <w:rPr>
          <w:b/>
          <w:bCs/>
        </w:rPr>
        <w:t xml:space="preserve">Interpretation: </w:t>
      </w:r>
      <w:r w:rsidRPr="0065315F">
        <w:t>The increase in Fixed Asset Turnover from 0.30 times in 2023 to 0.34 times in 2024 indicates that Whitbread is utilizing its fixed assets more effectively to generate revenue.</w:t>
      </w:r>
    </w:p>
    <w:p w14:paraId="0A2E26B3" w14:textId="77777777" w:rsidR="00D579B9" w:rsidRPr="00D579B9" w:rsidRDefault="00D579B9" w:rsidP="00D579B9">
      <w:pPr>
        <w:rPr>
          <w:lang w:val="en-IN"/>
        </w:rPr>
      </w:pPr>
      <w:r w:rsidRPr="00D579B9">
        <w:rPr>
          <w:b/>
          <w:bCs/>
          <w:lang w:val="en-IN"/>
        </w:rPr>
        <w:t>Asset Turnover and Fixed Asset Turnover Increase:</w:t>
      </w:r>
    </w:p>
    <w:p w14:paraId="278F47FE" w14:textId="35FF4190" w:rsidR="00D579B9" w:rsidRPr="00D579B9" w:rsidRDefault="00D579B9" w:rsidP="00D579B9">
      <w:pPr>
        <w:numPr>
          <w:ilvl w:val="0"/>
          <w:numId w:val="9"/>
        </w:numPr>
        <w:rPr>
          <w:lang w:val="en-IN"/>
        </w:rPr>
      </w:pPr>
      <w:r w:rsidRPr="00D579B9">
        <w:rPr>
          <w:b/>
          <w:bCs/>
          <w:lang w:val="en-IN"/>
        </w:rPr>
        <w:t>Better Use of Assets</w:t>
      </w:r>
      <w:r w:rsidRPr="00D579B9">
        <w:rPr>
          <w:lang w:val="en-IN"/>
        </w:rPr>
        <w:t>: Whitbread has become more efficient in using its assets to generate revenue</w:t>
      </w:r>
      <w:r w:rsidR="000859E1" w:rsidRPr="000859E1">
        <w:t xml:space="preserve"> </w:t>
      </w:r>
      <w:r w:rsidR="000859E1" w:rsidRPr="000859E1">
        <w:rPr>
          <w:lang w:val="en-IN"/>
        </w:rPr>
        <w:t>(Indeed Editorial Team, 2025)</w:t>
      </w:r>
      <w:r w:rsidRPr="00D579B9">
        <w:rPr>
          <w:lang w:val="en-IN"/>
        </w:rPr>
        <w:t>.</w:t>
      </w:r>
    </w:p>
    <w:p w14:paraId="167ADC17" w14:textId="4E4B3E4B" w:rsidR="00D579B9" w:rsidRPr="00D579B9" w:rsidRDefault="00D579B9" w:rsidP="0065315F">
      <w:pPr>
        <w:numPr>
          <w:ilvl w:val="0"/>
          <w:numId w:val="9"/>
        </w:numPr>
        <w:rPr>
          <w:lang w:val="en-IN"/>
        </w:rPr>
      </w:pPr>
      <w:r w:rsidRPr="00D579B9">
        <w:rPr>
          <w:b/>
          <w:bCs/>
          <w:lang w:val="en-IN"/>
        </w:rPr>
        <w:lastRenderedPageBreak/>
        <w:t>Investment in High-Return Assets</w:t>
      </w:r>
      <w:r w:rsidRPr="00D579B9">
        <w:rPr>
          <w:lang w:val="en-IN"/>
        </w:rPr>
        <w:t>: The company may have invested in more productive assets, boosting efficiency.</w:t>
      </w:r>
    </w:p>
    <w:p w14:paraId="4A318242" w14:textId="55C7CA87" w:rsidR="0065315F" w:rsidRPr="002B1971" w:rsidRDefault="0065315F" w:rsidP="0065315F">
      <w:pPr>
        <w:pStyle w:val="ListParagraph"/>
        <w:numPr>
          <w:ilvl w:val="0"/>
          <w:numId w:val="1"/>
        </w:numPr>
        <w:rPr>
          <w:b/>
          <w:bCs/>
        </w:rPr>
      </w:pPr>
      <w:r w:rsidRPr="0065315F">
        <w:rPr>
          <w:b/>
          <w:bCs/>
        </w:rPr>
        <w:t>Solvency Ratio</w:t>
      </w:r>
      <w:r>
        <w:rPr>
          <w:b/>
          <w:bCs/>
        </w:rPr>
        <w:t xml:space="preserve">: </w:t>
      </w:r>
      <w:r w:rsidR="002B1971" w:rsidRPr="002B1971">
        <w:t>Solvency Ratio is a financial ratio that measures a company’s ability to meet its long-term debt obligations</w:t>
      </w:r>
      <w:r w:rsidR="005C5EB8" w:rsidRPr="005C5EB8">
        <w:t xml:space="preserve"> (Hayes, 2024)</w:t>
      </w:r>
      <w:r w:rsidR="002B1971" w:rsidRPr="002B1971">
        <w:t>.</w:t>
      </w:r>
    </w:p>
    <w:p w14:paraId="5049895C" w14:textId="6EDC31B4" w:rsidR="002B1971" w:rsidRPr="002B1971" w:rsidRDefault="002B1971" w:rsidP="002B1971">
      <w:pPr>
        <w:jc w:val="center"/>
        <w:rPr>
          <w:b/>
          <w:bCs/>
        </w:rPr>
      </w:pPr>
      <w:r>
        <w:rPr>
          <w:b/>
          <w:bCs/>
        </w:rPr>
        <w:t>Interest Coverage Ratio</w:t>
      </w:r>
    </w:p>
    <w:p w14:paraId="53FCDC34" w14:textId="26A6FA03" w:rsidR="002B1971" w:rsidRDefault="002B1971" w:rsidP="002B1971">
      <w:r w:rsidRPr="002B1971">
        <w:t>The Interest Coverage Ratio measures a company's ability to meet its interest payments on debt with its operating income</w:t>
      </w:r>
      <w:r w:rsidR="000859E1" w:rsidRPr="000859E1">
        <w:t xml:space="preserve"> (Allianz Trade, 2024)</w:t>
      </w:r>
      <w:r w:rsidRPr="002B1971">
        <w:t>.</w:t>
      </w:r>
    </w:p>
    <w:p w14:paraId="72EB9962" w14:textId="4FE76361" w:rsidR="002B1971" w:rsidRDefault="002B1971" w:rsidP="002B1971">
      <w:pPr>
        <w:rPr>
          <w:rFonts w:eastAsiaTheme="minorEastAsia"/>
        </w:rPr>
      </w:pPr>
      <w:r w:rsidRPr="002B1971">
        <w:t xml:space="preserve">Interest Coverage Ratio </w:t>
      </w:r>
      <w:r w:rsidRPr="00482C19">
        <w:t>=</w:t>
      </w:r>
      <m:oMath>
        <m:f>
          <m:fPr>
            <m:ctrlPr>
              <w:rPr>
                <w:rFonts w:ascii="Cambria Math" w:hAnsi="Cambria Math"/>
                <w:i/>
              </w:rPr>
            </m:ctrlPr>
          </m:fPr>
          <m:num>
            <m:r>
              <w:rPr>
                <w:rFonts w:ascii="Cambria Math" w:hAnsi="Cambria Math"/>
              </w:rPr>
              <m:t>EBIT</m:t>
            </m:r>
          </m:num>
          <m:den>
            <m:r>
              <w:rPr>
                <w:rFonts w:ascii="Cambria Math" w:hAnsi="Cambria Math"/>
              </w:rPr>
              <m:t>Interest Expense</m:t>
            </m:r>
          </m:den>
        </m:f>
      </m:oMath>
    </w:p>
    <w:tbl>
      <w:tblPr>
        <w:tblStyle w:val="GridTable4-Accent4"/>
        <w:tblW w:w="9483" w:type="dxa"/>
        <w:tblLook w:val="04A0" w:firstRow="1" w:lastRow="0" w:firstColumn="1" w:lastColumn="0" w:noHBand="0" w:noVBand="1"/>
      </w:tblPr>
      <w:tblGrid>
        <w:gridCol w:w="3023"/>
        <w:gridCol w:w="2926"/>
        <w:gridCol w:w="3534"/>
      </w:tblGrid>
      <w:tr w:rsidR="002B1971" w14:paraId="047A22B5" w14:textId="77777777" w:rsidTr="000859E1">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01A69F6B" w14:textId="77777777" w:rsidR="002B1971" w:rsidRDefault="002B1971" w:rsidP="00B27B95">
            <w:pPr>
              <w:rPr>
                <w:rFonts w:eastAsiaTheme="minorEastAsia"/>
              </w:rPr>
            </w:pPr>
            <w:r>
              <w:rPr>
                <w:rFonts w:eastAsiaTheme="minorEastAsia"/>
              </w:rPr>
              <w:t xml:space="preserve">Particulars </w:t>
            </w:r>
          </w:p>
        </w:tc>
        <w:tc>
          <w:tcPr>
            <w:tcW w:w="2926" w:type="dxa"/>
          </w:tcPr>
          <w:p w14:paraId="703E8749" w14:textId="77777777" w:rsidR="002B1971" w:rsidRDefault="002B1971"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2024</w:t>
            </w:r>
          </w:p>
        </w:tc>
        <w:tc>
          <w:tcPr>
            <w:tcW w:w="3534" w:type="dxa"/>
          </w:tcPr>
          <w:p w14:paraId="29D8FD4C" w14:textId="77777777" w:rsidR="002B1971" w:rsidRDefault="002B1971"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2023</w:t>
            </w:r>
          </w:p>
        </w:tc>
      </w:tr>
      <w:tr w:rsidR="002B1971" w14:paraId="67E4AFE3" w14:textId="77777777" w:rsidTr="000859E1">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6D2BF5A2" w14:textId="7FE1E64D" w:rsidR="002B1971" w:rsidRDefault="002B1971" w:rsidP="00B27B95">
            <w:pPr>
              <w:rPr>
                <w:rFonts w:eastAsiaTheme="minorEastAsia"/>
              </w:rPr>
            </w:pPr>
            <w:r w:rsidRPr="002B1971">
              <w:t xml:space="preserve">Interest Coverage Ratio </w:t>
            </w:r>
          </w:p>
        </w:tc>
        <w:tc>
          <w:tcPr>
            <w:tcW w:w="2926" w:type="dxa"/>
          </w:tcPr>
          <w:p w14:paraId="4A7B29B5" w14:textId="4583E40F" w:rsidR="002B197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561.1</m:t>
                  </m:r>
                </m:num>
                <m:den>
                  <m:r>
                    <w:rPr>
                      <w:rFonts w:ascii="Cambria Math" w:hAnsi="Cambria Math"/>
                    </w:rPr>
                    <m:t>179.3</m:t>
                  </m:r>
                </m:den>
              </m:f>
            </m:oMath>
            <w:r w:rsidR="002B1971">
              <w:rPr>
                <w:rFonts w:eastAsiaTheme="minorEastAsia"/>
              </w:rPr>
              <w:t>= 3.13</w:t>
            </w:r>
          </w:p>
        </w:tc>
        <w:tc>
          <w:tcPr>
            <w:tcW w:w="3534" w:type="dxa"/>
          </w:tcPr>
          <w:p w14:paraId="71FBE748" w14:textId="3C5FAF29" w:rsidR="002B197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413.4</m:t>
                  </m:r>
                </m:num>
                <m:den>
                  <m:r>
                    <w:rPr>
                      <w:rFonts w:ascii="Cambria Math" w:hAnsi="Cambria Math"/>
                    </w:rPr>
                    <m:t>166.9</m:t>
                  </m:r>
                </m:den>
              </m:f>
            </m:oMath>
            <w:r w:rsidR="002B1971">
              <w:rPr>
                <w:rFonts w:eastAsiaTheme="minorEastAsia"/>
              </w:rPr>
              <w:t xml:space="preserve"> = 2.48</w:t>
            </w:r>
          </w:p>
        </w:tc>
      </w:tr>
    </w:tbl>
    <w:p w14:paraId="65E649AE" w14:textId="77777777" w:rsidR="002B1971" w:rsidRDefault="002B1971" w:rsidP="002B1971">
      <w:pPr>
        <w:rPr>
          <w:rFonts w:eastAsiaTheme="minorEastAsia"/>
        </w:rPr>
      </w:pPr>
    </w:p>
    <w:p w14:paraId="48265563" w14:textId="7C59951B" w:rsidR="002B1971" w:rsidRDefault="002B1971" w:rsidP="002B1971">
      <w:pPr>
        <w:rPr>
          <w:rFonts w:eastAsiaTheme="minorEastAsia"/>
        </w:rPr>
      </w:pPr>
      <w:r w:rsidRPr="002B1971">
        <w:rPr>
          <w:rFonts w:eastAsiaTheme="minorEastAsia"/>
          <w:b/>
          <w:bCs/>
        </w:rPr>
        <w:t>Interpretation:</w:t>
      </w:r>
      <w:r>
        <w:rPr>
          <w:rFonts w:eastAsiaTheme="minorEastAsia"/>
          <w:b/>
          <w:bCs/>
        </w:rPr>
        <w:t xml:space="preserve"> </w:t>
      </w:r>
      <w:r w:rsidRPr="002B1971">
        <w:rPr>
          <w:rFonts w:eastAsiaTheme="minorEastAsia"/>
        </w:rPr>
        <w:t>The Interest Coverage Ratio increased from 2.4</w:t>
      </w:r>
      <w:r>
        <w:rPr>
          <w:rFonts w:eastAsiaTheme="minorEastAsia"/>
        </w:rPr>
        <w:t>8</w:t>
      </w:r>
      <w:r w:rsidRPr="002B1971">
        <w:rPr>
          <w:rFonts w:eastAsiaTheme="minorEastAsia"/>
        </w:rPr>
        <w:t xml:space="preserve"> in 2023 to 3.13 in 2024, suggesting that Whitbread is in a better position to cover its interest expenses with its operating income.</w:t>
      </w:r>
    </w:p>
    <w:p w14:paraId="1DDFADD5" w14:textId="77777777" w:rsidR="00022614" w:rsidRPr="00022614" w:rsidRDefault="00022614" w:rsidP="00022614">
      <w:pPr>
        <w:rPr>
          <w:rFonts w:eastAsiaTheme="minorEastAsia"/>
          <w:lang w:val="en-IN"/>
        </w:rPr>
      </w:pPr>
      <w:r w:rsidRPr="00022614">
        <w:rPr>
          <w:rFonts w:eastAsiaTheme="minorEastAsia"/>
          <w:b/>
          <w:bCs/>
          <w:lang w:val="en-IN"/>
        </w:rPr>
        <w:t>Interest Coverage Ratio Increase:</w:t>
      </w:r>
    </w:p>
    <w:p w14:paraId="291C78C1" w14:textId="0DF947E4" w:rsidR="00022614" w:rsidRPr="00022614" w:rsidRDefault="00022614" w:rsidP="00022614">
      <w:pPr>
        <w:numPr>
          <w:ilvl w:val="0"/>
          <w:numId w:val="4"/>
        </w:numPr>
        <w:rPr>
          <w:rFonts w:eastAsiaTheme="minorEastAsia"/>
          <w:lang w:val="en-IN"/>
        </w:rPr>
      </w:pPr>
      <w:r w:rsidRPr="00022614">
        <w:rPr>
          <w:rFonts w:eastAsiaTheme="minorEastAsia"/>
          <w:b/>
          <w:bCs/>
          <w:lang w:val="en-IN"/>
        </w:rPr>
        <w:t>Improved Operating Profit</w:t>
      </w:r>
      <w:r w:rsidRPr="00022614">
        <w:rPr>
          <w:rFonts w:eastAsiaTheme="minorEastAsia"/>
          <w:lang w:val="en-IN"/>
        </w:rPr>
        <w:t>: The increase in the Interest Coverage Ratio from 2.47 in 2023 to 3.13 in 2024 could be due to a rise in Whitbread's operating profit</w:t>
      </w:r>
      <w:r w:rsidR="000859E1" w:rsidRPr="000859E1">
        <w:t xml:space="preserve"> </w:t>
      </w:r>
      <w:r w:rsidR="000859E1" w:rsidRPr="000859E1">
        <w:rPr>
          <w:rFonts w:eastAsiaTheme="minorEastAsia"/>
          <w:lang w:val="en-IN"/>
        </w:rPr>
        <w:t>(</w:t>
      </w:r>
      <w:proofErr w:type="spellStart"/>
      <w:r w:rsidR="000859E1" w:rsidRPr="000859E1">
        <w:rPr>
          <w:rFonts w:eastAsiaTheme="minorEastAsia"/>
          <w:lang w:val="en-IN"/>
        </w:rPr>
        <w:t>Groww</w:t>
      </w:r>
      <w:proofErr w:type="spellEnd"/>
      <w:r w:rsidR="000859E1" w:rsidRPr="000859E1">
        <w:rPr>
          <w:rFonts w:eastAsiaTheme="minorEastAsia"/>
          <w:lang w:val="en-IN"/>
        </w:rPr>
        <w:t>, 2015)</w:t>
      </w:r>
      <w:r w:rsidRPr="00022614">
        <w:rPr>
          <w:rFonts w:eastAsiaTheme="minorEastAsia"/>
          <w:lang w:val="en-IN"/>
        </w:rPr>
        <w:t>. This indicates the company has become more efficient in generating income from its core business operations, enabling it to cover its interest payments more easily.</w:t>
      </w:r>
    </w:p>
    <w:p w14:paraId="24B5D18E" w14:textId="361ABE15" w:rsidR="00022614" w:rsidRPr="00022614" w:rsidRDefault="00022614" w:rsidP="002B1971">
      <w:pPr>
        <w:numPr>
          <w:ilvl w:val="0"/>
          <w:numId w:val="4"/>
        </w:numPr>
        <w:rPr>
          <w:rFonts w:eastAsiaTheme="minorEastAsia"/>
          <w:lang w:val="en-IN"/>
        </w:rPr>
      </w:pPr>
      <w:r w:rsidRPr="00022614">
        <w:rPr>
          <w:rFonts w:eastAsiaTheme="minorEastAsia"/>
          <w:b/>
          <w:bCs/>
          <w:lang w:val="en-IN"/>
        </w:rPr>
        <w:t>Decreased Interest Expenses</w:t>
      </w:r>
      <w:r w:rsidRPr="00022614">
        <w:rPr>
          <w:rFonts w:eastAsiaTheme="minorEastAsia"/>
          <w:lang w:val="en-IN"/>
        </w:rPr>
        <w:t>: Another reason could be that Whitbread reduced its interest expenses, either through refinancing at a lower interest rate or paying off debt, which would improve the company's ability to cover its interest payments</w:t>
      </w:r>
      <w:r w:rsidR="000859E1" w:rsidRPr="000859E1">
        <w:t xml:space="preserve"> </w:t>
      </w:r>
      <w:r w:rsidR="000859E1" w:rsidRPr="000859E1">
        <w:rPr>
          <w:rFonts w:eastAsiaTheme="minorEastAsia"/>
          <w:lang w:val="en-IN"/>
        </w:rPr>
        <w:t>(</w:t>
      </w:r>
      <w:proofErr w:type="spellStart"/>
      <w:r w:rsidR="000859E1" w:rsidRPr="000859E1">
        <w:rPr>
          <w:rFonts w:eastAsiaTheme="minorEastAsia"/>
          <w:lang w:val="en-IN"/>
        </w:rPr>
        <w:t>Groww</w:t>
      </w:r>
      <w:proofErr w:type="spellEnd"/>
      <w:r w:rsidR="000859E1" w:rsidRPr="000859E1">
        <w:rPr>
          <w:rFonts w:eastAsiaTheme="minorEastAsia"/>
          <w:lang w:val="en-IN"/>
        </w:rPr>
        <w:t>, 2015)</w:t>
      </w:r>
      <w:r w:rsidRPr="00022614">
        <w:rPr>
          <w:rFonts w:eastAsiaTheme="minorEastAsia"/>
          <w:lang w:val="en-IN"/>
        </w:rPr>
        <w:t>.</w:t>
      </w:r>
    </w:p>
    <w:p w14:paraId="07221E6A" w14:textId="69059D91" w:rsidR="002B1971" w:rsidRDefault="002B1971" w:rsidP="002B1971">
      <w:pPr>
        <w:jc w:val="center"/>
        <w:rPr>
          <w:b/>
          <w:bCs/>
        </w:rPr>
      </w:pPr>
      <w:r w:rsidRPr="002B1971">
        <w:rPr>
          <w:b/>
          <w:bCs/>
        </w:rPr>
        <w:t>Debt-to-Asset Ratio</w:t>
      </w:r>
    </w:p>
    <w:p w14:paraId="4EDFEB1A" w14:textId="0B297BED" w:rsidR="002B1971" w:rsidRDefault="002B1971" w:rsidP="002B1971">
      <w:r w:rsidRPr="002B1971">
        <w:t>The Debt-to-Asset Ratio measures the proportion of a company’s total assets that are financed through debt</w:t>
      </w:r>
      <w:r w:rsidR="000859E1" w:rsidRPr="000859E1">
        <w:t xml:space="preserve"> (</w:t>
      </w:r>
      <w:proofErr w:type="spellStart"/>
      <w:r w:rsidR="000859E1" w:rsidRPr="000859E1">
        <w:t>Peterdy</w:t>
      </w:r>
      <w:proofErr w:type="spellEnd"/>
      <w:r w:rsidR="000859E1" w:rsidRPr="000859E1">
        <w:t>, 2024)</w:t>
      </w:r>
      <w:r w:rsidRPr="002B1971">
        <w:t>.</w:t>
      </w:r>
    </w:p>
    <w:p w14:paraId="4BAF5FDF" w14:textId="2D1C5475" w:rsidR="002B1971" w:rsidRDefault="002B1971" w:rsidP="002B1971">
      <w:pPr>
        <w:rPr>
          <w:rFonts w:eastAsiaTheme="minorEastAsia"/>
        </w:rPr>
      </w:pPr>
      <w:r>
        <w:lastRenderedPageBreak/>
        <w:t xml:space="preserve">Debt to asset ratio = </w:t>
      </w:r>
      <m:oMath>
        <m:f>
          <m:fPr>
            <m:ctrlPr>
              <w:rPr>
                <w:rFonts w:ascii="Cambria Math" w:hAnsi="Cambria Math"/>
                <w:i/>
              </w:rPr>
            </m:ctrlPr>
          </m:fPr>
          <m:num>
            <m:r>
              <w:rPr>
                <w:rFonts w:ascii="Cambria Math" w:hAnsi="Cambria Math"/>
              </w:rPr>
              <m:t>Total Debt</m:t>
            </m:r>
          </m:num>
          <m:den>
            <m:r>
              <w:rPr>
                <w:rFonts w:ascii="Cambria Math" w:hAnsi="Cambria Math"/>
              </w:rPr>
              <m:t>Total Assets</m:t>
            </m:r>
          </m:den>
        </m:f>
      </m:oMath>
    </w:p>
    <w:tbl>
      <w:tblPr>
        <w:tblStyle w:val="GridTable4-Accent4"/>
        <w:tblW w:w="9483" w:type="dxa"/>
        <w:tblLook w:val="04A0" w:firstRow="1" w:lastRow="0" w:firstColumn="1" w:lastColumn="0" w:noHBand="0" w:noVBand="1"/>
      </w:tblPr>
      <w:tblGrid>
        <w:gridCol w:w="3023"/>
        <w:gridCol w:w="2926"/>
        <w:gridCol w:w="3534"/>
      </w:tblGrid>
      <w:tr w:rsidR="002B1971" w14:paraId="62016DE1" w14:textId="77777777" w:rsidTr="00AC2482">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6198C79B" w14:textId="77777777" w:rsidR="002B1971" w:rsidRDefault="002B1971" w:rsidP="00B27B95">
            <w:pPr>
              <w:rPr>
                <w:rFonts w:eastAsiaTheme="minorEastAsia"/>
              </w:rPr>
            </w:pPr>
            <w:r>
              <w:rPr>
                <w:rFonts w:eastAsiaTheme="minorEastAsia"/>
              </w:rPr>
              <w:t xml:space="preserve">Particulars </w:t>
            </w:r>
          </w:p>
        </w:tc>
        <w:tc>
          <w:tcPr>
            <w:tcW w:w="2926" w:type="dxa"/>
          </w:tcPr>
          <w:p w14:paraId="3D2E7913" w14:textId="77777777" w:rsidR="002B1971" w:rsidRDefault="002B1971"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2024</w:t>
            </w:r>
          </w:p>
        </w:tc>
        <w:tc>
          <w:tcPr>
            <w:tcW w:w="3534" w:type="dxa"/>
          </w:tcPr>
          <w:p w14:paraId="3AE799BB" w14:textId="77777777" w:rsidR="002B1971" w:rsidRDefault="002B1971"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2023</w:t>
            </w:r>
          </w:p>
        </w:tc>
      </w:tr>
      <w:tr w:rsidR="002B1971" w14:paraId="6375C844" w14:textId="77777777" w:rsidTr="00AC2482">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1122284C" w14:textId="77777777" w:rsidR="002B1971" w:rsidRDefault="002B1971" w:rsidP="002B1971">
            <w:pPr>
              <w:jc w:val="center"/>
              <w:rPr>
                <w:b w:val="0"/>
                <w:bCs w:val="0"/>
              </w:rPr>
            </w:pPr>
            <w:r w:rsidRPr="002B1971">
              <w:t>Debt-to-Asset Ratio</w:t>
            </w:r>
          </w:p>
          <w:p w14:paraId="6BE12D7F" w14:textId="38C8F9C1" w:rsidR="002B1971" w:rsidRDefault="002B1971" w:rsidP="00B27B95">
            <w:pPr>
              <w:rPr>
                <w:rFonts w:eastAsiaTheme="minorEastAsia"/>
              </w:rPr>
            </w:pPr>
          </w:p>
        </w:tc>
        <w:tc>
          <w:tcPr>
            <w:tcW w:w="2926" w:type="dxa"/>
          </w:tcPr>
          <w:p w14:paraId="389B5C65" w14:textId="1BA8F01A" w:rsidR="002B197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561.1</m:t>
                  </m:r>
                </m:num>
                <m:den>
                  <m:r>
                    <w:rPr>
                      <w:rFonts w:ascii="Cambria Math" w:hAnsi="Cambria Math"/>
                    </w:rPr>
                    <m:t>9521.3</m:t>
                  </m:r>
                </m:den>
              </m:f>
            </m:oMath>
            <w:r w:rsidR="002B1971">
              <w:rPr>
                <w:rFonts w:eastAsiaTheme="minorEastAsia"/>
              </w:rPr>
              <w:t>= 0.104</w:t>
            </w:r>
          </w:p>
        </w:tc>
        <w:tc>
          <w:tcPr>
            <w:tcW w:w="3534" w:type="dxa"/>
          </w:tcPr>
          <w:p w14:paraId="3B3460E3" w14:textId="055B53C2" w:rsidR="002B197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rPr>
            </w:pPr>
            <m:oMath>
              <m:f>
                <m:fPr>
                  <m:ctrlPr>
                    <w:rPr>
                      <w:rFonts w:ascii="Cambria Math" w:hAnsi="Cambria Math"/>
                      <w:i/>
                    </w:rPr>
                  </m:ctrlPr>
                </m:fPr>
                <m:num>
                  <m:r>
                    <w:rPr>
                      <w:rFonts w:ascii="Cambria Math" w:hAnsi="Cambria Math"/>
                    </w:rPr>
                    <m:t>413.4</m:t>
                  </m:r>
                </m:num>
                <m:den>
                  <m:r>
                    <w:rPr>
                      <w:rFonts w:ascii="Cambria Math" w:hAnsi="Cambria Math"/>
                    </w:rPr>
                    <m:t>9942.8</m:t>
                  </m:r>
                </m:den>
              </m:f>
            </m:oMath>
            <w:r w:rsidR="002B1971">
              <w:rPr>
                <w:rFonts w:eastAsiaTheme="minorEastAsia"/>
              </w:rPr>
              <w:t xml:space="preserve"> = 0.099</w:t>
            </w:r>
          </w:p>
        </w:tc>
      </w:tr>
    </w:tbl>
    <w:p w14:paraId="54FBF953" w14:textId="40D3F458" w:rsidR="002B1971" w:rsidRPr="00933962" w:rsidRDefault="002B1971" w:rsidP="002B1971"/>
    <w:p w14:paraId="4AC03B4A" w14:textId="522BFCBC" w:rsidR="002B1971" w:rsidRDefault="002B1971" w:rsidP="002B1971">
      <w:r w:rsidRPr="002B1971">
        <w:rPr>
          <w:b/>
          <w:bCs/>
        </w:rPr>
        <w:t xml:space="preserve">Interpretation: </w:t>
      </w:r>
      <w:r w:rsidRPr="002B1971">
        <w:t>The Debt-to-Asset Ratio increased slightly from 0.099 in 2023 to 0.104 in 2024, indicating that Whitbread is using slightly more debt to finance its assets.</w:t>
      </w:r>
    </w:p>
    <w:p w14:paraId="39A3F7A0" w14:textId="77777777" w:rsidR="00022614" w:rsidRPr="00022614" w:rsidRDefault="00022614" w:rsidP="00022614">
      <w:pPr>
        <w:rPr>
          <w:lang w:val="en-IN"/>
        </w:rPr>
      </w:pPr>
      <w:r w:rsidRPr="00022614">
        <w:rPr>
          <w:b/>
          <w:bCs/>
          <w:lang w:val="en-IN"/>
        </w:rPr>
        <w:t>Debt-to-Asset Ratio Stability:</w:t>
      </w:r>
    </w:p>
    <w:p w14:paraId="625F817A" w14:textId="48455E29" w:rsidR="00022614" w:rsidRPr="00022614" w:rsidRDefault="00022614" w:rsidP="00022614">
      <w:pPr>
        <w:numPr>
          <w:ilvl w:val="0"/>
          <w:numId w:val="5"/>
        </w:numPr>
        <w:rPr>
          <w:lang w:val="en-IN"/>
        </w:rPr>
      </w:pPr>
      <w:r w:rsidRPr="00022614">
        <w:rPr>
          <w:b/>
          <w:bCs/>
          <w:lang w:val="en-IN"/>
        </w:rPr>
        <w:t>Consistent Debt Levels</w:t>
      </w:r>
      <w:r w:rsidRPr="00022614">
        <w:rPr>
          <w:lang w:val="en-IN"/>
        </w:rPr>
        <w:t>: The Debt-to-Asset Ratio remained unchanged at 0.10 in both 2023 and 2024. This suggests that the company has maintained a consistent level of debt in relation to its total assets, keeping its financial risk stable</w:t>
      </w:r>
      <w:r w:rsidR="00AC2482" w:rsidRPr="00AC2482">
        <w:t xml:space="preserve"> </w:t>
      </w:r>
      <w:r w:rsidR="00AC2482" w:rsidRPr="00AC2482">
        <w:rPr>
          <w:lang w:val="en-IN"/>
        </w:rPr>
        <w:t>(One, 2023)</w:t>
      </w:r>
      <w:r w:rsidRPr="00022614">
        <w:rPr>
          <w:lang w:val="en-IN"/>
        </w:rPr>
        <w:t>.</w:t>
      </w:r>
    </w:p>
    <w:p w14:paraId="5A293566" w14:textId="1AA8A99D" w:rsidR="00022614" w:rsidRPr="00022614" w:rsidRDefault="00022614" w:rsidP="002B1971">
      <w:pPr>
        <w:numPr>
          <w:ilvl w:val="0"/>
          <w:numId w:val="5"/>
        </w:numPr>
        <w:rPr>
          <w:lang w:val="en-IN"/>
        </w:rPr>
      </w:pPr>
      <w:r w:rsidRPr="00022614">
        <w:rPr>
          <w:b/>
          <w:bCs/>
          <w:lang w:val="en-IN"/>
        </w:rPr>
        <w:t>Increase in Total Assets</w:t>
      </w:r>
      <w:r w:rsidRPr="00022614">
        <w:rPr>
          <w:lang w:val="en-IN"/>
        </w:rPr>
        <w:t>: Another reason for this stability could be an increase in the company’s total assets, which would keep the debt-to-asset ratio relatively unchanged even if the amount of debt remained constant</w:t>
      </w:r>
      <w:r w:rsidR="00AC2482" w:rsidRPr="00AC2482">
        <w:t xml:space="preserve"> </w:t>
      </w:r>
      <w:r w:rsidR="00AC2482" w:rsidRPr="00AC2482">
        <w:rPr>
          <w:lang w:val="en-IN"/>
        </w:rPr>
        <w:t>(One, 2023)</w:t>
      </w:r>
      <w:r w:rsidRPr="00022614">
        <w:rPr>
          <w:lang w:val="en-IN"/>
        </w:rPr>
        <w:t>.</w:t>
      </w:r>
    </w:p>
    <w:p w14:paraId="6A001BDC" w14:textId="0E759409" w:rsidR="002B1971" w:rsidRPr="002B1971" w:rsidRDefault="002B1971" w:rsidP="002B1971">
      <w:pPr>
        <w:pStyle w:val="ListParagraph"/>
        <w:numPr>
          <w:ilvl w:val="0"/>
          <w:numId w:val="1"/>
        </w:numPr>
        <w:rPr>
          <w:b/>
          <w:bCs/>
        </w:rPr>
      </w:pPr>
      <w:r>
        <w:rPr>
          <w:b/>
          <w:bCs/>
        </w:rPr>
        <w:t xml:space="preserve">Investor Ratio: </w:t>
      </w:r>
      <w:r w:rsidRPr="002B1971">
        <w:t>Investor Ratios are financial metrics used to evaluate the performance of a company from the perspective of an investor.</w:t>
      </w:r>
    </w:p>
    <w:p w14:paraId="02BB51DC" w14:textId="4631001E" w:rsidR="002B1971" w:rsidRPr="002B1971" w:rsidRDefault="002B1971" w:rsidP="002B1971">
      <w:pPr>
        <w:jc w:val="center"/>
        <w:rPr>
          <w:b/>
          <w:bCs/>
        </w:rPr>
      </w:pPr>
      <w:r w:rsidRPr="002B1971">
        <w:rPr>
          <w:b/>
          <w:bCs/>
        </w:rPr>
        <w:t>Earnings Per Share (EPS) -Basic</w:t>
      </w:r>
    </w:p>
    <w:p w14:paraId="2409E5B6" w14:textId="728A8324" w:rsidR="00AC2482" w:rsidRDefault="00AC2482" w:rsidP="002B1971">
      <w:r>
        <w:t>Earnings Per Share (EPS) is a financial metric that shows a company’s profit allocated to each outstanding share of common stock</w:t>
      </w:r>
      <w:r w:rsidR="00250EB7" w:rsidRPr="00250EB7">
        <w:t xml:space="preserve"> (SAXO, 2025)</w:t>
      </w:r>
      <w:r>
        <w:t>.</w:t>
      </w:r>
    </w:p>
    <w:p w14:paraId="6ED8DDAC" w14:textId="5FED0C9E" w:rsidR="002B1971" w:rsidRPr="002B1971" w:rsidRDefault="002B1971" w:rsidP="002B1971">
      <w:pPr>
        <w:rPr>
          <w:b/>
          <w:bCs/>
        </w:rPr>
      </w:pPr>
      <w:r w:rsidRPr="002B1971">
        <w:t>Earnings Per Share (EPS) -Basic</w:t>
      </w:r>
      <w:r>
        <w:rPr>
          <w:b/>
          <w:bCs/>
        </w:rPr>
        <w:t xml:space="preserve"> = </w:t>
      </w:r>
      <m:oMath>
        <m:f>
          <m:fPr>
            <m:ctrlPr>
              <w:rPr>
                <w:rFonts w:ascii="Cambria Math" w:hAnsi="Cambria Math"/>
                <w:i/>
              </w:rPr>
            </m:ctrlPr>
          </m:fPr>
          <m:num>
            <m:r>
              <w:rPr>
                <w:rFonts w:ascii="Cambria Math" w:hAnsi="Cambria Math"/>
              </w:rPr>
              <m:t>Net Profit</m:t>
            </m:r>
          </m:num>
          <m:den>
            <m:r>
              <w:rPr>
                <w:rFonts w:ascii="Cambria Math" w:hAnsi="Cambria Math"/>
              </w:rPr>
              <m:t>Shares Outstanding</m:t>
            </m:r>
          </m:den>
        </m:f>
      </m:oMath>
      <w:r>
        <w:rPr>
          <w:rFonts w:eastAsiaTheme="minorEastAsia"/>
        </w:rPr>
        <w:t xml:space="preserve"> </w:t>
      </w:r>
    </w:p>
    <w:tbl>
      <w:tblPr>
        <w:tblStyle w:val="GridTable4-Accent4"/>
        <w:tblW w:w="9483" w:type="dxa"/>
        <w:tblLook w:val="04A0" w:firstRow="1" w:lastRow="0" w:firstColumn="1" w:lastColumn="0" w:noHBand="0" w:noVBand="1"/>
      </w:tblPr>
      <w:tblGrid>
        <w:gridCol w:w="3023"/>
        <w:gridCol w:w="2926"/>
        <w:gridCol w:w="3534"/>
      </w:tblGrid>
      <w:tr w:rsidR="002B1971" w14:paraId="0E33663E" w14:textId="77777777" w:rsidTr="00AC2482">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29F2B2D7" w14:textId="77777777" w:rsidR="002B1971" w:rsidRDefault="002B1971" w:rsidP="00B27B95">
            <w:pPr>
              <w:rPr>
                <w:rFonts w:eastAsiaTheme="minorEastAsia"/>
              </w:rPr>
            </w:pPr>
            <w:r>
              <w:rPr>
                <w:rFonts w:eastAsiaTheme="minorEastAsia"/>
              </w:rPr>
              <w:t xml:space="preserve">Particulars </w:t>
            </w:r>
          </w:p>
        </w:tc>
        <w:tc>
          <w:tcPr>
            <w:tcW w:w="2926" w:type="dxa"/>
          </w:tcPr>
          <w:p w14:paraId="5EC39C2C" w14:textId="77777777" w:rsidR="002B1971" w:rsidRDefault="002B1971"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2024</w:t>
            </w:r>
          </w:p>
        </w:tc>
        <w:tc>
          <w:tcPr>
            <w:tcW w:w="3534" w:type="dxa"/>
          </w:tcPr>
          <w:p w14:paraId="114B3B6C" w14:textId="77777777" w:rsidR="002B1971" w:rsidRDefault="002B1971"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2023</w:t>
            </w:r>
          </w:p>
        </w:tc>
      </w:tr>
      <w:tr w:rsidR="002B1971" w14:paraId="700D9E9A" w14:textId="77777777" w:rsidTr="00AC2482">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64E6215A" w14:textId="365F456B" w:rsidR="002B1971" w:rsidRDefault="002B1971" w:rsidP="00B27B95">
            <w:pPr>
              <w:jc w:val="center"/>
              <w:rPr>
                <w:b w:val="0"/>
                <w:bCs w:val="0"/>
              </w:rPr>
            </w:pPr>
            <w:r>
              <w:t>EPS- Basic</w:t>
            </w:r>
          </w:p>
          <w:p w14:paraId="6B9A68D0" w14:textId="77777777" w:rsidR="002B1971" w:rsidRDefault="002B1971" w:rsidP="00B27B95">
            <w:pPr>
              <w:rPr>
                <w:rFonts w:eastAsiaTheme="minorEastAsia"/>
              </w:rPr>
            </w:pPr>
          </w:p>
        </w:tc>
        <w:tc>
          <w:tcPr>
            <w:tcW w:w="2926" w:type="dxa"/>
          </w:tcPr>
          <w:p w14:paraId="1DB3DBB7" w14:textId="3B468847" w:rsidR="002B1971" w:rsidRDefault="002B1971" w:rsidP="00B27B95">
            <w:pPr>
              <w:cnfStyle w:val="000000100000" w:firstRow="0" w:lastRow="0" w:firstColumn="0" w:lastColumn="0" w:oddVBand="0" w:evenVBand="0" w:oddHBand="1" w:evenHBand="0" w:firstRowFirstColumn="0" w:firstRowLastColumn="0" w:lastRowFirstColumn="0" w:lastRowLastColumn="0"/>
              <w:rPr>
                <w:rFonts w:eastAsiaTheme="minorEastAsia"/>
              </w:rPr>
            </w:pPr>
            <w:r>
              <w:t>161 pence</w:t>
            </w:r>
          </w:p>
        </w:tc>
        <w:tc>
          <w:tcPr>
            <w:tcW w:w="3534" w:type="dxa"/>
          </w:tcPr>
          <w:p w14:paraId="1800C18B" w14:textId="62CBBDC0" w:rsidR="002B1971" w:rsidRDefault="002B1971" w:rsidP="00B27B95">
            <w:pPr>
              <w:cnfStyle w:val="000000100000" w:firstRow="0" w:lastRow="0" w:firstColumn="0" w:lastColumn="0" w:oddVBand="0" w:evenVBand="0" w:oddHBand="1" w:evenHBand="0" w:firstRowFirstColumn="0" w:firstRowLastColumn="0" w:lastRowFirstColumn="0" w:lastRowLastColumn="0"/>
              <w:rPr>
                <w:rFonts w:eastAsiaTheme="minorEastAsia"/>
              </w:rPr>
            </w:pPr>
            <w:r>
              <w:t>138.4 pence</w:t>
            </w:r>
          </w:p>
        </w:tc>
      </w:tr>
    </w:tbl>
    <w:p w14:paraId="70C95655" w14:textId="50D998B6" w:rsidR="002B1971" w:rsidRPr="00022614" w:rsidRDefault="00022614" w:rsidP="002B1971">
      <w:r>
        <w:t xml:space="preserve">***Directly quoted from the annual report. </w:t>
      </w:r>
    </w:p>
    <w:p w14:paraId="1E6EE213" w14:textId="218085BC" w:rsidR="002B1971" w:rsidRDefault="002B1971" w:rsidP="002B1971">
      <w:pPr>
        <w:rPr>
          <w:rFonts w:eastAsiaTheme="minorEastAsia"/>
        </w:rPr>
      </w:pPr>
      <w:r w:rsidRPr="002B1971">
        <w:rPr>
          <w:rFonts w:eastAsiaTheme="minorEastAsia"/>
          <w:b/>
          <w:bCs/>
        </w:rPr>
        <w:t>Interpretation:</w:t>
      </w:r>
      <w:r>
        <w:rPr>
          <w:rFonts w:eastAsiaTheme="minorEastAsia"/>
        </w:rPr>
        <w:t xml:space="preserve"> </w:t>
      </w:r>
      <w:r w:rsidRPr="002B1971">
        <w:rPr>
          <w:rFonts w:eastAsiaTheme="minorEastAsia"/>
        </w:rPr>
        <w:t>The Basic EPS increased from 138.4 pence in 2023 to 161 pence in 2024, indicating that Whitbread PLC is generating higher profits per share for its shareholders</w:t>
      </w:r>
      <w:r>
        <w:rPr>
          <w:rFonts w:eastAsiaTheme="minorEastAsia"/>
        </w:rPr>
        <w:t>.</w:t>
      </w:r>
    </w:p>
    <w:p w14:paraId="4F98C7A4" w14:textId="77777777" w:rsidR="00022614" w:rsidRPr="00022614" w:rsidRDefault="00022614" w:rsidP="00022614">
      <w:pPr>
        <w:rPr>
          <w:rFonts w:eastAsiaTheme="minorEastAsia"/>
          <w:b/>
          <w:bCs/>
          <w:lang w:val="en-IN"/>
        </w:rPr>
      </w:pPr>
      <w:r w:rsidRPr="00022614">
        <w:rPr>
          <w:rFonts w:eastAsiaTheme="minorEastAsia"/>
          <w:b/>
          <w:bCs/>
          <w:lang w:val="en-IN"/>
        </w:rPr>
        <w:t>Reasons for Increase in Earnings Per Share (EPS):</w:t>
      </w:r>
    </w:p>
    <w:p w14:paraId="332FC0BC" w14:textId="5FD658C5" w:rsidR="00022614" w:rsidRPr="00022614" w:rsidRDefault="00022614" w:rsidP="00022614">
      <w:pPr>
        <w:numPr>
          <w:ilvl w:val="0"/>
          <w:numId w:val="2"/>
        </w:numPr>
        <w:rPr>
          <w:rFonts w:eastAsiaTheme="minorEastAsia"/>
          <w:lang w:val="en-IN"/>
        </w:rPr>
      </w:pPr>
      <w:r w:rsidRPr="00022614">
        <w:rPr>
          <w:rFonts w:eastAsiaTheme="minorEastAsia"/>
          <w:b/>
          <w:bCs/>
          <w:lang w:val="en-IN"/>
        </w:rPr>
        <w:lastRenderedPageBreak/>
        <w:t>Higher Profitability</w:t>
      </w:r>
      <w:r w:rsidRPr="00022614">
        <w:rPr>
          <w:rFonts w:eastAsiaTheme="minorEastAsia"/>
          <w:lang w:val="en-IN"/>
        </w:rPr>
        <w:t xml:space="preserve">: </w:t>
      </w:r>
      <w:r w:rsidRPr="00AC2482">
        <w:rPr>
          <w:rFonts w:eastAsiaTheme="minorEastAsia"/>
          <w:lang w:val="en-IN"/>
        </w:rPr>
        <w:t>The increase in EPS is primarily due to higher profits generated by Whitbread PLC, which could be attributed to increased revenue, cost reductions, or improved operational efficiency</w:t>
      </w:r>
      <w:r w:rsidR="00250EB7" w:rsidRPr="00250EB7">
        <w:t xml:space="preserve"> </w:t>
      </w:r>
      <w:r w:rsidR="00250EB7" w:rsidRPr="00250EB7">
        <w:rPr>
          <w:rFonts w:eastAsiaTheme="minorEastAsia"/>
          <w:lang w:val="en-IN"/>
        </w:rPr>
        <w:t>(Nirmal Bang, 2022)</w:t>
      </w:r>
      <w:r w:rsidRPr="00AC2482">
        <w:rPr>
          <w:rFonts w:eastAsiaTheme="minorEastAsia"/>
          <w:lang w:val="en-IN"/>
        </w:rPr>
        <w:t>.</w:t>
      </w:r>
    </w:p>
    <w:p w14:paraId="2BA3FE46" w14:textId="585506A4" w:rsidR="00022614" w:rsidRPr="00022614" w:rsidRDefault="00022614" w:rsidP="002B1971">
      <w:pPr>
        <w:numPr>
          <w:ilvl w:val="0"/>
          <w:numId w:val="2"/>
        </w:numPr>
        <w:rPr>
          <w:rFonts w:eastAsiaTheme="minorEastAsia"/>
          <w:lang w:val="en-IN"/>
        </w:rPr>
      </w:pPr>
      <w:r w:rsidRPr="00022614">
        <w:rPr>
          <w:rFonts w:eastAsiaTheme="minorEastAsia"/>
          <w:b/>
          <w:bCs/>
          <w:lang w:val="en-IN"/>
        </w:rPr>
        <w:t>Reduction in Outstanding Shares</w:t>
      </w:r>
      <w:r w:rsidRPr="00022614">
        <w:rPr>
          <w:rFonts w:eastAsiaTheme="minorEastAsia"/>
          <w:lang w:val="en-IN"/>
        </w:rPr>
        <w:t xml:space="preserve">: </w:t>
      </w:r>
      <w:r w:rsidRPr="00AC2482">
        <w:rPr>
          <w:rFonts w:eastAsiaTheme="minorEastAsia"/>
          <w:lang w:val="en-IN"/>
        </w:rPr>
        <w:t>The increase in EPS may also result from a reduction in the number of outstanding shares due to stock buybacks or share repurchases, which would allocate more profit per share</w:t>
      </w:r>
      <w:r w:rsidR="00250EB7" w:rsidRPr="00250EB7">
        <w:t xml:space="preserve"> </w:t>
      </w:r>
      <w:r w:rsidR="00250EB7" w:rsidRPr="00250EB7">
        <w:rPr>
          <w:rFonts w:eastAsiaTheme="minorEastAsia"/>
          <w:lang w:val="en-IN"/>
        </w:rPr>
        <w:t>(Nirmal Bang, 2022)</w:t>
      </w:r>
      <w:r w:rsidRPr="00AC2482">
        <w:rPr>
          <w:rFonts w:eastAsiaTheme="minorEastAsia"/>
          <w:lang w:val="en-IN"/>
        </w:rPr>
        <w:t>.</w:t>
      </w:r>
    </w:p>
    <w:p w14:paraId="79A37AA5" w14:textId="58D49089" w:rsidR="002B1971" w:rsidRDefault="002B1971" w:rsidP="002B1971">
      <w:pPr>
        <w:jc w:val="center"/>
        <w:rPr>
          <w:b/>
          <w:bCs/>
        </w:rPr>
      </w:pPr>
      <w:r w:rsidRPr="002B1971">
        <w:rPr>
          <w:b/>
          <w:bCs/>
        </w:rPr>
        <w:t>Earnings Per Share (EPS) -</w:t>
      </w:r>
      <w:r>
        <w:rPr>
          <w:b/>
          <w:bCs/>
        </w:rPr>
        <w:t>Diluted</w:t>
      </w:r>
    </w:p>
    <w:p w14:paraId="0901D249" w14:textId="57B056E5" w:rsidR="002B1971" w:rsidRDefault="002B1971" w:rsidP="002B1971">
      <w:r w:rsidRPr="002B1971">
        <w:t xml:space="preserve">Diluted EPS accounts for all potential dilution that could occur if securities or convertible instruments </w:t>
      </w:r>
      <w:r>
        <w:t xml:space="preserve">including </w:t>
      </w:r>
      <w:r w:rsidRPr="002B1971">
        <w:t>options, warrants, or convertible bond</w:t>
      </w:r>
      <w:r>
        <w:t>s</w:t>
      </w:r>
      <w:r w:rsidRPr="002B1971">
        <w:t xml:space="preserve"> were exercised</w:t>
      </w:r>
      <w:r w:rsidR="00250EB7" w:rsidRPr="00250EB7">
        <w:t xml:space="preserve"> (Gartner, 2024)</w:t>
      </w:r>
      <w:r w:rsidRPr="002B1971">
        <w:t>.</w:t>
      </w:r>
    </w:p>
    <w:p w14:paraId="67774947" w14:textId="6666E068" w:rsidR="002B1971" w:rsidRPr="002B1971" w:rsidRDefault="002B1971" w:rsidP="002B1971">
      <w:r w:rsidRPr="002B1971">
        <w:t>Earnings Per Share (EPS) -</w:t>
      </w:r>
      <w:r>
        <w:t>Diluted</w:t>
      </w:r>
      <w:r>
        <w:rPr>
          <w:b/>
          <w:bCs/>
        </w:rPr>
        <w:t xml:space="preserve"> = </w:t>
      </w:r>
      <m:oMath>
        <m:f>
          <m:fPr>
            <m:ctrlPr>
              <w:rPr>
                <w:rFonts w:ascii="Cambria Math" w:hAnsi="Cambria Math"/>
                <w:i/>
              </w:rPr>
            </m:ctrlPr>
          </m:fPr>
          <m:num>
            <m:r>
              <w:rPr>
                <w:rFonts w:ascii="Cambria Math" w:hAnsi="Cambria Math"/>
              </w:rPr>
              <m:t>Net Profit</m:t>
            </m:r>
          </m:num>
          <m:den>
            <m:r>
              <w:rPr>
                <w:rFonts w:ascii="Cambria Math" w:hAnsi="Cambria Math"/>
              </w:rPr>
              <m:t>Shares Outstanding+Dilutive Securities</m:t>
            </m:r>
          </m:den>
        </m:f>
      </m:oMath>
    </w:p>
    <w:tbl>
      <w:tblPr>
        <w:tblStyle w:val="GridTable4-Accent4"/>
        <w:tblW w:w="9483" w:type="dxa"/>
        <w:tblLook w:val="04A0" w:firstRow="1" w:lastRow="0" w:firstColumn="1" w:lastColumn="0" w:noHBand="0" w:noVBand="1"/>
      </w:tblPr>
      <w:tblGrid>
        <w:gridCol w:w="3023"/>
        <w:gridCol w:w="2926"/>
        <w:gridCol w:w="3534"/>
      </w:tblGrid>
      <w:tr w:rsidR="002B1971" w14:paraId="0B9E9603" w14:textId="77777777" w:rsidTr="00AC2482">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39C9F99F" w14:textId="77777777" w:rsidR="002B1971" w:rsidRDefault="002B1971" w:rsidP="00B27B95">
            <w:pPr>
              <w:rPr>
                <w:rFonts w:eastAsiaTheme="minorEastAsia"/>
              </w:rPr>
            </w:pPr>
            <w:r>
              <w:rPr>
                <w:rFonts w:eastAsiaTheme="minorEastAsia"/>
              </w:rPr>
              <w:t xml:space="preserve">Particulars </w:t>
            </w:r>
          </w:p>
        </w:tc>
        <w:tc>
          <w:tcPr>
            <w:tcW w:w="2926" w:type="dxa"/>
          </w:tcPr>
          <w:p w14:paraId="147A2274" w14:textId="77777777" w:rsidR="002B1971" w:rsidRDefault="002B1971"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2024</w:t>
            </w:r>
          </w:p>
        </w:tc>
        <w:tc>
          <w:tcPr>
            <w:tcW w:w="3534" w:type="dxa"/>
          </w:tcPr>
          <w:p w14:paraId="2C887FE1" w14:textId="77777777" w:rsidR="002B1971" w:rsidRDefault="002B1971" w:rsidP="00B27B95">
            <w:pP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2023</w:t>
            </w:r>
          </w:p>
        </w:tc>
      </w:tr>
      <w:tr w:rsidR="002B1971" w14:paraId="19833032" w14:textId="77777777" w:rsidTr="00AC2482">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5DED9833" w14:textId="7305C7CA" w:rsidR="002B1971" w:rsidRDefault="002B1971" w:rsidP="00B27B95">
            <w:pPr>
              <w:jc w:val="center"/>
              <w:rPr>
                <w:b w:val="0"/>
                <w:bCs w:val="0"/>
              </w:rPr>
            </w:pPr>
            <w:r>
              <w:t>EPS-Diluted</w:t>
            </w:r>
          </w:p>
          <w:p w14:paraId="7EF4D5AF" w14:textId="77777777" w:rsidR="002B1971" w:rsidRDefault="002B1971" w:rsidP="00B27B95">
            <w:pPr>
              <w:rPr>
                <w:rFonts w:eastAsiaTheme="minorEastAsia"/>
              </w:rPr>
            </w:pPr>
          </w:p>
        </w:tc>
        <w:tc>
          <w:tcPr>
            <w:tcW w:w="2926" w:type="dxa"/>
          </w:tcPr>
          <w:p w14:paraId="11B68FC4" w14:textId="2B2C3068" w:rsidR="002B1971" w:rsidRDefault="00022614" w:rsidP="00B27B95">
            <w:pPr>
              <w:cnfStyle w:val="000000100000" w:firstRow="0" w:lastRow="0" w:firstColumn="0" w:lastColumn="0" w:oddVBand="0" w:evenVBand="0" w:oddHBand="1" w:evenHBand="0" w:firstRowFirstColumn="0" w:firstRowLastColumn="0" w:lastRowFirstColumn="0" w:lastRowLastColumn="0"/>
              <w:rPr>
                <w:rFonts w:eastAsiaTheme="minorEastAsia"/>
              </w:rPr>
            </w:pPr>
            <w:r w:rsidRPr="00022614">
              <w:t>159.9 pence</w:t>
            </w:r>
          </w:p>
        </w:tc>
        <w:tc>
          <w:tcPr>
            <w:tcW w:w="3534" w:type="dxa"/>
          </w:tcPr>
          <w:p w14:paraId="23B608FA" w14:textId="570CCCA1" w:rsidR="002B1971" w:rsidRDefault="00022614" w:rsidP="00B27B95">
            <w:pPr>
              <w:cnfStyle w:val="000000100000" w:firstRow="0" w:lastRow="0" w:firstColumn="0" w:lastColumn="0" w:oddVBand="0" w:evenVBand="0" w:oddHBand="1" w:evenHBand="0" w:firstRowFirstColumn="0" w:firstRowLastColumn="0" w:lastRowFirstColumn="0" w:lastRowLastColumn="0"/>
              <w:rPr>
                <w:rFonts w:eastAsiaTheme="minorEastAsia"/>
              </w:rPr>
            </w:pPr>
            <w:r>
              <w:t>137.5 pence</w:t>
            </w:r>
          </w:p>
        </w:tc>
      </w:tr>
    </w:tbl>
    <w:p w14:paraId="10C50F60" w14:textId="7470366C" w:rsidR="002B1971" w:rsidRDefault="00022614" w:rsidP="002B1971">
      <w:r>
        <w:t xml:space="preserve">***Directly quoted from the annual report. </w:t>
      </w:r>
    </w:p>
    <w:p w14:paraId="31209F92" w14:textId="5620EF3A" w:rsidR="00022614" w:rsidRDefault="00022614" w:rsidP="002B1971">
      <w:r w:rsidRPr="00022614">
        <w:rPr>
          <w:b/>
          <w:bCs/>
        </w:rPr>
        <w:t xml:space="preserve">Interpretation: </w:t>
      </w:r>
      <w:r w:rsidRPr="00022614">
        <w:t>The Diluted EPS also increased from 137.5 pence in 2023 to 159.9 pence in 2024, reflecting an improvement in earnings available to each share, even after considering the potential dilution of shares.</w:t>
      </w:r>
    </w:p>
    <w:p w14:paraId="4F2EC3FB" w14:textId="77777777" w:rsidR="00022614" w:rsidRDefault="00022614" w:rsidP="00022614">
      <w:pPr>
        <w:jc w:val="center"/>
        <w:rPr>
          <w:b/>
          <w:bCs/>
        </w:rPr>
      </w:pPr>
      <w:r w:rsidRPr="00022614">
        <w:rPr>
          <w:b/>
          <w:bCs/>
        </w:rPr>
        <w:t>Price to Earnings (P/E) Ratio</w:t>
      </w:r>
    </w:p>
    <w:p w14:paraId="6A6AAF8E" w14:textId="20EF93B9" w:rsidR="00022614" w:rsidRDefault="00022614" w:rsidP="00022614">
      <w:r w:rsidRPr="00022614">
        <w:t>The Price to Earnings (P/E) ratio measures the market price of a company’s stock relative to its earnings per share</w:t>
      </w:r>
      <w:r w:rsidR="00250EB7" w:rsidRPr="00250EB7">
        <w:t xml:space="preserve"> (</w:t>
      </w:r>
      <w:proofErr w:type="spellStart"/>
      <w:r w:rsidR="00250EB7" w:rsidRPr="00250EB7">
        <w:t>Amure</w:t>
      </w:r>
      <w:proofErr w:type="spellEnd"/>
      <w:r w:rsidR="00250EB7" w:rsidRPr="00250EB7">
        <w:t>, 2024)</w:t>
      </w:r>
      <w:r>
        <w:t>.</w:t>
      </w:r>
    </w:p>
    <w:p w14:paraId="01DE4884" w14:textId="7906CDEA" w:rsidR="00022614" w:rsidRDefault="00022614" w:rsidP="00022614">
      <w:pPr>
        <w:rPr>
          <w:rFonts w:eastAsiaTheme="minorEastAsia"/>
        </w:rPr>
      </w:pPr>
      <w:r w:rsidRPr="00022614">
        <w:t>Price to Earnings (P/E) Ratio</w:t>
      </w:r>
      <w:r>
        <w:t xml:space="preserve"> </w:t>
      </w:r>
      <w:r>
        <w:rPr>
          <w:b/>
          <w:bCs/>
        </w:rPr>
        <w:t xml:space="preserve">= </w:t>
      </w:r>
      <m:oMath>
        <m:f>
          <m:fPr>
            <m:ctrlPr>
              <w:rPr>
                <w:rFonts w:ascii="Cambria Math" w:hAnsi="Cambria Math"/>
                <w:i/>
              </w:rPr>
            </m:ctrlPr>
          </m:fPr>
          <m:num>
            <m:r>
              <w:rPr>
                <w:rFonts w:ascii="Cambria Math" w:hAnsi="Cambria Math"/>
              </w:rPr>
              <m:t>Market Price Per Share</m:t>
            </m:r>
          </m:num>
          <m:den>
            <m:r>
              <w:rPr>
                <w:rFonts w:ascii="Cambria Math" w:hAnsi="Cambria Math"/>
              </w:rPr>
              <m:t>Earnings Per Share</m:t>
            </m:r>
          </m:den>
        </m:f>
      </m:oMath>
    </w:p>
    <w:tbl>
      <w:tblPr>
        <w:tblStyle w:val="TableGrid"/>
        <w:tblW w:w="9483" w:type="dxa"/>
        <w:tblLook w:val="04A0" w:firstRow="1" w:lastRow="0" w:firstColumn="1" w:lastColumn="0" w:noHBand="0" w:noVBand="1"/>
      </w:tblPr>
      <w:tblGrid>
        <w:gridCol w:w="3023"/>
        <w:gridCol w:w="2926"/>
        <w:gridCol w:w="3534"/>
      </w:tblGrid>
      <w:tr w:rsidR="00022614" w14:paraId="20965251" w14:textId="77777777" w:rsidTr="00B27B95">
        <w:trPr>
          <w:trHeight w:val="408"/>
        </w:trPr>
        <w:tc>
          <w:tcPr>
            <w:tcW w:w="3023" w:type="dxa"/>
          </w:tcPr>
          <w:p w14:paraId="5AB5F7A4" w14:textId="77777777" w:rsidR="00022614" w:rsidRDefault="00022614" w:rsidP="00B27B95">
            <w:pPr>
              <w:rPr>
                <w:rFonts w:eastAsiaTheme="minorEastAsia"/>
              </w:rPr>
            </w:pPr>
            <w:r>
              <w:rPr>
                <w:rFonts w:eastAsiaTheme="minorEastAsia"/>
              </w:rPr>
              <w:t xml:space="preserve">Particulars </w:t>
            </w:r>
          </w:p>
        </w:tc>
        <w:tc>
          <w:tcPr>
            <w:tcW w:w="2926" w:type="dxa"/>
          </w:tcPr>
          <w:p w14:paraId="11EA35D5" w14:textId="77777777" w:rsidR="00022614" w:rsidRDefault="00022614" w:rsidP="00B27B95">
            <w:pPr>
              <w:rPr>
                <w:rFonts w:eastAsiaTheme="minorEastAsia"/>
              </w:rPr>
            </w:pPr>
            <w:r>
              <w:rPr>
                <w:rFonts w:eastAsiaTheme="minorEastAsia"/>
              </w:rPr>
              <w:t>2024</w:t>
            </w:r>
          </w:p>
        </w:tc>
        <w:tc>
          <w:tcPr>
            <w:tcW w:w="3534" w:type="dxa"/>
          </w:tcPr>
          <w:p w14:paraId="611FEB64" w14:textId="77777777" w:rsidR="00022614" w:rsidRDefault="00022614" w:rsidP="00B27B95">
            <w:pPr>
              <w:rPr>
                <w:rFonts w:eastAsiaTheme="minorEastAsia"/>
              </w:rPr>
            </w:pPr>
            <w:r>
              <w:rPr>
                <w:rFonts w:eastAsiaTheme="minorEastAsia"/>
              </w:rPr>
              <w:t>2023</w:t>
            </w:r>
          </w:p>
        </w:tc>
      </w:tr>
      <w:tr w:rsidR="00022614" w14:paraId="69146C6B" w14:textId="77777777" w:rsidTr="00B27B95">
        <w:trPr>
          <w:trHeight w:val="1116"/>
        </w:trPr>
        <w:tc>
          <w:tcPr>
            <w:tcW w:w="3023" w:type="dxa"/>
          </w:tcPr>
          <w:p w14:paraId="6418F21A" w14:textId="03C8B479" w:rsidR="00022614" w:rsidRPr="00022614" w:rsidRDefault="00022614" w:rsidP="00022614">
            <w:pPr>
              <w:jc w:val="center"/>
              <w:rPr>
                <w:b/>
                <w:bCs/>
              </w:rPr>
            </w:pPr>
            <w:r w:rsidRPr="00022614">
              <w:rPr>
                <w:b/>
                <w:bCs/>
              </w:rPr>
              <w:t>Price to Earnings (P/E) Ratio</w:t>
            </w:r>
          </w:p>
        </w:tc>
        <w:tc>
          <w:tcPr>
            <w:tcW w:w="2926" w:type="dxa"/>
          </w:tcPr>
          <w:p w14:paraId="2C0CBC51" w14:textId="74BE4143" w:rsidR="00022614" w:rsidRDefault="00000000" w:rsidP="00B27B95">
            <w:pPr>
              <w:rPr>
                <w:rFonts w:eastAsiaTheme="minorEastAsia"/>
              </w:rPr>
            </w:pPr>
            <m:oMath>
              <m:f>
                <m:fPr>
                  <m:ctrlPr>
                    <w:rPr>
                      <w:rFonts w:ascii="Cambria Math" w:hAnsi="Cambria Math"/>
                      <w:i/>
                    </w:rPr>
                  </m:ctrlPr>
                </m:fPr>
                <m:num>
                  <m:r>
                    <w:rPr>
                      <w:rFonts w:ascii="Cambria Math" w:hAnsi="Cambria Math"/>
                    </w:rPr>
                    <m:t>159.9</m:t>
                  </m:r>
                </m:num>
                <m:den>
                  <m:r>
                    <w:rPr>
                      <w:rFonts w:ascii="Cambria Math" w:hAnsi="Cambria Math"/>
                    </w:rPr>
                    <m:t>3303</m:t>
                  </m:r>
                </m:den>
              </m:f>
            </m:oMath>
            <w:r w:rsidR="00022614">
              <w:rPr>
                <w:rFonts w:eastAsiaTheme="minorEastAsia"/>
              </w:rPr>
              <w:t>=20.67</w:t>
            </w:r>
          </w:p>
        </w:tc>
        <w:tc>
          <w:tcPr>
            <w:tcW w:w="3534" w:type="dxa"/>
          </w:tcPr>
          <w:p w14:paraId="7FA14657" w14:textId="2FAD6A86" w:rsidR="00022614" w:rsidRDefault="00000000" w:rsidP="00B27B95">
            <w:pPr>
              <w:rPr>
                <w:rFonts w:eastAsiaTheme="minorEastAsia"/>
              </w:rPr>
            </w:pPr>
            <m:oMath>
              <m:f>
                <m:fPr>
                  <m:ctrlPr>
                    <w:rPr>
                      <w:rFonts w:ascii="Cambria Math" w:hAnsi="Cambria Math"/>
                      <w:i/>
                    </w:rPr>
                  </m:ctrlPr>
                </m:fPr>
                <m:num>
                  <m:r>
                    <w:rPr>
                      <w:rFonts w:ascii="Cambria Math" w:hAnsi="Cambria Math"/>
                    </w:rPr>
                    <m:t>137.5</m:t>
                  </m:r>
                </m:num>
                <m:den>
                  <m:r>
                    <w:rPr>
                      <w:rFonts w:ascii="Cambria Math" w:hAnsi="Cambria Math"/>
                    </w:rPr>
                    <m:t>3075</m:t>
                  </m:r>
                </m:den>
              </m:f>
            </m:oMath>
            <w:r w:rsidR="00022614">
              <w:rPr>
                <w:rFonts w:eastAsiaTheme="minorEastAsia"/>
              </w:rPr>
              <w:t>= 22.36</w:t>
            </w:r>
          </w:p>
        </w:tc>
      </w:tr>
    </w:tbl>
    <w:p w14:paraId="191DB545" w14:textId="77777777" w:rsidR="00022614" w:rsidRPr="002B1971" w:rsidRDefault="00022614" w:rsidP="00022614"/>
    <w:p w14:paraId="582AED4B" w14:textId="1179F3C3" w:rsidR="00022614" w:rsidRDefault="00022614" w:rsidP="00022614">
      <w:r w:rsidRPr="00022614">
        <w:rPr>
          <w:b/>
          <w:bCs/>
        </w:rPr>
        <w:t>Interpretation:</w:t>
      </w:r>
      <w:r>
        <w:t xml:space="preserve"> </w:t>
      </w:r>
      <w:r w:rsidRPr="00022614">
        <w:t>The P/E Ratio decreased from 22.36 in 2023 to 20.66 in 2024, suggesting that the market is valuing Whitbread PLC at a lower multiple of its earnings.</w:t>
      </w:r>
    </w:p>
    <w:p w14:paraId="72B83FF7" w14:textId="77777777" w:rsidR="00022614" w:rsidRPr="00022614" w:rsidRDefault="00022614" w:rsidP="00022614">
      <w:pPr>
        <w:rPr>
          <w:b/>
          <w:bCs/>
          <w:lang w:val="en-IN"/>
        </w:rPr>
      </w:pPr>
      <w:r w:rsidRPr="00022614">
        <w:rPr>
          <w:b/>
          <w:bCs/>
          <w:lang w:val="en-IN"/>
        </w:rPr>
        <w:lastRenderedPageBreak/>
        <w:t>Reasons for Decrease in Price to Earnings (P/E) Ratio:</w:t>
      </w:r>
    </w:p>
    <w:p w14:paraId="217AD75A" w14:textId="404FEA41" w:rsidR="00022614" w:rsidRPr="00022614" w:rsidRDefault="00022614" w:rsidP="00022614">
      <w:pPr>
        <w:numPr>
          <w:ilvl w:val="0"/>
          <w:numId w:val="3"/>
        </w:numPr>
        <w:rPr>
          <w:b/>
          <w:bCs/>
          <w:lang w:val="en-IN"/>
        </w:rPr>
      </w:pPr>
      <w:r w:rsidRPr="00022614">
        <w:rPr>
          <w:b/>
          <w:bCs/>
          <w:lang w:val="en-IN"/>
        </w:rPr>
        <w:t xml:space="preserve">Stock Price Decrease Relative to Earnings: </w:t>
      </w:r>
      <w:r w:rsidRPr="00022614">
        <w:rPr>
          <w:lang w:val="en-IN"/>
        </w:rPr>
        <w:t>The decrease in P/E could indicate that the stock price has decreased, making the stock more attractively priced in relation to its earnings</w:t>
      </w:r>
      <w:r w:rsidR="00250EB7" w:rsidRPr="00250EB7">
        <w:t xml:space="preserve"> </w:t>
      </w:r>
      <w:r w:rsidR="00250EB7" w:rsidRPr="00250EB7">
        <w:rPr>
          <w:lang w:val="en-IN"/>
        </w:rPr>
        <w:t>(Eric Estevez, 2019)</w:t>
      </w:r>
      <w:r w:rsidRPr="00022614">
        <w:rPr>
          <w:lang w:val="en-IN"/>
        </w:rPr>
        <w:t>. This could reflect a decrease in investor optimism or broader market conditions.</w:t>
      </w:r>
    </w:p>
    <w:p w14:paraId="00A44B7A" w14:textId="402362D6" w:rsidR="00022614" w:rsidRPr="00022614" w:rsidRDefault="00022614" w:rsidP="00022614">
      <w:pPr>
        <w:numPr>
          <w:ilvl w:val="0"/>
          <w:numId w:val="3"/>
        </w:numPr>
        <w:rPr>
          <w:b/>
          <w:bCs/>
          <w:lang w:val="en-IN"/>
        </w:rPr>
      </w:pPr>
      <w:r w:rsidRPr="00022614">
        <w:rPr>
          <w:b/>
          <w:bCs/>
          <w:lang w:val="en-IN"/>
        </w:rPr>
        <w:t xml:space="preserve">Increased Earnings Stability: </w:t>
      </w:r>
      <w:r w:rsidRPr="00022614">
        <w:rPr>
          <w:lang w:val="en-IN"/>
        </w:rPr>
        <w:t xml:space="preserve">The lower P/E ratio could also suggest that the market views the earnings of Whitbread as more stable and less speculative, </w:t>
      </w:r>
      <w:r w:rsidR="00250EB7">
        <w:rPr>
          <w:lang w:val="en-IN"/>
        </w:rPr>
        <w:t xml:space="preserve">which leads </w:t>
      </w:r>
      <w:r w:rsidRPr="00022614">
        <w:rPr>
          <w:lang w:val="en-IN"/>
        </w:rPr>
        <w:t>to a lower premium being placed on the stock despite improved profitability</w:t>
      </w:r>
      <w:r w:rsidR="00250EB7" w:rsidRPr="00250EB7">
        <w:t xml:space="preserve"> </w:t>
      </w:r>
      <w:r w:rsidR="00250EB7" w:rsidRPr="00250EB7">
        <w:rPr>
          <w:lang w:val="en-IN"/>
        </w:rPr>
        <w:t>(Eric Estevez, 2019)</w:t>
      </w:r>
      <w:r w:rsidRPr="00022614">
        <w:rPr>
          <w:lang w:val="en-IN"/>
        </w:rPr>
        <w:t>.</w:t>
      </w:r>
    </w:p>
    <w:p w14:paraId="74A82C4B" w14:textId="11EEDCCD" w:rsidR="00022614" w:rsidRDefault="00D579B9" w:rsidP="00D579B9">
      <w:pPr>
        <w:pStyle w:val="Heading2"/>
      </w:pPr>
      <w:bookmarkStart w:id="5" w:name="_Toc203885434"/>
      <w:r>
        <w:t>Limitations of the Ratio Analysis</w:t>
      </w:r>
      <w:bookmarkEnd w:id="5"/>
      <w:r>
        <w:t xml:space="preserve"> </w:t>
      </w:r>
    </w:p>
    <w:p w14:paraId="18F9680D" w14:textId="0E89ECC6" w:rsidR="00D579B9" w:rsidRPr="00D579B9" w:rsidRDefault="00D579B9" w:rsidP="00D579B9">
      <w:pPr>
        <w:pStyle w:val="ListParagraph"/>
        <w:numPr>
          <w:ilvl w:val="0"/>
          <w:numId w:val="18"/>
        </w:numPr>
        <w:rPr>
          <w:lang w:val="en-IN"/>
        </w:rPr>
      </w:pPr>
      <w:r w:rsidRPr="00D579B9">
        <w:rPr>
          <w:b/>
          <w:bCs/>
          <w:lang w:val="en-IN"/>
        </w:rPr>
        <w:t>Lack of Context</w:t>
      </w:r>
      <w:r w:rsidRPr="00D579B9">
        <w:rPr>
          <w:lang w:val="en-IN"/>
        </w:rPr>
        <w:t>: While Whitbread’s ratios show trends in profitability, liquidity, and efficiency, they need to be compared with industry averages or competitor data to understand if the company is performing well or not</w:t>
      </w:r>
      <w:r w:rsidR="005C5EB8" w:rsidRPr="005C5EB8">
        <w:t xml:space="preserve"> </w:t>
      </w:r>
      <w:r w:rsidR="005C5EB8" w:rsidRPr="005C5EB8">
        <w:rPr>
          <w:lang w:val="en-IN"/>
        </w:rPr>
        <w:t>(CFI, 2023)</w:t>
      </w:r>
      <w:r w:rsidRPr="00D579B9">
        <w:rPr>
          <w:lang w:val="en-IN"/>
        </w:rPr>
        <w:t>.</w:t>
      </w:r>
    </w:p>
    <w:p w14:paraId="331980DB" w14:textId="5775739F" w:rsidR="00D579B9" w:rsidRPr="00D579B9" w:rsidRDefault="00D579B9" w:rsidP="00D579B9">
      <w:pPr>
        <w:pStyle w:val="ListParagraph"/>
        <w:numPr>
          <w:ilvl w:val="0"/>
          <w:numId w:val="18"/>
        </w:numPr>
        <w:rPr>
          <w:lang w:val="en-IN"/>
        </w:rPr>
      </w:pPr>
      <w:r w:rsidRPr="00D579B9">
        <w:rPr>
          <w:b/>
          <w:bCs/>
          <w:lang w:val="en-IN"/>
        </w:rPr>
        <w:t>Accounting Differences</w:t>
      </w:r>
      <w:r w:rsidRPr="00D579B9">
        <w:rPr>
          <w:lang w:val="en-IN"/>
        </w:rPr>
        <w:t>: Whitbread’s ratios could be affected by different accounting methods such as how depreciation is calculated or how inventory is valued, which may not be consistent with competitors, making direct comparisons difficult</w:t>
      </w:r>
      <w:r w:rsidR="00250EB7" w:rsidRPr="00250EB7">
        <w:t xml:space="preserve"> </w:t>
      </w:r>
      <w:r w:rsidR="00250EB7" w:rsidRPr="00250EB7">
        <w:rPr>
          <w:lang w:val="en-IN"/>
        </w:rPr>
        <w:t>(BBC, 2022)</w:t>
      </w:r>
      <w:r w:rsidRPr="00D579B9">
        <w:rPr>
          <w:lang w:val="en-IN"/>
        </w:rPr>
        <w:t>.</w:t>
      </w:r>
    </w:p>
    <w:p w14:paraId="74712BFF" w14:textId="432D9DC4" w:rsidR="00D579B9" w:rsidRPr="00D579B9" w:rsidRDefault="00D579B9" w:rsidP="00D579B9">
      <w:pPr>
        <w:pStyle w:val="ListParagraph"/>
        <w:numPr>
          <w:ilvl w:val="0"/>
          <w:numId w:val="18"/>
        </w:numPr>
        <w:rPr>
          <w:lang w:val="en-IN"/>
        </w:rPr>
      </w:pPr>
      <w:r w:rsidRPr="00D579B9">
        <w:rPr>
          <w:b/>
          <w:bCs/>
          <w:lang w:val="en-IN"/>
        </w:rPr>
        <w:t>Ignores Non-Financial Factors</w:t>
      </w:r>
      <w:r w:rsidRPr="00D579B9">
        <w:rPr>
          <w:lang w:val="en-IN"/>
        </w:rPr>
        <w:t>: The ratios, like ROCE or P/E ratio, focus only on numbers, ignoring important factors such as management decisions, market competition, or consumer trends, which can significantly impact performance</w:t>
      </w:r>
      <w:r w:rsidR="005C5EB8" w:rsidRPr="005C5EB8">
        <w:t xml:space="preserve"> </w:t>
      </w:r>
      <w:r w:rsidR="005C5EB8" w:rsidRPr="005C5EB8">
        <w:rPr>
          <w:lang w:val="en-IN"/>
        </w:rPr>
        <w:t>(CFI, 2023)</w:t>
      </w:r>
      <w:r w:rsidRPr="00D579B9">
        <w:rPr>
          <w:lang w:val="en-IN"/>
        </w:rPr>
        <w:t>.</w:t>
      </w:r>
    </w:p>
    <w:p w14:paraId="34B1B8B1" w14:textId="4E98922A" w:rsidR="00D579B9" w:rsidRPr="00D579B9" w:rsidRDefault="00D579B9" w:rsidP="00D579B9">
      <w:pPr>
        <w:pStyle w:val="ListParagraph"/>
        <w:numPr>
          <w:ilvl w:val="0"/>
          <w:numId w:val="18"/>
        </w:numPr>
        <w:rPr>
          <w:lang w:val="en-IN"/>
        </w:rPr>
      </w:pPr>
      <w:r w:rsidRPr="00D579B9">
        <w:rPr>
          <w:b/>
          <w:bCs/>
          <w:lang w:val="en-IN"/>
        </w:rPr>
        <w:t>Historical Data</w:t>
      </w:r>
      <w:r w:rsidRPr="00D579B9">
        <w:rPr>
          <w:lang w:val="en-IN"/>
        </w:rPr>
        <w:t xml:space="preserve">: Whitbread’s ratios are based on past financial data (2023 and 2024), which may not accurately reflect current market conditions or future challenges the company might face, such as changes in consumer </w:t>
      </w:r>
      <w:r w:rsidR="005C5EB8" w:rsidRPr="00D579B9">
        <w:rPr>
          <w:lang w:val="en-IN"/>
        </w:rPr>
        <w:t>behaviour</w:t>
      </w:r>
      <w:r w:rsidRPr="00D579B9">
        <w:rPr>
          <w:lang w:val="en-IN"/>
        </w:rPr>
        <w:t xml:space="preserve"> or global economic shifts.</w:t>
      </w:r>
    </w:p>
    <w:p w14:paraId="21073D3D" w14:textId="676E44EA" w:rsidR="00D579B9" w:rsidRPr="00D579B9" w:rsidRDefault="00D579B9" w:rsidP="00D579B9">
      <w:pPr>
        <w:pStyle w:val="ListParagraph"/>
        <w:numPr>
          <w:ilvl w:val="0"/>
          <w:numId w:val="18"/>
        </w:numPr>
        <w:rPr>
          <w:b/>
          <w:bCs/>
          <w:lang w:val="en-IN"/>
        </w:rPr>
      </w:pPr>
      <w:r w:rsidRPr="00D579B9">
        <w:rPr>
          <w:b/>
          <w:bCs/>
          <w:lang w:val="en-IN"/>
        </w:rPr>
        <w:t>Too Simplistic</w:t>
      </w:r>
      <w:r w:rsidRPr="00D579B9">
        <w:rPr>
          <w:lang w:val="en-IN"/>
        </w:rPr>
        <w:t>: Ratios like current ratio or inventory turnover are useful but don’t tell the whole story</w:t>
      </w:r>
      <w:r w:rsidR="00250EB7" w:rsidRPr="00250EB7">
        <w:t xml:space="preserve"> </w:t>
      </w:r>
      <w:r w:rsidR="00250EB7" w:rsidRPr="00250EB7">
        <w:rPr>
          <w:lang w:val="en-IN"/>
        </w:rPr>
        <w:t>(BBC, 2022)</w:t>
      </w:r>
      <w:r w:rsidRPr="00D579B9">
        <w:rPr>
          <w:lang w:val="en-IN"/>
        </w:rPr>
        <w:t>. For example, a decreasing current ratio might raise concerns, but it doesn’t explain if the company is investing in long-term growth or simply facing temporary cash flow issues.</w:t>
      </w:r>
    </w:p>
    <w:p w14:paraId="00A57405" w14:textId="4AF7E0ED" w:rsidR="00ED2927" w:rsidRDefault="00ED2927" w:rsidP="00ED2927">
      <w:pPr>
        <w:pStyle w:val="Heading2"/>
        <w:rPr>
          <w:sz w:val="27"/>
          <w:lang w:val="en-IN"/>
        </w:rPr>
      </w:pPr>
      <w:bookmarkStart w:id="6" w:name="_Toc203885435"/>
      <w:r>
        <w:rPr>
          <w:rStyle w:val="Strong"/>
          <w:b/>
          <w:bCs w:val="0"/>
        </w:rPr>
        <w:t>Recommendations to Improve Whitbread PLC’s Financial Management</w:t>
      </w:r>
      <w:bookmarkEnd w:id="6"/>
    </w:p>
    <w:p w14:paraId="6660A3A7" w14:textId="77777777" w:rsidR="00ED2927" w:rsidRDefault="00ED2927" w:rsidP="00ED2927">
      <w:pPr>
        <w:pStyle w:val="NormalWeb"/>
        <w:numPr>
          <w:ilvl w:val="0"/>
          <w:numId w:val="19"/>
        </w:numPr>
        <w:spacing w:line="360" w:lineRule="auto"/>
        <w:jc w:val="both"/>
      </w:pPr>
      <w:r>
        <w:rPr>
          <w:rStyle w:val="Strong"/>
          <w:rFonts w:eastAsiaTheme="majorEastAsia"/>
        </w:rPr>
        <w:t>Improve Liquidity Management</w:t>
      </w:r>
      <w:r>
        <w:t>:</w:t>
      </w:r>
    </w:p>
    <w:p w14:paraId="24733495" w14:textId="3EECC334" w:rsidR="00ED2927" w:rsidRDefault="00ED2927" w:rsidP="00ED2927">
      <w:pPr>
        <w:pStyle w:val="NormalWeb"/>
        <w:numPr>
          <w:ilvl w:val="1"/>
          <w:numId w:val="19"/>
        </w:numPr>
        <w:spacing w:line="360" w:lineRule="auto"/>
        <w:jc w:val="both"/>
      </w:pPr>
      <w:r>
        <w:rPr>
          <w:rStyle w:val="Strong"/>
          <w:rFonts w:eastAsiaTheme="majorEastAsia"/>
        </w:rPr>
        <w:t>Increase Current and Quick Ratios</w:t>
      </w:r>
      <w:r>
        <w:t xml:space="preserve">: </w:t>
      </w:r>
      <w:r w:rsidRPr="00ED2927">
        <w:t>The Current Ratio and Quick Ratio have decreased in 2024, indicating potential liquidity concerns</w:t>
      </w:r>
      <w:r w:rsidR="005C5EB8" w:rsidRPr="005C5EB8">
        <w:t xml:space="preserve"> (Salamah, 2023)</w:t>
      </w:r>
      <w:r w:rsidRPr="00ED2927">
        <w:t xml:space="preserve">. </w:t>
      </w:r>
      <w:r w:rsidRPr="00ED2927">
        <w:lastRenderedPageBreak/>
        <w:t>Whitbread should focus on improving its ability to meet short-term obligations. This could be done by reducing current liabilities, increasing liquid assets (like cash), or improving inventory management.</w:t>
      </w:r>
    </w:p>
    <w:p w14:paraId="72B5012E" w14:textId="77777777" w:rsidR="00ED2927" w:rsidRDefault="00ED2927" w:rsidP="00ED2927">
      <w:pPr>
        <w:pStyle w:val="NormalWeb"/>
        <w:numPr>
          <w:ilvl w:val="1"/>
          <w:numId w:val="19"/>
        </w:numPr>
        <w:spacing w:line="360" w:lineRule="auto"/>
        <w:jc w:val="both"/>
      </w:pPr>
      <w:r>
        <w:rPr>
          <w:rStyle w:val="Strong"/>
          <w:rFonts w:eastAsiaTheme="majorEastAsia"/>
        </w:rPr>
        <w:t>Recommendation</w:t>
      </w:r>
      <w:r>
        <w:t>: Whitbread could work on reducing short-term debt and improving cash flow management, for example, by extending payment terms with suppliers or reducing inventory levels.</w:t>
      </w:r>
    </w:p>
    <w:p w14:paraId="24FB45BD" w14:textId="77777777" w:rsidR="00ED2927" w:rsidRDefault="00ED2927" w:rsidP="00ED2927">
      <w:pPr>
        <w:pStyle w:val="NormalWeb"/>
        <w:numPr>
          <w:ilvl w:val="0"/>
          <w:numId w:val="19"/>
        </w:numPr>
        <w:spacing w:line="360" w:lineRule="auto"/>
        <w:jc w:val="both"/>
      </w:pPr>
      <w:r>
        <w:rPr>
          <w:rStyle w:val="Strong"/>
          <w:rFonts w:eastAsiaTheme="majorEastAsia"/>
        </w:rPr>
        <w:t>Optimize Inventory Management</w:t>
      </w:r>
      <w:r>
        <w:t>:</w:t>
      </w:r>
    </w:p>
    <w:p w14:paraId="56AF193C" w14:textId="11BC8E76" w:rsidR="00ED2927" w:rsidRDefault="00ED2927" w:rsidP="00ED2927">
      <w:pPr>
        <w:pStyle w:val="NormalWeb"/>
        <w:numPr>
          <w:ilvl w:val="1"/>
          <w:numId w:val="19"/>
        </w:numPr>
        <w:spacing w:line="360" w:lineRule="auto"/>
        <w:jc w:val="both"/>
      </w:pPr>
      <w:r>
        <w:rPr>
          <w:rStyle w:val="Strong"/>
          <w:rFonts w:eastAsiaTheme="majorEastAsia"/>
        </w:rPr>
        <w:t>Decrease Inventory Turnover Days</w:t>
      </w:r>
      <w:r>
        <w:t xml:space="preserve">: </w:t>
      </w:r>
      <w:r w:rsidRPr="00ED2927">
        <w:t>The Inventory Turnover Days increased from 101.93 days to 113.15 days. This suggests slower inventory movement, which can lead to higher holding costs.</w:t>
      </w:r>
    </w:p>
    <w:p w14:paraId="1667E7C5" w14:textId="145C40C0" w:rsidR="00ED2927" w:rsidRDefault="00ED2927" w:rsidP="00250EB7">
      <w:pPr>
        <w:pStyle w:val="NormalWeb"/>
        <w:numPr>
          <w:ilvl w:val="1"/>
          <w:numId w:val="19"/>
        </w:numPr>
        <w:spacing w:line="360" w:lineRule="auto"/>
        <w:jc w:val="both"/>
      </w:pPr>
      <w:r>
        <w:rPr>
          <w:rStyle w:val="Strong"/>
          <w:rFonts w:eastAsiaTheme="majorEastAsia"/>
        </w:rPr>
        <w:t>Recommendation</w:t>
      </w:r>
      <w:r>
        <w:t>: Whitbread should improve its inventory management by adopting just-in-time inventory systems, better demand forecasting, and stock optimization to reduce holding costs and improve cash flow</w:t>
      </w:r>
      <w:r w:rsidR="00250EB7" w:rsidRPr="00250EB7">
        <w:t xml:space="preserve"> (Maverick, 2024)</w:t>
      </w:r>
      <w:r>
        <w:t>.</w:t>
      </w:r>
    </w:p>
    <w:p w14:paraId="2B33234B" w14:textId="77777777" w:rsidR="00ED2927" w:rsidRDefault="00ED2927" w:rsidP="00ED2927">
      <w:pPr>
        <w:pStyle w:val="NormalWeb"/>
        <w:numPr>
          <w:ilvl w:val="0"/>
          <w:numId w:val="19"/>
        </w:numPr>
        <w:spacing w:line="360" w:lineRule="auto"/>
        <w:jc w:val="both"/>
      </w:pPr>
      <w:r>
        <w:rPr>
          <w:rStyle w:val="Strong"/>
          <w:rFonts w:eastAsiaTheme="majorEastAsia"/>
        </w:rPr>
        <w:t>Reduce Debt Levels</w:t>
      </w:r>
      <w:r>
        <w:t>:</w:t>
      </w:r>
    </w:p>
    <w:p w14:paraId="63DDCCF6" w14:textId="0C611670" w:rsidR="00ED2927" w:rsidRDefault="00ED2927" w:rsidP="00ED2927">
      <w:pPr>
        <w:pStyle w:val="NormalWeb"/>
        <w:numPr>
          <w:ilvl w:val="1"/>
          <w:numId w:val="19"/>
        </w:numPr>
        <w:spacing w:line="360" w:lineRule="auto"/>
        <w:jc w:val="both"/>
      </w:pPr>
      <w:r>
        <w:rPr>
          <w:rStyle w:val="Strong"/>
          <w:rFonts w:eastAsiaTheme="majorEastAsia"/>
        </w:rPr>
        <w:t>Lower Debt-to-Equity and Gearing Ratios</w:t>
      </w:r>
      <w:r>
        <w:t xml:space="preserve">: </w:t>
      </w:r>
      <w:r w:rsidRPr="00ED2927">
        <w:t>Both the Debt-to-Equity Ratio and Gearing Ratio have slightly increased, suggesting that Whitbread is becoming more reliant on debt financing</w:t>
      </w:r>
      <w:r w:rsidR="00250EB7" w:rsidRPr="00250EB7">
        <w:t xml:space="preserve"> (Investopedia, 2021)</w:t>
      </w:r>
      <w:r w:rsidRPr="00ED2927">
        <w:t>. While the current levels are manageable, continued reliance on debt could increase financial risk.</w:t>
      </w:r>
    </w:p>
    <w:p w14:paraId="4F0CD59A" w14:textId="3906C396" w:rsidR="00ED2927" w:rsidRDefault="00ED2927" w:rsidP="00ED2927">
      <w:pPr>
        <w:pStyle w:val="NormalWeb"/>
        <w:numPr>
          <w:ilvl w:val="1"/>
          <w:numId w:val="19"/>
        </w:numPr>
        <w:spacing w:line="360" w:lineRule="auto"/>
        <w:jc w:val="both"/>
      </w:pPr>
      <w:r>
        <w:rPr>
          <w:rStyle w:val="Strong"/>
          <w:rFonts w:eastAsiaTheme="majorEastAsia"/>
        </w:rPr>
        <w:t>Recommendation</w:t>
      </w:r>
      <w:r>
        <w:t>: Whitbread should consider reducing its reliance on debt by increasing equity through issuing shares or retaining more profits</w:t>
      </w:r>
      <w:r w:rsidR="005C5EB8" w:rsidRPr="005C5EB8">
        <w:t xml:space="preserve"> (Salamah, 2023)</w:t>
      </w:r>
      <w:r>
        <w:t>. Reducing debt could help the company manage interest expenses and decrease financial risk.</w:t>
      </w:r>
    </w:p>
    <w:p w14:paraId="3A6B65CA" w14:textId="77777777" w:rsidR="00ED2927" w:rsidRDefault="00ED2927" w:rsidP="00ED2927">
      <w:pPr>
        <w:pStyle w:val="NormalWeb"/>
        <w:numPr>
          <w:ilvl w:val="0"/>
          <w:numId w:val="19"/>
        </w:numPr>
        <w:spacing w:line="360" w:lineRule="auto"/>
        <w:jc w:val="both"/>
      </w:pPr>
      <w:r>
        <w:rPr>
          <w:rStyle w:val="Strong"/>
          <w:rFonts w:eastAsiaTheme="majorEastAsia"/>
        </w:rPr>
        <w:t>Enhance Profitability</w:t>
      </w:r>
      <w:r>
        <w:t>:</w:t>
      </w:r>
    </w:p>
    <w:p w14:paraId="452CBEFD" w14:textId="06D07E44" w:rsidR="00ED2927" w:rsidRDefault="00ED2927" w:rsidP="00ED2927">
      <w:pPr>
        <w:pStyle w:val="NormalWeb"/>
        <w:numPr>
          <w:ilvl w:val="1"/>
          <w:numId w:val="19"/>
        </w:numPr>
        <w:spacing w:line="360" w:lineRule="auto"/>
        <w:jc w:val="both"/>
      </w:pPr>
      <w:r>
        <w:rPr>
          <w:rStyle w:val="Strong"/>
          <w:rFonts w:eastAsiaTheme="majorEastAsia"/>
        </w:rPr>
        <w:t>Maintain High Profit Margins</w:t>
      </w:r>
      <w:r>
        <w:t xml:space="preserve">: </w:t>
      </w:r>
      <w:r w:rsidRPr="00ED2927">
        <w:t>While profitability ratios, such as the Gross Profit Margin and Operating Profit Margin, have improved, Whitbread should continue efforts to improve cost management and increase revenues to maintain these margins</w:t>
      </w:r>
      <w:r w:rsidR="00321F0D" w:rsidRPr="00321F0D">
        <w:t xml:space="preserve"> (Eades, 2025)</w:t>
      </w:r>
      <w:r w:rsidRPr="00ED2927">
        <w:t>.</w:t>
      </w:r>
    </w:p>
    <w:p w14:paraId="60A7CA1F" w14:textId="69CCC49C" w:rsidR="00ED2927" w:rsidRDefault="00ED2927" w:rsidP="00ED2927">
      <w:pPr>
        <w:pStyle w:val="NormalWeb"/>
        <w:numPr>
          <w:ilvl w:val="1"/>
          <w:numId w:val="19"/>
        </w:numPr>
        <w:spacing w:line="360" w:lineRule="auto"/>
        <w:jc w:val="both"/>
      </w:pPr>
      <w:r>
        <w:rPr>
          <w:rStyle w:val="Strong"/>
          <w:rFonts w:eastAsiaTheme="majorEastAsia"/>
        </w:rPr>
        <w:t>Recommendation</w:t>
      </w:r>
      <w:r>
        <w:t>: The company should focus on driving revenue growth through expanding market share, improving product offerings, and controlling costs</w:t>
      </w:r>
      <w:r w:rsidR="00321F0D" w:rsidRPr="00321F0D">
        <w:t xml:space="preserve"> (Eades, 2025)</w:t>
      </w:r>
      <w:r>
        <w:t>. Investments in technology or automation could also help in improving operational efficiency.</w:t>
      </w:r>
    </w:p>
    <w:p w14:paraId="2001FBC7" w14:textId="77777777" w:rsidR="00ED2927" w:rsidRDefault="00ED2927" w:rsidP="00ED2927">
      <w:pPr>
        <w:pStyle w:val="NormalWeb"/>
        <w:numPr>
          <w:ilvl w:val="0"/>
          <w:numId w:val="19"/>
        </w:numPr>
        <w:spacing w:line="360" w:lineRule="auto"/>
        <w:jc w:val="both"/>
      </w:pPr>
      <w:r>
        <w:rPr>
          <w:rStyle w:val="Strong"/>
          <w:rFonts w:eastAsiaTheme="majorEastAsia"/>
        </w:rPr>
        <w:t>Leverage Assets More Efficiently</w:t>
      </w:r>
      <w:r>
        <w:t>:</w:t>
      </w:r>
    </w:p>
    <w:p w14:paraId="0724C615" w14:textId="06E76BBD" w:rsidR="00ED2927" w:rsidRDefault="00ED2927" w:rsidP="00ED2927">
      <w:pPr>
        <w:pStyle w:val="NormalWeb"/>
        <w:numPr>
          <w:ilvl w:val="1"/>
          <w:numId w:val="19"/>
        </w:numPr>
        <w:spacing w:line="360" w:lineRule="auto"/>
        <w:jc w:val="both"/>
      </w:pPr>
      <w:r>
        <w:rPr>
          <w:rStyle w:val="Strong"/>
          <w:rFonts w:eastAsiaTheme="majorEastAsia"/>
        </w:rPr>
        <w:lastRenderedPageBreak/>
        <w:t>Improve Asset and Fixed Asset Turnover</w:t>
      </w:r>
      <w:r>
        <w:t xml:space="preserve">: </w:t>
      </w:r>
      <w:r w:rsidRPr="00ED2927">
        <w:t>The company’s Asset Turnover and Fixed Asset Turnover have improved, but there is still potential for further improvement.</w:t>
      </w:r>
    </w:p>
    <w:p w14:paraId="28CFBD5E" w14:textId="77777777" w:rsidR="00ED2927" w:rsidRDefault="00ED2927" w:rsidP="00ED2927">
      <w:pPr>
        <w:pStyle w:val="NormalWeb"/>
        <w:numPr>
          <w:ilvl w:val="1"/>
          <w:numId w:val="19"/>
        </w:numPr>
        <w:spacing w:line="360" w:lineRule="auto"/>
        <w:jc w:val="both"/>
      </w:pPr>
      <w:r>
        <w:rPr>
          <w:rStyle w:val="Strong"/>
          <w:rFonts w:eastAsiaTheme="majorEastAsia"/>
        </w:rPr>
        <w:t>Recommendation</w:t>
      </w:r>
      <w:r>
        <w:t>: Whitbread should continue to focus on utilizing its assets more effectively to generate revenue. Investments in high-return assets, reducing excess idle assets, and enhancing capital allocation strategies could further increase asset efficiency.</w:t>
      </w:r>
    </w:p>
    <w:p w14:paraId="44A0794B" w14:textId="77777777" w:rsidR="00ED2927" w:rsidRDefault="00ED2927" w:rsidP="00ED2927">
      <w:pPr>
        <w:pStyle w:val="NormalWeb"/>
        <w:numPr>
          <w:ilvl w:val="0"/>
          <w:numId w:val="19"/>
        </w:numPr>
        <w:spacing w:line="360" w:lineRule="auto"/>
        <w:jc w:val="both"/>
      </w:pPr>
      <w:r>
        <w:rPr>
          <w:rStyle w:val="Strong"/>
          <w:rFonts w:eastAsiaTheme="majorEastAsia"/>
        </w:rPr>
        <w:t>Maintain Strong Interest Coverage</w:t>
      </w:r>
      <w:r>
        <w:t>:</w:t>
      </w:r>
    </w:p>
    <w:p w14:paraId="5B5A0A49" w14:textId="058EE749" w:rsidR="00ED2927" w:rsidRDefault="00ED2927" w:rsidP="00ED2927">
      <w:pPr>
        <w:pStyle w:val="NormalWeb"/>
        <w:numPr>
          <w:ilvl w:val="1"/>
          <w:numId w:val="19"/>
        </w:numPr>
        <w:spacing w:line="360" w:lineRule="auto"/>
        <w:jc w:val="both"/>
      </w:pPr>
      <w:r>
        <w:rPr>
          <w:rStyle w:val="Strong"/>
          <w:rFonts w:eastAsiaTheme="majorEastAsia"/>
        </w:rPr>
        <w:t>Focus on Reducing Debt Financing</w:t>
      </w:r>
      <w:r>
        <w:t xml:space="preserve">: </w:t>
      </w:r>
      <w:r w:rsidRPr="00ED2927">
        <w:t>The Interest Coverage Ratio has improved, but Whitbread should continue to focus on maintaining this ratio by managing interest expenses and maintaining strong earnings before interest and tax (EBIT).</w:t>
      </w:r>
    </w:p>
    <w:p w14:paraId="28497CC5" w14:textId="5FA832E9" w:rsidR="00ED2927" w:rsidRDefault="00ED2927" w:rsidP="00ED2927">
      <w:pPr>
        <w:pStyle w:val="NormalWeb"/>
        <w:numPr>
          <w:ilvl w:val="1"/>
          <w:numId w:val="19"/>
        </w:numPr>
        <w:spacing w:line="360" w:lineRule="auto"/>
        <w:jc w:val="both"/>
      </w:pPr>
      <w:r>
        <w:rPr>
          <w:rStyle w:val="Strong"/>
          <w:rFonts w:eastAsiaTheme="majorEastAsia"/>
        </w:rPr>
        <w:t>Recommendation</w:t>
      </w:r>
      <w:r>
        <w:t>: Whitbread could explore ways to refinance existing debt to reduce interest payments or focus on growing EBIT through enhanced profitability, which will help maintain its ability to meet interest obligations</w:t>
      </w:r>
      <w:r w:rsidR="005C5EB8">
        <w:t xml:space="preserve"> </w:t>
      </w:r>
      <w:r w:rsidR="005C5EB8" w:rsidRPr="005C5EB8">
        <w:t>(Salamah, 2023)</w:t>
      </w:r>
      <w:r>
        <w:t>.</w:t>
      </w:r>
    </w:p>
    <w:p w14:paraId="26445AC6" w14:textId="77777777" w:rsidR="00ED2927" w:rsidRDefault="00ED2927" w:rsidP="00ED2927">
      <w:pPr>
        <w:pStyle w:val="NormalWeb"/>
        <w:numPr>
          <w:ilvl w:val="0"/>
          <w:numId w:val="19"/>
        </w:numPr>
        <w:spacing w:line="360" w:lineRule="auto"/>
        <w:jc w:val="both"/>
      </w:pPr>
      <w:r>
        <w:rPr>
          <w:rStyle w:val="Strong"/>
          <w:rFonts w:eastAsiaTheme="majorEastAsia"/>
        </w:rPr>
        <w:t>Monitor Market Valuation</w:t>
      </w:r>
      <w:r>
        <w:t>:</w:t>
      </w:r>
    </w:p>
    <w:p w14:paraId="275B232A" w14:textId="79145B4F" w:rsidR="00ED2927" w:rsidRDefault="00ED2927" w:rsidP="00ED2927">
      <w:pPr>
        <w:pStyle w:val="NormalWeb"/>
        <w:numPr>
          <w:ilvl w:val="1"/>
          <w:numId w:val="19"/>
        </w:numPr>
        <w:spacing w:line="360" w:lineRule="auto"/>
        <w:jc w:val="both"/>
      </w:pPr>
      <w:r>
        <w:rPr>
          <w:rStyle w:val="Strong"/>
          <w:rFonts w:eastAsiaTheme="majorEastAsia"/>
        </w:rPr>
        <w:t>Control the P/E Ratio</w:t>
      </w:r>
      <w:r>
        <w:t xml:space="preserve">: The </w:t>
      </w:r>
      <w:r w:rsidRPr="00ED2927">
        <w:rPr>
          <w:rStyle w:val="Strong"/>
          <w:rFonts w:eastAsiaTheme="majorEastAsia"/>
          <w:b w:val="0"/>
          <w:bCs w:val="0"/>
        </w:rPr>
        <w:t>P/E Ratio</w:t>
      </w:r>
      <w:r>
        <w:t xml:space="preserve"> has decreased, which might indicate the stock is being valued more reasonably by the market</w:t>
      </w:r>
      <w:r w:rsidR="00321F0D" w:rsidRPr="00321F0D">
        <w:t xml:space="preserve"> (Bajaj </w:t>
      </w:r>
      <w:proofErr w:type="spellStart"/>
      <w:r w:rsidR="00321F0D" w:rsidRPr="00321F0D">
        <w:t>Finserv</w:t>
      </w:r>
      <w:proofErr w:type="spellEnd"/>
      <w:r w:rsidR="00321F0D" w:rsidRPr="00321F0D">
        <w:t>, 2023)</w:t>
      </w:r>
      <w:r>
        <w:t>. However, it could also suggest a more cautious investor sentiment.</w:t>
      </w:r>
    </w:p>
    <w:p w14:paraId="6E60D5CD" w14:textId="77777777" w:rsidR="00ED2927" w:rsidRDefault="00ED2927" w:rsidP="00ED2927">
      <w:pPr>
        <w:pStyle w:val="NormalWeb"/>
        <w:numPr>
          <w:ilvl w:val="1"/>
          <w:numId w:val="19"/>
        </w:numPr>
        <w:spacing w:line="360" w:lineRule="auto"/>
        <w:jc w:val="both"/>
      </w:pPr>
      <w:r>
        <w:rPr>
          <w:rStyle w:val="Strong"/>
          <w:rFonts w:eastAsiaTheme="majorEastAsia"/>
        </w:rPr>
        <w:t>Recommendation</w:t>
      </w:r>
      <w:r>
        <w:t>: Whitbread should focus on increasing investor confidence by delivering strong financial performance, improving future growth prospects, and maintaining a consistent dividend policy to help boost its market valuation.</w:t>
      </w:r>
    </w:p>
    <w:p w14:paraId="0061EDD4" w14:textId="77777777" w:rsidR="00D579B9" w:rsidRPr="00D579B9" w:rsidRDefault="00D579B9" w:rsidP="00D579B9"/>
    <w:p w14:paraId="7896DF55" w14:textId="3196348C" w:rsidR="00022614" w:rsidRPr="00022614" w:rsidRDefault="004678EA" w:rsidP="00022614">
      <w:r w:rsidRPr="00022614">
        <w:br w:type="page"/>
      </w:r>
    </w:p>
    <w:p w14:paraId="4CA2148D" w14:textId="53D86F8E" w:rsidR="004678EA" w:rsidRDefault="00ED2927" w:rsidP="00ED2927">
      <w:pPr>
        <w:pStyle w:val="Heading1"/>
      </w:pPr>
      <w:bookmarkStart w:id="7" w:name="_Toc203885436"/>
      <w:r>
        <w:lastRenderedPageBreak/>
        <w:t>Part 02</w:t>
      </w:r>
      <w:bookmarkEnd w:id="7"/>
    </w:p>
    <w:p w14:paraId="178CF0AA" w14:textId="48599BC7" w:rsidR="00ED2927" w:rsidRDefault="0015726F" w:rsidP="0015726F">
      <w:pPr>
        <w:pStyle w:val="Heading2"/>
      </w:pPr>
      <w:bookmarkStart w:id="8" w:name="_Toc203885437"/>
      <w:r w:rsidRPr="0015726F">
        <w:t xml:space="preserve">Business Report: Investment Appraisal for </w:t>
      </w:r>
      <w:proofErr w:type="spellStart"/>
      <w:r w:rsidRPr="0015726F">
        <w:t>Jordons</w:t>
      </w:r>
      <w:proofErr w:type="spellEnd"/>
      <w:r w:rsidRPr="0015726F">
        <w:t xml:space="preserve"> Plc</w:t>
      </w:r>
      <w:bookmarkEnd w:id="8"/>
    </w:p>
    <w:p w14:paraId="1197EE4F" w14:textId="155FF3C1" w:rsidR="0015726F" w:rsidRPr="00CD3CA8" w:rsidRDefault="0015726F" w:rsidP="00CD3CA8">
      <w:pPr>
        <w:pStyle w:val="ListParagraph"/>
        <w:numPr>
          <w:ilvl w:val="1"/>
          <w:numId w:val="3"/>
        </w:numPr>
        <w:rPr>
          <w:b/>
          <w:bCs/>
        </w:rPr>
      </w:pPr>
      <w:r w:rsidRPr="00CD3CA8">
        <w:rPr>
          <w:b/>
          <w:bCs/>
        </w:rPr>
        <w:t>Investment Appraisal and Recommendation</w:t>
      </w:r>
    </w:p>
    <w:p w14:paraId="6B730FB9" w14:textId="4EC0421C" w:rsidR="0015726F" w:rsidRDefault="0015726F" w:rsidP="0015726F">
      <w:pPr>
        <w:rPr>
          <w:lang w:val="en-IN"/>
        </w:rPr>
      </w:pPr>
      <w:r w:rsidRPr="0015726F">
        <w:rPr>
          <w:lang w:val="en-IN"/>
        </w:rPr>
        <w:t>The Net Present Value (NPV) technique is employed to evaluate the financial attractiveness of each investment option</w:t>
      </w:r>
      <w:r w:rsidR="00321F0D" w:rsidRPr="00321F0D">
        <w:t xml:space="preserve"> </w:t>
      </w:r>
      <w:r w:rsidR="00321F0D" w:rsidRPr="00321F0D">
        <w:rPr>
          <w:lang w:val="en-IN"/>
        </w:rPr>
        <w:t>(Singhal, 2024)</w:t>
      </w:r>
      <w:r w:rsidRPr="0015726F">
        <w:rPr>
          <w:lang w:val="en-IN"/>
        </w:rPr>
        <w:t>. This method discounts future cash flows to their present value, providing a direct measure of the value added to the firm by undertaking a project. A positive NPV indicates that the project is expected to generate returns in excess of the cost of capital, thereby increasing shareholder wealth.</w:t>
      </w:r>
      <w:r>
        <w:rPr>
          <w:lang w:val="en-IN"/>
        </w:rPr>
        <w:t xml:space="preserve"> </w:t>
      </w:r>
      <w:r w:rsidRPr="0015726F">
        <w:rPr>
          <w:lang w:val="en-IN"/>
        </w:rPr>
        <w:t>The analysis incorporates a corporation tax rate of 25% and capital allowances of 20% on a straight-line basis. The cost of capital is assumed to be 6%</w:t>
      </w:r>
      <w:r>
        <w:rPr>
          <w:lang w:val="en-IN"/>
        </w:rPr>
        <w:t xml:space="preserve">. </w:t>
      </w:r>
    </w:p>
    <w:p w14:paraId="281A3334" w14:textId="7B7F5712" w:rsidR="0015726F" w:rsidRDefault="0015726F" w:rsidP="0015726F">
      <w:pPr>
        <w:rPr>
          <w:rFonts w:eastAsiaTheme="minorEastAsia"/>
          <w:lang w:val="en-IN"/>
        </w:rPr>
      </w:pPr>
      <w:r>
        <w:rPr>
          <w:lang w:val="en-IN"/>
        </w:rPr>
        <w:t xml:space="preserve">NPV= </w:t>
      </w:r>
      <m:oMath>
        <m:r>
          <w:rPr>
            <w:rFonts w:ascii="Cambria Math" w:hAnsi="Cambria Math"/>
            <w:lang w:val="en-IN"/>
          </w:rPr>
          <m:t>-Initial Investment+ ∑</m:t>
        </m:r>
        <m:f>
          <m:fPr>
            <m:ctrlPr>
              <w:rPr>
                <w:rFonts w:ascii="Cambria Math" w:hAnsi="Cambria Math"/>
                <w:i/>
                <w:lang w:val="en-IN"/>
              </w:rPr>
            </m:ctrlPr>
          </m:fPr>
          <m:num>
            <m:r>
              <w:rPr>
                <w:rFonts w:ascii="Cambria Math" w:hAnsi="Cambria Math"/>
                <w:lang w:val="en-IN"/>
              </w:rPr>
              <m:t>After-tax Cashflow+Tax Shield</m:t>
            </m:r>
          </m:num>
          <m:den>
            <m:sSup>
              <m:sSupPr>
                <m:ctrlPr>
                  <w:rPr>
                    <w:rFonts w:ascii="Cambria Math" w:hAnsi="Cambria Math"/>
                    <w:i/>
                    <w:lang w:val="en-IN"/>
                  </w:rPr>
                </m:ctrlPr>
              </m:sSupPr>
              <m:e>
                <m:r>
                  <w:rPr>
                    <w:rFonts w:ascii="Cambria Math" w:hAnsi="Cambria Math"/>
                    <w:lang w:val="en-IN"/>
                  </w:rPr>
                  <m:t>(1+r)</m:t>
                </m:r>
              </m:e>
              <m:sup>
                <m:r>
                  <w:rPr>
                    <w:rFonts w:ascii="Cambria Math" w:hAnsi="Cambria Math"/>
                    <w:lang w:val="en-IN"/>
                  </w:rPr>
                  <m:t>t</m:t>
                </m:r>
              </m:sup>
            </m:sSup>
          </m:den>
        </m:f>
      </m:oMath>
    </w:p>
    <w:p w14:paraId="02791FBD" w14:textId="3B5EA667" w:rsidR="0015726F" w:rsidRDefault="00AA71E7" w:rsidP="0015726F">
      <w:pPr>
        <w:rPr>
          <w:rFonts w:eastAsiaTheme="minorEastAsia"/>
          <w:b/>
          <w:bCs/>
          <w:lang w:val="en-IN"/>
        </w:rPr>
      </w:pPr>
      <w:r w:rsidRPr="00AA71E7">
        <w:rPr>
          <w:rFonts w:eastAsiaTheme="minorEastAsia"/>
          <w:b/>
          <w:bCs/>
          <w:lang w:val="en-IN"/>
        </w:rPr>
        <w:t>Option A: Expand Retail Outlet</w:t>
      </w:r>
      <m:oMath>
        <m:r>
          <m:rPr>
            <m:sty m:val="b"/>
          </m:rPr>
          <w:rPr>
            <w:rFonts w:ascii="Cambria Math" w:hAnsi="Cambria Math"/>
            <w:lang w:val="en-IN"/>
          </w:rPr>
          <m:t>​</m:t>
        </m:r>
      </m:oMath>
    </w:p>
    <w:p w14:paraId="7EE95275" w14:textId="5D918194" w:rsidR="00AA71E7" w:rsidRPr="00AA71E7" w:rsidRDefault="00AA71E7" w:rsidP="0015726F">
      <w:pPr>
        <w:rPr>
          <w:lang w:val="en-IN"/>
        </w:rPr>
      </w:pPr>
      <w:proofErr w:type="spellStart"/>
      <w:r w:rsidRPr="00AA71E7">
        <w:t>Jordons</w:t>
      </w:r>
      <w:proofErr w:type="spellEnd"/>
      <w:r w:rsidRPr="00AA71E7">
        <w:t xml:space="preserve"> Plc is considering three alternative investment options for expanding its business. The first option is to expand its flourishing retail outlet to include all products. This involves an initial investment of £600,000, with expected cash flows of £200,000, £300,000, £400,000, and £500,000 over the next four years. After accounting for the capital allowances of £120,000 per year</w:t>
      </w:r>
      <w:r>
        <w:t xml:space="preserve"> (</w:t>
      </w:r>
      <w:r w:rsidRPr="00AA71E7">
        <w:t>20% on a straight-line basis</w:t>
      </w:r>
      <w:r>
        <w:t>)</w:t>
      </w:r>
      <w:r w:rsidRPr="00AA71E7">
        <w:t xml:space="preserve"> and a 25% corporation tax rate, the after-tax cash flows are adjusted for each year, and the present value of these cash flows is calculated using a 6% discount rate. </w:t>
      </w:r>
    </w:p>
    <w:tbl>
      <w:tblPr>
        <w:tblStyle w:val="GridTable4-Accent4"/>
        <w:tblW w:w="0" w:type="auto"/>
        <w:tblLook w:val="04A0" w:firstRow="1" w:lastRow="0" w:firstColumn="1" w:lastColumn="0" w:noHBand="0" w:noVBand="1"/>
      </w:tblPr>
      <w:tblGrid>
        <w:gridCol w:w="551"/>
        <w:gridCol w:w="1516"/>
        <w:gridCol w:w="1164"/>
        <w:gridCol w:w="1344"/>
        <w:gridCol w:w="831"/>
        <w:gridCol w:w="1615"/>
        <w:gridCol w:w="993"/>
        <w:gridCol w:w="1002"/>
      </w:tblGrid>
      <w:tr w:rsidR="00AA71E7" w:rsidRPr="00AA71E7" w14:paraId="49E86835" w14:textId="77777777" w:rsidTr="00AA71E7">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0" w:type="dxa"/>
            <w:noWrap/>
            <w:hideMark/>
          </w:tcPr>
          <w:p w14:paraId="19764529" w14:textId="77777777" w:rsidR="00AA71E7" w:rsidRPr="00AA71E7" w:rsidRDefault="00AA71E7" w:rsidP="00AA71E7">
            <w:pPr>
              <w:rPr>
                <w:lang w:val="en-IN"/>
              </w:rPr>
            </w:pPr>
            <w:r w:rsidRPr="00AA71E7">
              <w:t>Year</w:t>
            </w:r>
          </w:p>
        </w:tc>
        <w:tc>
          <w:tcPr>
            <w:tcW w:w="3100" w:type="dxa"/>
            <w:noWrap/>
            <w:hideMark/>
          </w:tcPr>
          <w:p w14:paraId="694803BE" w14:textId="77777777" w:rsidR="00AA71E7" w:rsidRPr="00AA71E7" w:rsidRDefault="00AA71E7">
            <w:pPr>
              <w:cnfStyle w:val="100000000000" w:firstRow="1" w:lastRow="0" w:firstColumn="0" w:lastColumn="0" w:oddVBand="0" w:evenVBand="0" w:oddHBand="0" w:evenHBand="0" w:firstRowFirstColumn="0" w:firstRowLastColumn="0" w:lastRowFirstColumn="0" w:lastRowLastColumn="0"/>
            </w:pPr>
            <w:r w:rsidRPr="00AA71E7">
              <w:t>Cash Flow (£'000)</w:t>
            </w:r>
          </w:p>
        </w:tc>
        <w:tc>
          <w:tcPr>
            <w:tcW w:w="2320" w:type="dxa"/>
            <w:noWrap/>
            <w:hideMark/>
          </w:tcPr>
          <w:p w14:paraId="0AC485AA" w14:textId="77777777" w:rsidR="00AA71E7" w:rsidRPr="00AA71E7" w:rsidRDefault="00AA71E7">
            <w:pPr>
              <w:cnfStyle w:val="100000000000" w:firstRow="1" w:lastRow="0" w:firstColumn="0" w:lastColumn="0" w:oddVBand="0" w:evenVBand="0" w:oddHBand="0" w:evenHBand="0" w:firstRowFirstColumn="0" w:firstRowLastColumn="0" w:lastRowFirstColumn="0" w:lastRowLastColumn="0"/>
            </w:pPr>
            <w:r w:rsidRPr="00AA71E7">
              <w:t>Capital Allowance (£'000)</w:t>
            </w:r>
          </w:p>
        </w:tc>
        <w:tc>
          <w:tcPr>
            <w:tcW w:w="2720" w:type="dxa"/>
            <w:noWrap/>
            <w:hideMark/>
          </w:tcPr>
          <w:p w14:paraId="304884FA" w14:textId="77777777" w:rsidR="00AA71E7" w:rsidRPr="00AA71E7" w:rsidRDefault="00AA71E7">
            <w:pPr>
              <w:cnfStyle w:val="100000000000" w:firstRow="1" w:lastRow="0" w:firstColumn="0" w:lastColumn="0" w:oddVBand="0" w:evenVBand="0" w:oddHBand="0" w:evenHBand="0" w:firstRowFirstColumn="0" w:firstRowLastColumn="0" w:lastRowFirstColumn="0" w:lastRowLastColumn="0"/>
            </w:pPr>
            <w:r w:rsidRPr="00AA71E7">
              <w:t>Taxable Profit (CF - CA) (£'000)</w:t>
            </w:r>
          </w:p>
        </w:tc>
        <w:tc>
          <w:tcPr>
            <w:tcW w:w="1580" w:type="dxa"/>
            <w:noWrap/>
            <w:hideMark/>
          </w:tcPr>
          <w:p w14:paraId="692249D4" w14:textId="77777777" w:rsidR="00AA71E7" w:rsidRPr="00AA71E7" w:rsidRDefault="00AA71E7">
            <w:pPr>
              <w:cnfStyle w:val="100000000000" w:firstRow="1" w:lastRow="0" w:firstColumn="0" w:lastColumn="0" w:oddVBand="0" w:evenVBand="0" w:oddHBand="0" w:evenHBand="0" w:firstRowFirstColumn="0" w:firstRowLastColumn="0" w:lastRowFirstColumn="0" w:lastRowLastColumn="0"/>
            </w:pPr>
            <w:r w:rsidRPr="00AA71E7">
              <w:t>Tax (25%) (£'000)</w:t>
            </w:r>
          </w:p>
        </w:tc>
        <w:tc>
          <w:tcPr>
            <w:tcW w:w="3320" w:type="dxa"/>
            <w:noWrap/>
            <w:hideMark/>
          </w:tcPr>
          <w:p w14:paraId="63773024" w14:textId="77777777" w:rsidR="00AA71E7" w:rsidRPr="00AA71E7" w:rsidRDefault="00AA71E7">
            <w:pPr>
              <w:cnfStyle w:val="100000000000" w:firstRow="1" w:lastRow="0" w:firstColumn="0" w:lastColumn="0" w:oddVBand="0" w:evenVBand="0" w:oddHBand="0" w:evenHBand="0" w:firstRowFirstColumn="0" w:firstRowLastColumn="0" w:lastRowFirstColumn="0" w:lastRowLastColumn="0"/>
            </w:pPr>
            <w:r w:rsidRPr="00AA71E7">
              <w:t>After-Tax Cash Flow (CF - Tax) (£'000)</w:t>
            </w:r>
          </w:p>
        </w:tc>
        <w:tc>
          <w:tcPr>
            <w:tcW w:w="1940" w:type="dxa"/>
            <w:noWrap/>
            <w:hideMark/>
          </w:tcPr>
          <w:p w14:paraId="6E7EC505" w14:textId="77777777" w:rsidR="00AA71E7" w:rsidRPr="00AA71E7" w:rsidRDefault="00AA71E7">
            <w:pPr>
              <w:cnfStyle w:val="100000000000" w:firstRow="1" w:lastRow="0" w:firstColumn="0" w:lastColumn="0" w:oddVBand="0" w:evenVBand="0" w:oddHBand="0" w:evenHBand="0" w:firstRowFirstColumn="0" w:firstRowLastColumn="0" w:lastRowFirstColumn="0" w:lastRowLastColumn="0"/>
            </w:pPr>
            <w:r w:rsidRPr="00AA71E7">
              <w:t>Discount Factor (6%)</w:t>
            </w:r>
          </w:p>
        </w:tc>
        <w:tc>
          <w:tcPr>
            <w:tcW w:w="1960" w:type="dxa"/>
            <w:noWrap/>
            <w:hideMark/>
          </w:tcPr>
          <w:p w14:paraId="105938E5" w14:textId="77777777" w:rsidR="00AA71E7" w:rsidRPr="00AA71E7" w:rsidRDefault="00AA71E7">
            <w:pPr>
              <w:cnfStyle w:val="100000000000" w:firstRow="1" w:lastRow="0" w:firstColumn="0" w:lastColumn="0" w:oddVBand="0" w:evenVBand="0" w:oddHBand="0" w:evenHBand="0" w:firstRowFirstColumn="0" w:firstRowLastColumn="0" w:lastRowFirstColumn="0" w:lastRowLastColumn="0"/>
            </w:pPr>
            <w:r w:rsidRPr="00AA71E7">
              <w:t>Present Value (£'000)</w:t>
            </w:r>
          </w:p>
        </w:tc>
      </w:tr>
      <w:tr w:rsidR="00AA71E7" w:rsidRPr="00AA71E7" w14:paraId="577FDD8A" w14:textId="77777777" w:rsidTr="00AA71E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0" w:type="dxa"/>
            <w:noWrap/>
            <w:hideMark/>
          </w:tcPr>
          <w:p w14:paraId="73F289E0" w14:textId="77777777" w:rsidR="00AA71E7" w:rsidRPr="00AA71E7" w:rsidRDefault="00AA71E7" w:rsidP="00AA71E7">
            <w:pPr>
              <w:rPr>
                <w:b w:val="0"/>
                <w:bCs w:val="0"/>
              </w:rPr>
            </w:pPr>
            <w:r w:rsidRPr="00AA71E7">
              <w:rPr>
                <w:b w:val="0"/>
                <w:bCs w:val="0"/>
              </w:rPr>
              <w:t>0</w:t>
            </w:r>
          </w:p>
        </w:tc>
        <w:tc>
          <w:tcPr>
            <w:tcW w:w="3100" w:type="dxa"/>
            <w:noWrap/>
            <w:hideMark/>
          </w:tcPr>
          <w:p w14:paraId="3AA0414C"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-600</w:t>
            </w:r>
          </w:p>
        </w:tc>
        <w:tc>
          <w:tcPr>
            <w:tcW w:w="2320" w:type="dxa"/>
            <w:noWrap/>
            <w:hideMark/>
          </w:tcPr>
          <w:p w14:paraId="30F5E23E"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p>
        </w:tc>
        <w:tc>
          <w:tcPr>
            <w:tcW w:w="2720" w:type="dxa"/>
            <w:noWrap/>
            <w:hideMark/>
          </w:tcPr>
          <w:p w14:paraId="63F531FF" w14:textId="77777777" w:rsidR="00AA71E7" w:rsidRPr="00AA71E7" w:rsidRDefault="00AA71E7">
            <w:pPr>
              <w:cnfStyle w:val="000000100000" w:firstRow="0" w:lastRow="0" w:firstColumn="0" w:lastColumn="0" w:oddVBand="0" w:evenVBand="0" w:oddHBand="1" w:evenHBand="0" w:firstRowFirstColumn="0" w:firstRowLastColumn="0" w:lastRowFirstColumn="0" w:lastRowLastColumn="0"/>
            </w:pPr>
          </w:p>
        </w:tc>
        <w:tc>
          <w:tcPr>
            <w:tcW w:w="1580" w:type="dxa"/>
            <w:noWrap/>
            <w:hideMark/>
          </w:tcPr>
          <w:p w14:paraId="508BFCCC" w14:textId="77777777" w:rsidR="00AA71E7" w:rsidRPr="00AA71E7" w:rsidRDefault="00AA71E7">
            <w:pPr>
              <w:cnfStyle w:val="000000100000" w:firstRow="0" w:lastRow="0" w:firstColumn="0" w:lastColumn="0" w:oddVBand="0" w:evenVBand="0" w:oddHBand="1" w:evenHBand="0" w:firstRowFirstColumn="0" w:firstRowLastColumn="0" w:lastRowFirstColumn="0" w:lastRowLastColumn="0"/>
            </w:pPr>
          </w:p>
        </w:tc>
        <w:tc>
          <w:tcPr>
            <w:tcW w:w="3320" w:type="dxa"/>
            <w:noWrap/>
            <w:hideMark/>
          </w:tcPr>
          <w:p w14:paraId="256DECF0" w14:textId="77777777" w:rsidR="00AA71E7" w:rsidRPr="00AA71E7" w:rsidRDefault="00AA71E7">
            <w:pPr>
              <w:cnfStyle w:val="000000100000" w:firstRow="0" w:lastRow="0" w:firstColumn="0" w:lastColumn="0" w:oddVBand="0" w:evenVBand="0" w:oddHBand="1" w:evenHBand="0" w:firstRowFirstColumn="0" w:firstRowLastColumn="0" w:lastRowFirstColumn="0" w:lastRowLastColumn="0"/>
            </w:pPr>
          </w:p>
        </w:tc>
        <w:tc>
          <w:tcPr>
            <w:tcW w:w="1940" w:type="dxa"/>
            <w:noWrap/>
            <w:hideMark/>
          </w:tcPr>
          <w:p w14:paraId="052769F7" w14:textId="77777777" w:rsidR="00AA71E7" w:rsidRPr="00AA71E7" w:rsidRDefault="00AA71E7">
            <w:pPr>
              <w:cnfStyle w:val="000000100000" w:firstRow="0" w:lastRow="0" w:firstColumn="0" w:lastColumn="0" w:oddVBand="0" w:evenVBand="0" w:oddHBand="1" w:evenHBand="0" w:firstRowFirstColumn="0" w:firstRowLastColumn="0" w:lastRowFirstColumn="0" w:lastRowLastColumn="0"/>
            </w:pPr>
          </w:p>
        </w:tc>
        <w:tc>
          <w:tcPr>
            <w:tcW w:w="1960" w:type="dxa"/>
            <w:noWrap/>
            <w:hideMark/>
          </w:tcPr>
          <w:p w14:paraId="5418D3BD"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-600</w:t>
            </w:r>
          </w:p>
        </w:tc>
      </w:tr>
      <w:tr w:rsidR="00AA71E7" w:rsidRPr="00AA71E7" w14:paraId="6016FF10" w14:textId="77777777" w:rsidTr="00AA71E7">
        <w:trPr>
          <w:trHeight w:val="288"/>
        </w:trPr>
        <w:tc>
          <w:tcPr>
            <w:cnfStyle w:val="001000000000" w:firstRow="0" w:lastRow="0" w:firstColumn="1" w:lastColumn="0" w:oddVBand="0" w:evenVBand="0" w:oddHBand="0" w:evenHBand="0" w:firstRowFirstColumn="0" w:firstRowLastColumn="0" w:lastRowFirstColumn="0" w:lastRowLastColumn="0"/>
            <w:tcW w:w="960" w:type="dxa"/>
            <w:noWrap/>
            <w:hideMark/>
          </w:tcPr>
          <w:p w14:paraId="5F62D5D7" w14:textId="77777777" w:rsidR="00AA71E7" w:rsidRPr="00AA71E7" w:rsidRDefault="00AA71E7" w:rsidP="00AA71E7">
            <w:pPr>
              <w:rPr>
                <w:b w:val="0"/>
                <w:bCs w:val="0"/>
              </w:rPr>
            </w:pPr>
            <w:r w:rsidRPr="00AA71E7">
              <w:rPr>
                <w:b w:val="0"/>
                <w:bCs w:val="0"/>
              </w:rPr>
              <w:t>1</w:t>
            </w:r>
          </w:p>
        </w:tc>
        <w:tc>
          <w:tcPr>
            <w:tcW w:w="3100" w:type="dxa"/>
            <w:noWrap/>
            <w:hideMark/>
          </w:tcPr>
          <w:p w14:paraId="6DB289B8"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200</w:t>
            </w:r>
          </w:p>
        </w:tc>
        <w:tc>
          <w:tcPr>
            <w:tcW w:w="2320" w:type="dxa"/>
            <w:noWrap/>
            <w:hideMark/>
          </w:tcPr>
          <w:p w14:paraId="755A5845"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120</w:t>
            </w:r>
          </w:p>
        </w:tc>
        <w:tc>
          <w:tcPr>
            <w:tcW w:w="2720" w:type="dxa"/>
            <w:noWrap/>
            <w:hideMark/>
          </w:tcPr>
          <w:p w14:paraId="25F935CC"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80</w:t>
            </w:r>
          </w:p>
        </w:tc>
        <w:tc>
          <w:tcPr>
            <w:tcW w:w="1580" w:type="dxa"/>
            <w:noWrap/>
            <w:hideMark/>
          </w:tcPr>
          <w:p w14:paraId="649187C8"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20</w:t>
            </w:r>
          </w:p>
        </w:tc>
        <w:tc>
          <w:tcPr>
            <w:tcW w:w="3320" w:type="dxa"/>
            <w:noWrap/>
            <w:hideMark/>
          </w:tcPr>
          <w:p w14:paraId="3E12F818"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180</w:t>
            </w:r>
          </w:p>
        </w:tc>
        <w:tc>
          <w:tcPr>
            <w:tcW w:w="1940" w:type="dxa"/>
            <w:noWrap/>
            <w:hideMark/>
          </w:tcPr>
          <w:p w14:paraId="78C494E5"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0.943396226</w:t>
            </w:r>
          </w:p>
        </w:tc>
        <w:tc>
          <w:tcPr>
            <w:tcW w:w="1960" w:type="dxa"/>
            <w:noWrap/>
            <w:hideMark/>
          </w:tcPr>
          <w:p w14:paraId="28910FC7"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169.8113208</w:t>
            </w:r>
          </w:p>
        </w:tc>
      </w:tr>
      <w:tr w:rsidR="00AA71E7" w:rsidRPr="00AA71E7" w14:paraId="0F08570E" w14:textId="77777777" w:rsidTr="00AA71E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0" w:type="dxa"/>
            <w:noWrap/>
            <w:hideMark/>
          </w:tcPr>
          <w:p w14:paraId="6D43E45F" w14:textId="77777777" w:rsidR="00AA71E7" w:rsidRPr="00AA71E7" w:rsidRDefault="00AA71E7" w:rsidP="00AA71E7">
            <w:pPr>
              <w:rPr>
                <w:b w:val="0"/>
                <w:bCs w:val="0"/>
              </w:rPr>
            </w:pPr>
            <w:r w:rsidRPr="00AA71E7">
              <w:rPr>
                <w:b w:val="0"/>
                <w:bCs w:val="0"/>
              </w:rPr>
              <w:t>2</w:t>
            </w:r>
          </w:p>
        </w:tc>
        <w:tc>
          <w:tcPr>
            <w:tcW w:w="3100" w:type="dxa"/>
            <w:noWrap/>
            <w:hideMark/>
          </w:tcPr>
          <w:p w14:paraId="609D0F5D"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300</w:t>
            </w:r>
          </w:p>
        </w:tc>
        <w:tc>
          <w:tcPr>
            <w:tcW w:w="2320" w:type="dxa"/>
            <w:noWrap/>
            <w:hideMark/>
          </w:tcPr>
          <w:p w14:paraId="0463508F"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120</w:t>
            </w:r>
          </w:p>
        </w:tc>
        <w:tc>
          <w:tcPr>
            <w:tcW w:w="2720" w:type="dxa"/>
            <w:noWrap/>
            <w:hideMark/>
          </w:tcPr>
          <w:p w14:paraId="71163565"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180</w:t>
            </w:r>
          </w:p>
        </w:tc>
        <w:tc>
          <w:tcPr>
            <w:tcW w:w="1580" w:type="dxa"/>
            <w:noWrap/>
            <w:hideMark/>
          </w:tcPr>
          <w:p w14:paraId="7C0B4D69"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45</w:t>
            </w:r>
          </w:p>
        </w:tc>
        <w:tc>
          <w:tcPr>
            <w:tcW w:w="3320" w:type="dxa"/>
            <w:noWrap/>
            <w:hideMark/>
          </w:tcPr>
          <w:p w14:paraId="58A5C0BC"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255</w:t>
            </w:r>
          </w:p>
        </w:tc>
        <w:tc>
          <w:tcPr>
            <w:tcW w:w="1940" w:type="dxa"/>
            <w:noWrap/>
            <w:hideMark/>
          </w:tcPr>
          <w:p w14:paraId="69DFD56B"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0.88999644</w:t>
            </w:r>
          </w:p>
        </w:tc>
        <w:tc>
          <w:tcPr>
            <w:tcW w:w="1960" w:type="dxa"/>
            <w:noWrap/>
            <w:hideMark/>
          </w:tcPr>
          <w:p w14:paraId="4B0B6401"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226.9490922</w:t>
            </w:r>
          </w:p>
        </w:tc>
      </w:tr>
      <w:tr w:rsidR="00AA71E7" w:rsidRPr="00AA71E7" w14:paraId="3A780951" w14:textId="77777777" w:rsidTr="00AA71E7">
        <w:trPr>
          <w:trHeight w:val="288"/>
        </w:trPr>
        <w:tc>
          <w:tcPr>
            <w:cnfStyle w:val="001000000000" w:firstRow="0" w:lastRow="0" w:firstColumn="1" w:lastColumn="0" w:oddVBand="0" w:evenVBand="0" w:oddHBand="0" w:evenHBand="0" w:firstRowFirstColumn="0" w:firstRowLastColumn="0" w:lastRowFirstColumn="0" w:lastRowLastColumn="0"/>
            <w:tcW w:w="960" w:type="dxa"/>
            <w:noWrap/>
            <w:hideMark/>
          </w:tcPr>
          <w:p w14:paraId="4E005BA6" w14:textId="77777777" w:rsidR="00AA71E7" w:rsidRPr="00AA71E7" w:rsidRDefault="00AA71E7" w:rsidP="00AA71E7">
            <w:pPr>
              <w:rPr>
                <w:b w:val="0"/>
                <w:bCs w:val="0"/>
              </w:rPr>
            </w:pPr>
            <w:r w:rsidRPr="00AA71E7">
              <w:rPr>
                <w:b w:val="0"/>
                <w:bCs w:val="0"/>
              </w:rPr>
              <w:lastRenderedPageBreak/>
              <w:t>3</w:t>
            </w:r>
          </w:p>
        </w:tc>
        <w:tc>
          <w:tcPr>
            <w:tcW w:w="3100" w:type="dxa"/>
            <w:noWrap/>
            <w:hideMark/>
          </w:tcPr>
          <w:p w14:paraId="7EC8C58B"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400</w:t>
            </w:r>
          </w:p>
        </w:tc>
        <w:tc>
          <w:tcPr>
            <w:tcW w:w="2320" w:type="dxa"/>
            <w:noWrap/>
            <w:hideMark/>
          </w:tcPr>
          <w:p w14:paraId="774F6851"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120</w:t>
            </w:r>
          </w:p>
        </w:tc>
        <w:tc>
          <w:tcPr>
            <w:tcW w:w="2720" w:type="dxa"/>
            <w:noWrap/>
            <w:hideMark/>
          </w:tcPr>
          <w:p w14:paraId="3C61F153"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280</w:t>
            </w:r>
          </w:p>
        </w:tc>
        <w:tc>
          <w:tcPr>
            <w:tcW w:w="1580" w:type="dxa"/>
            <w:noWrap/>
            <w:hideMark/>
          </w:tcPr>
          <w:p w14:paraId="1473C769"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70</w:t>
            </w:r>
          </w:p>
        </w:tc>
        <w:tc>
          <w:tcPr>
            <w:tcW w:w="3320" w:type="dxa"/>
            <w:noWrap/>
            <w:hideMark/>
          </w:tcPr>
          <w:p w14:paraId="38B5BAD9"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330</w:t>
            </w:r>
          </w:p>
        </w:tc>
        <w:tc>
          <w:tcPr>
            <w:tcW w:w="1940" w:type="dxa"/>
            <w:noWrap/>
            <w:hideMark/>
          </w:tcPr>
          <w:p w14:paraId="2ECDD70C"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0.839619283</w:t>
            </w:r>
          </w:p>
        </w:tc>
        <w:tc>
          <w:tcPr>
            <w:tcW w:w="1960" w:type="dxa"/>
            <w:noWrap/>
            <w:hideMark/>
          </w:tcPr>
          <w:p w14:paraId="29BFB463"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277.0743634</w:t>
            </w:r>
          </w:p>
        </w:tc>
      </w:tr>
      <w:tr w:rsidR="00AA71E7" w:rsidRPr="00AA71E7" w14:paraId="03495514" w14:textId="77777777" w:rsidTr="00AA71E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0" w:type="dxa"/>
            <w:noWrap/>
            <w:hideMark/>
          </w:tcPr>
          <w:p w14:paraId="2A0A299D" w14:textId="77777777" w:rsidR="00AA71E7" w:rsidRPr="00AA71E7" w:rsidRDefault="00AA71E7" w:rsidP="00AA71E7">
            <w:pPr>
              <w:rPr>
                <w:b w:val="0"/>
                <w:bCs w:val="0"/>
              </w:rPr>
            </w:pPr>
            <w:r w:rsidRPr="00AA71E7">
              <w:rPr>
                <w:b w:val="0"/>
                <w:bCs w:val="0"/>
              </w:rPr>
              <w:t>4</w:t>
            </w:r>
          </w:p>
        </w:tc>
        <w:tc>
          <w:tcPr>
            <w:tcW w:w="3100" w:type="dxa"/>
            <w:noWrap/>
            <w:hideMark/>
          </w:tcPr>
          <w:p w14:paraId="62EB46EC"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500</w:t>
            </w:r>
          </w:p>
        </w:tc>
        <w:tc>
          <w:tcPr>
            <w:tcW w:w="2320" w:type="dxa"/>
            <w:noWrap/>
            <w:hideMark/>
          </w:tcPr>
          <w:p w14:paraId="770CB23C"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120</w:t>
            </w:r>
          </w:p>
        </w:tc>
        <w:tc>
          <w:tcPr>
            <w:tcW w:w="2720" w:type="dxa"/>
            <w:noWrap/>
            <w:hideMark/>
          </w:tcPr>
          <w:p w14:paraId="3D1E9438"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380</w:t>
            </w:r>
          </w:p>
        </w:tc>
        <w:tc>
          <w:tcPr>
            <w:tcW w:w="1580" w:type="dxa"/>
            <w:noWrap/>
            <w:hideMark/>
          </w:tcPr>
          <w:p w14:paraId="5928FBE3"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95</w:t>
            </w:r>
          </w:p>
        </w:tc>
        <w:tc>
          <w:tcPr>
            <w:tcW w:w="3320" w:type="dxa"/>
            <w:noWrap/>
            <w:hideMark/>
          </w:tcPr>
          <w:p w14:paraId="1454219D"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405</w:t>
            </w:r>
          </w:p>
        </w:tc>
        <w:tc>
          <w:tcPr>
            <w:tcW w:w="1940" w:type="dxa"/>
            <w:noWrap/>
            <w:hideMark/>
          </w:tcPr>
          <w:p w14:paraId="7A9A37F5"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0.792093663</w:t>
            </w:r>
          </w:p>
        </w:tc>
        <w:tc>
          <w:tcPr>
            <w:tcW w:w="1960" w:type="dxa"/>
            <w:noWrap/>
            <w:hideMark/>
          </w:tcPr>
          <w:p w14:paraId="0961AD7D"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320.7979336</w:t>
            </w:r>
          </w:p>
        </w:tc>
      </w:tr>
      <w:tr w:rsidR="00AA71E7" w:rsidRPr="00AA71E7" w14:paraId="1895399C" w14:textId="77777777" w:rsidTr="00AA71E7">
        <w:trPr>
          <w:trHeight w:val="288"/>
        </w:trPr>
        <w:tc>
          <w:tcPr>
            <w:cnfStyle w:val="001000000000" w:firstRow="0" w:lastRow="0" w:firstColumn="1" w:lastColumn="0" w:oddVBand="0" w:evenVBand="0" w:oddHBand="0" w:evenHBand="0" w:firstRowFirstColumn="0" w:firstRowLastColumn="0" w:lastRowFirstColumn="0" w:lastRowLastColumn="0"/>
            <w:tcW w:w="960" w:type="dxa"/>
            <w:noWrap/>
            <w:hideMark/>
          </w:tcPr>
          <w:p w14:paraId="2F518A60" w14:textId="77777777" w:rsidR="00AA71E7" w:rsidRPr="00AA71E7" w:rsidRDefault="00AA71E7" w:rsidP="00AA71E7"/>
        </w:tc>
        <w:tc>
          <w:tcPr>
            <w:tcW w:w="3100" w:type="dxa"/>
            <w:noWrap/>
            <w:hideMark/>
          </w:tcPr>
          <w:p w14:paraId="663661DD" w14:textId="77777777" w:rsidR="00AA71E7" w:rsidRPr="00AA71E7" w:rsidRDefault="00AA71E7">
            <w:pPr>
              <w:cnfStyle w:val="000000000000" w:firstRow="0" w:lastRow="0" w:firstColumn="0" w:lastColumn="0" w:oddVBand="0" w:evenVBand="0" w:oddHBand="0" w:evenHBand="0" w:firstRowFirstColumn="0" w:firstRowLastColumn="0" w:lastRowFirstColumn="0" w:lastRowLastColumn="0"/>
              <w:rPr>
                <w:b/>
                <w:bCs/>
              </w:rPr>
            </w:pPr>
          </w:p>
        </w:tc>
        <w:tc>
          <w:tcPr>
            <w:tcW w:w="2320" w:type="dxa"/>
            <w:noWrap/>
            <w:hideMark/>
          </w:tcPr>
          <w:p w14:paraId="4F5535B9" w14:textId="77777777" w:rsidR="00AA71E7" w:rsidRPr="00AA71E7" w:rsidRDefault="00AA71E7">
            <w:pPr>
              <w:cnfStyle w:val="000000000000" w:firstRow="0" w:lastRow="0" w:firstColumn="0" w:lastColumn="0" w:oddVBand="0" w:evenVBand="0" w:oddHBand="0" w:evenHBand="0" w:firstRowFirstColumn="0" w:firstRowLastColumn="0" w:lastRowFirstColumn="0" w:lastRowLastColumn="0"/>
              <w:rPr>
                <w:b/>
                <w:bCs/>
              </w:rPr>
            </w:pPr>
          </w:p>
        </w:tc>
        <w:tc>
          <w:tcPr>
            <w:tcW w:w="2720" w:type="dxa"/>
            <w:noWrap/>
            <w:hideMark/>
          </w:tcPr>
          <w:p w14:paraId="12FADD44" w14:textId="77777777" w:rsidR="00AA71E7" w:rsidRPr="00AA71E7" w:rsidRDefault="00AA71E7">
            <w:pPr>
              <w:cnfStyle w:val="000000000000" w:firstRow="0" w:lastRow="0" w:firstColumn="0" w:lastColumn="0" w:oddVBand="0" w:evenVBand="0" w:oddHBand="0" w:evenHBand="0" w:firstRowFirstColumn="0" w:firstRowLastColumn="0" w:lastRowFirstColumn="0" w:lastRowLastColumn="0"/>
              <w:rPr>
                <w:b/>
                <w:bCs/>
              </w:rPr>
            </w:pPr>
          </w:p>
        </w:tc>
        <w:tc>
          <w:tcPr>
            <w:tcW w:w="1580" w:type="dxa"/>
            <w:noWrap/>
            <w:hideMark/>
          </w:tcPr>
          <w:p w14:paraId="3D073220" w14:textId="77777777" w:rsidR="00AA71E7" w:rsidRPr="00AA71E7" w:rsidRDefault="00AA71E7">
            <w:pPr>
              <w:cnfStyle w:val="000000000000" w:firstRow="0" w:lastRow="0" w:firstColumn="0" w:lastColumn="0" w:oddVBand="0" w:evenVBand="0" w:oddHBand="0" w:evenHBand="0" w:firstRowFirstColumn="0" w:firstRowLastColumn="0" w:lastRowFirstColumn="0" w:lastRowLastColumn="0"/>
              <w:rPr>
                <w:b/>
                <w:bCs/>
              </w:rPr>
            </w:pPr>
          </w:p>
        </w:tc>
        <w:tc>
          <w:tcPr>
            <w:tcW w:w="3320" w:type="dxa"/>
            <w:noWrap/>
            <w:hideMark/>
          </w:tcPr>
          <w:p w14:paraId="581AC6D9" w14:textId="77777777" w:rsidR="00AA71E7" w:rsidRPr="00AA71E7" w:rsidRDefault="00AA71E7">
            <w:pPr>
              <w:cnfStyle w:val="000000000000" w:firstRow="0" w:lastRow="0" w:firstColumn="0" w:lastColumn="0" w:oddVBand="0" w:evenVBand="0" w:oddHBand="0" w:evenHBand="0" w:firstRowFirstColumn="0" w:firstRowLastColumn="0" w:lastRowFirstColumn="0" w:lastRowLastColumn="0"/>
              <w:rPr>
                <w:b/>
                <w:bCs/>
              </w:rPr>
            </w:pPr>
          </w:p>
        </w:tc>
        <w:tc>
          <w:tcPr>
            <w:tcW w:w="1940" w:type="dxa"/>
            <w:noWrap/>
            <w:hideMark/>
          </w:tcPr>
          <w:p w14:paraId="164B48C7" w14:textId="77777777" w:rsidR="00AA71E7" w:rsidRPr="00AA71E7" w:rsidRDefault="00AA71E7">
            <w:pPr>
              <w:cnfStyle w:val="000000000000" w:firstRow="0" w:lastRow="0" w:firstColumn="0" w:lastColumn="0" w:oddVBand="0" w:evenVBand="0" w:oddHBand="0" w:evenHBand="0" w:firstRowFirstColumn="0" w:firstRowLastColumn="0" w:lastRowFirstColumn="0" w:lastRowLastColumn="0"/>
              <w:rPr>
                <w:b/>
                <w:bCs/>
              </w:rPr>
            </w:pPr>
            <w:r w:rsidRPr="00AA71E7">
              <w:rPr>
                <w:b/>
                <w:bCs/>
              </w:rPr>
              <w:t>NPV</w:t>
            </w:r>
          </w:p>
        </w:tc>
        <w:tc>
          <w:tcPr>
            <w:tcW w:w="1960" w:type="dxa"/>
            <w:noWrap/>
            <w:hideMark/>
          </w:tcPr>
          <w:p w14:paraId="6133BAE1"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rPr>
                <w:b/>
                <w:bCs/>
              </w:rPr>
            </w:pPr>
            <w:r w:rsidRPr="00AA71E7">
              <w:rPr>
                <w:b/>
                <w:bCs/>
              </w:rPr>
              <w:t>394.63271</w:t>
            </w:r>
          </w:p>
        </w:tc>
      </w:tr>
    </w:tbl>
    <w:p w14:paraId="52E9E4C4" w14:textId="77777777" w:rsidR="0015726F" w:rsidRPr="0015726F" w:rsidRDefault="0015726F" w:rsidP="0015726F">
      <w:pPr>
        <w:rPr>
          <w:b/>
          <w:bCs/>
          <w:lang w:val="en-IN"/>
        </w:rPr>
      </w:pPr>
    </w:p>
    <w:p w14:paraId="2FBFB717" w14:textId="5ED6B03C" w:rsidR="0015726F" w:rsidRDefault="00AA71E7" w:rsidP="0015726F">
      <w:r w:rsidRPr="00AA71E7">
        <w:rPr>
          <w:b/>
          <w:bCs/>
        </w:rPr>
        <w:t xml:space="preserve">Interpretation: </w:t>
      </w:r>
      <w:r w:rsidRPr="00AA71E7">
        <w:t>The NPV for Option A (Expand Retail Outlet) is £394,632.71, meaning the project will generate a positive return after covering the initial investment of £600,000. This shows that the expansion is financially viable, adding value to the business. However, compared to the other options, it provides a smaller return. This suggests that while the retail expansion is profitable, it offers less growth potential than other alternatives like internet sales or producing curtains</w:t>
      </w:r>
      <w:r w:rsidR="00321F0D" w:rsidRPr="00321F0D">
        <w:t xml:space="preserve"> (Reinartz, Wiegand and </w:t>
      </w:r>
      <w:proofErr w:type="spellStart"/>
      <w:r w:rsidR="00321F0D" w:rsidRPr="00321F0D">
        <w:t>Imschloss</w:t>
      </w:r>
      <w:proofErr w:type="spellEnd"/>
      <w:r w:rsidR="00321F0D" w:rsidRPr="00321F0D">
        <w:t>, 2020)</w:t>
      </w:r>
      <w:r w:rsidRPr="00AA71E7">
        <w:t>. Overall, the project is a good investment but may not be the best option for significant growth.</w:t>
      </w:r>
    </w:p>
    <w:p w14:paraId="48A04CC0" w14:textId="1D5CE1AA" w:rsidR="00AA71E7" w:rsidRDefault="00AA71E7" w:rsidP="0015726F">
      <w:pPr>
        <w:rPr>
          <w:b/>
          <w:bCs/>
        </w:rPr>
      </w:pPr>
      <w:r w:rsidRPr="00AA71E7">
        <w:rPr>
          <w:b/>
          <w:bCs/>
        </w:rPr>
        <w:t>Option B: Develop Internet Sales</w:t>
      </w:r>
    </w:p>
    <w:p w14:paraId="4D00F8DE" w14:textId="6D33CB3B" w:rsidR="00AA71E7" w:rsidRDefault="00AA71E7" w:rsidP="0015726F">
      <w:r w:rsidRPr="00AA71E7">
        <w:t xml:space="preserve">The second option is to develop into internet sales, which would require a larger initial investment of £1,000,000. The expected cash flows for this option are £400,000, £450,000, £650,000, and £980,000 over the next four years. Similar to Option A, capital allowances and tax effects are applied. </w:t>
      </w:r>
    </w:p>
    <w:tbl>
      <w:tblPr>
        <w:tblStyle w:val="GridTable4-Accent4"/>
        <w:tblW w:w="0" w:type="auto"/>
        <w:tblLook w:val="04A0" w:firstRow="1" w:lastRow="0" w:firstColumn="1" w:lastColumn="0" w:noHBand="0" w:noVBand="1"/>
      </w:tblPr>
      <w:tblGrid>
        <w:gridCol w:w="551"/>
        <w:gridCol w:w="1516"/>
        <w:gridCol w:w="1164"/>
        <w:gridCol w:w="1344"/>
        <w:gridCol w:w="831"/>
        <w:gridCol w:w="1615"/>
        <w:gridCol w:w="993"/>
        <w:gridCol w:w="1002"/>
      </w:tblGrid>
      <w:tr w:rsidR="00AA71E7" w:rsidRPr="00AA71E7" w14:paraId="343BF03E" w14:textId="77777777" w:rsidTr="00AA71E7">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0" w:type="dxa"/>
            <w:noWrap/>
            <w:hideMark/>
          </w:tcPr>
          <w:p w14:paraId="49BC238D" w14:textId="77777777" w:rsidR="00AA71E7" w:rsidRPr="00AA71E7" w:rsidRDefault="00AA71E7" w:rsidP="00AA71E7">
            <w:pPr>
              <w:rPr>
                <w:lang w:val="en-IN"/>
              </w:rPr>
            </w:pPr>
            <w:r w:rsidRPr="00AA71E7">
              <w:t>Year</w:t>
            </w:r>
          </w:p>
        </w:tc>
        <w:tc>
          <w:tcPr>
            <w:tcW w:w="3100" w:type="dxa"/>
            <w:noWrap/>
            <w:hideMark/>
          </w:tcPr>
          <w:p w14:paraId="51ACBDC0" w14:textId="77777777" w:rsidR="00AA71E7" w:rsidRPr="00AA71E7" w:rsidRDefault="00AA71E7">
            <w:pPr>
              <w:cnfStyle w:val="100000000000" w:firstRow="1" w:lastRow="0" w:firstColumn="0" w:lastColumn="0" w:oddVBand="0" w:evenVBand="0" w:oddHBand="0" w:evenHBand="0" w:firstRowFirstColumn="0" w:firstRowLastColumn="0" w:lastRowFirstColumn="0" w:lastRowLastColumn="0"/>
            </w:pPr>
            <w:r w:rsidRPr="00AA71E7">
              <w:t>Cash Flow (£'000)</w:t>
            </w:r>
          </w:p>
        </w:tc>
        <w:tc>
          <w:tcPr>
            <w:tcW w:w="2320" w:type="dxa"/>
            <w:noWrap/>
            <w:hideMark/>
          </w:tcPr>
          <w:p w14:paraId="6AF84D4F" w14:textId="77777777" w:rsidR="00AA71E7" w:rsidRPr="00AA71E7" w:rsidRDefault="00AA71E7">
            <w:pPr>
              <w:cnfStyle w:val="100000000000" w:firstRow="1" w:lastRow="0" w:firstColumn="0" w:lastColumn="0" w:oddVBand="0" w:evenVBand="0" w:oddHBand="0" w:evenHBand="0" w:firstRowFirstColumn="0" w:firstRowLastColumn="0" w:lastRowFirstColumn="0" w:lastRowLastColumn="0"/>
            </w:pPr>
            <w:r w:rsidRPr="00AA71E7">
              <w:t>Capital Allowance (£'000)</w:t>
            </w:r>
          </w:p>
        </w:tc>
        <w:tc>
          <w:tcPr>
            <w:tcW w:w="2720" w:type="dxa"/>
            <w:noWrap/>
            <w:hideMark/>
          </w:tcPr>
          <w:p w14:paraId="52BAB261" w14:textId="77777777" w:rsidR="00AA71E7" w:rsidRPr="00AA71E7" w:rsidRDefault="00AA71E7">
            <w:pPr>
              <w:cnfStyle w:val="100000000000" w:firstRow="1" w:lastRow="0" w:firstColumn="0" w:lastColumn="0" w:oddVBand="0" w:evenVBand="0" w:oddHBand="0" w:evenHBand="0" w:firstRowFirstColumn="0" w:firstRowLastColumn="0" w:lastRowFirstColumn="0" w:lastRowLastColumn="0"/>
            </w:pPr>
            <w:r w:rsidRPr="00AA71E7">
              <w:t>Taxable Profit (CF - CA) (£'000)</w:t>
            </w:r>
          </w:p>
        </w:tc>
        <w:tc>
          <w:tcPr>
            <w:tcW w:w="1580" w:type="dxa"/>
            <w:noWrap/>
            <w:hideMark/>
          </w:tcPr>
          <w:p w14:paraId="5F5A159E" w14:textId="77777777" w:rsidR="00AA71E7" w:rsidRPr="00AA71E7" w:rsidRDefault="00AA71E7">
            <w:pPr>
              <w:cnfStyle w:val="100000000000" w:firstRow="1" w:lastRow="0" w:firstColumn="0" w:lastColumn="0" w:oddVBand="0" w:evenVBand="0" w:oddHBand="0" w:evenHBand="0" w:firstRowFirstColumn="0" w:firstRowLastColumn="0" w:lastRowFirstColumn="0" w:lastRowLastColumn="0"/>
            </w:pPr>
            <w:r w:rsidRPr="00AA71E7">
              <w:t>Tax (25%) (£'000)</w:t>
            </w:r>
          </w:p>
        </w:tc>
        <w:tc>
          <w:tcPr>
            <w:tcW w:w="3320" w:type="dxa"/>
            <w:noWrap/>
            <w:hideMark/>
          </w:tcPr>
          <w:p w14:paraId="1DFC3B32" w14:textId="77777777" w:rsidR="00AA71E7" w:rsidRPr="00AA71E7" w:rsidRDefault="00AA71E7">
            <w:pPr>
              <w:cnfStyle w:val="100000000000" w:firstRow="1" w:lastRow="0" w:firstColumn="0" w:lastColumn="0" w:oddVBand="0" w:evenVBand="0" w:oddHBand="0" w:evenHBand="0" w:firstRowFirstColumn="0" w:firstRowLastColumn="0" w:lastRowFirstColumn="0" w:lastRowLastColumn="0"/>
            </w:pPr>
            <w:r w:rsidRPr="00AA71E7">
              <w:t>After-Tax Cash Flow (CF - Tax) (£'000)</w:t>
            </w:r>
          </w:p>
        </w:tc>
        <w:tc>
          <w:tcPr>
            <w:tcW w:w="1940" w:type="dxa"/>
            <w:noWrap/>
            <w:hideMark/>
          </w:tcPr>
          <w:p w14:paraId="7077BD1C" w14:textId="77777777" w:rsidR="00AA71E7" w:rsidRPr="00AA71E7" w:rsidRDefault="00AA71E7">
            <w:pPr>
              <w:cnfStyle w:val="100000000000" w:firstRow="1" w:lastRow="0" w:firstColumn="0" w:lastColumn="0" w:oddVBand="0" w:evenVBand="0" w:oddHBand="0" w:evenHBand="0" w:firstRowFirstColumn="0" w:firstRowLastColumn="0" w:lastRowFirstColumn="0" w:lastRowLastColumn="0"/>
            </w:pPr>
            <w:r w:rsidRPr="00AA71E7">
              <w:t>Discount Factor (6%)</w:t>
            </w:r>
          </w:p>
        </w:tc>
        <w:tc>
          <w:tcPr>
            <w:tcW w:w="1960" w:type="dxa"/>
            <w:noWrap/>
            <w:hideMark/>
          </w:tcPr>
          <w:p w14:paraId="3C9ED41B" w14:textId="77777777" w:rsidR="00AA71E7" w:rsidRPr="00AA71E7" w:rsidRDefault="00AA71E7">
            <w:pPr>
              <w:cnfStyle w:val="100000000000" w:firstRow="1" w:lastRow="0" w:firstColumn="0" w:lastColumn="0" w:oddVBand="0" w:evenVBand="0" w:oddHBand="0" w:evenHBand="0" w:firstRowFirstColumn="0" w:firstRowLastColumn="0" w:lastRowFirstColumn="0" w:lastRowLastColumn="0"/>
            </w:pPr>
            <w:r w:rsidRPr="00AA71E7">
              <w:t>Present Value (£'000)</w:t>
            </w:r>
          </w:p>
        </w:tc>
      </w:tr>
      <w:tr w:rsidR="00AA71E7" w:rsidRPr="00AA71E7" w14:paraId="29EEB860" w14:textId="77777777" w:rsidTr="00AA71E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0" w:type="dxa"/>
            <w:noWrap/>
            <w:hideMark/>
          </w:tcPr>
          <w:p w14:paraId="7A7C4B98" w14:textId="77777777" w:rsidR="00AA71E7" w:rsidRPr="00AA71E7" w:rsidRDefault="00AA71E7" w:rsidP="00AA71E7">
            <w:r w:rsidRPr="00AA71E7">
              <w:t>0</w:t>
            </w:r>
          </w:p>
        </w:tc>
        <w:tc>
          <w:tcPr>
            <w:tcW w:w="3100" w:type="dxa"/>
            <w:noWrap/>
            <w:hideMark/>
          </w:tcPr>
          <w:p w14:paraId="0D6CF497"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-1000</w:t>
            </w:r>
          </w:p>
        </w:tc>
        <w:tc>
          <w:tcPr>
            <w:tcW w:w="2320" w:type="dxa"/>
            <w:noWrap/>
            <w:hideMark/>
          </w:tcPr>
          <w:p w14:paraId="27F00DC3"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p>
        </w:tc>
        <w:tc>
          <w:tcPr>
            <w:tcW w:w="2720" w:type="dxa"/>
            <w:noWrap/>
            <w:hideMark/>
          </w:tcPr>
          <w:p w14:paraId="3F4CC190" w14:textId="77777777" w:rsidR="00AA71E7" w:rsidRPr="00AA71E7" w:rsidRDefault="00AA71E7">
            <w:pPr>
              <w:cnfStyle w:val="000000100000" w:firstRow="0" w:lastRow="0" w:firstColumn="0" w:lastColumn="0" w:oddVBand="0" w:evenVBand="0" w:oddHBand="1" w:evenHBand="0" w:firstRowFirstColumn="0" w:firstRowLastColumn="0" w:lastRowFirstColumn="0" w:lastRowLastColumn="0"/>
            </w:pPr>
          </w:p>
        </w:tc>
        <w:tc>
          <w:tcPr>
            <w:tcW w:w="1580" w:type="dxa"/>
            <w:noWrap/>
            <w:hideMark/>
          </w:tcPr>
          <w:p w14:paraId="7EAA9557" w14:textId="77777777" w:rsidR="00AA71E7" w:rsidRPr="00AA71E7" w:rsidRDefault="00AA71E7">
            <w:pPr>
              <w:cnfStyle w:val="000000100000" w:firstRow="0" w:lastRow="0" w:firstColumn="0" w:lastColumn="0" w:oddVBand="0" w:evenVBand="0" w:oddHBand="1" w:evenHBand="0" w:firstRowFirstColumn="0" w:firstRowLastColumn="0" w:lastRowFirstColumn="0" w:lastRowLastColumn="0"/>
            </w:pPr>
          </w:p>
        </w:tc>
        <w:tc>
          <w:tcPr>
            <w:tcW w:w="3320" w:type="dxa"/>
            <w:noWrap/>
            <w:hideMark/>
          </w:tcPr>
          <w:p w14:paraId="71301740" w14:textId="77777777" w:rsidR="00AA71E7" w:rsidRPr="00AA71E7" w:rsidRDefault="00AA71E7">
            <w:pPr>
              <w:cnfStyle w:val="000000100000" w:firstRow="0" w:lastRow="0" w:firstColumn="0" w:lastColumn="0" w:oddVBand="0" w:evenVBand="0" w:oddHBand="1" w:evenHBand="0" w:firstRowFirstColumn="0" w:firstRowLastColumn="0" w:lastRowFirstColumn="0" w:lastRowLastColumn="0"/>
            </w:pPr>
          </w:p>
        </w:tc>
        <w:tc>
          <w:tcPr>
            <w:tcW w:w="1940" w:type="dxa"/>
            <w:noWrap/>
            <w:hideMark/>
          </w:tcPr>
          <w:p w14:paraId="5CF8DAC6" w14:textId="77777777" w:rsidR="00AA71E7" w:rsidRPr="00AA71E7" w:rsidRDefault="00AA71E7">
            <w:pPr>
              <w:cnfStyle w:val="000000100000" w:firstRow="0" w:lastRow="0" w:firstColumn="0" w:lastColumn="0" w:oddVBand="0" w:evenVBand="0" w:oddHBand="1" w:evenHBand="0" w:firstRowFirstColumn="0" w:firstRowLastColumn="0" w:lastRowFirstColumn="0" w:lastRowLastColumn="0"/>
            </w:pPr>
          </w:p>
        </w:tc>
        <w:tc>
          <w:tcPr>
            <w:tcW w:w="1960" w:type="dxa"/>
            <w:noWrap/>
            <w:hideMark/>
          </w:tcPr>
          <w:p w14:paraId="51EDC6C1"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-1000</w:t>
            </w:r>
          </w:p>
        </w:tc>
      </w:tr>
      <w:tr w:rsidR="00AA71E7" w:rsidRPr="00AA71E7" w14:paraId="6358BF88" w14:textId="77777777" w:rsidTr="00AA71E7">
        <w:trPr>
          <w:trHeight w:val="288"/>
        </w:trPr>
        <w:tc>
          <w:tcPr>
            <w:cnfStyle w:val="001000000000" w:firstRow="0" w:lastRow="0" w:firstColumn="1" w:lastColumn="0" w:oddVBand="0" w:evenVBand="0" w:oddHBand="0" w:evenHBand="0" w:firstRowFirstColumn="0" w:firstRowLastColumn="0" w:lastRowFirstColumn="0" w:lastRowLastColumn="0"/>
            <w:tcW w:w="960" w:type="dxa"/>
            <w:noWrap/>
            <w:hideMark/>
          </w:tcPr>
          <w:p w14:paraId="462401AF" w14:textId="77777777" w:rsidR="00AA71E7" w:rsidRPr="00AA71E7" w:rsidRDefault="00AA71E7" w:rsidP="00AA71E7">
            <w:r w:rsidRPr="00AA71E7">
              <w:t>1</w:t>
            </w:r>
          </w:p>
        </w:tc>
        <w:tc>
          <w:tcPr>
            <w:tcW w:w="3100" w:type="dxa"/>
            <w:noWrap/>
            <w:hideMark/>
          </w:tcPr>
          <w:p w14:paraId="6E616300"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400</w:t>
            </w:r>
          </w:p>
        </w:tc>
        <w:tc>
          <w:tcPr>
            <w:tcW w:w="2320" w:type="dxa"/>
            <w:noWrap/>
            <w:hideMark/>
          </w:tcPr>
          <w:p w14:paraId="291FDB55"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200</w:t>
            </w:r>
          </w:p>
        </w:tc>
        <w:tc>
          <w:tcPr>
            <w:tcW w:w="2720" w:type="dxa"/>
            <w:noWrap/>
            <w:hideMark/>
          </w:tcPr>
          <w:p w14:paraId="462E07BF"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200</w:t>
            </w:r>
          </w:p>
        </w:tc>
        <w:tc>
          <w:tcPr>
            <w:tcW w:w="1580" w:type="dxa"/>
            <w:noWrap/>
            <w:hideMark/>
          </w:tcPr>
          <w:p w14:paraId="6EEC093E"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50</w:t>
            </w:r>
          </w:p>
        </w:tc>
        <w:tc>
          <w:tcPr>
            <w:tcW w:w="3320" w:type="dxa"/>
            <w:noWrap/>
            <w:hideMark/>
          </w:tcPr>
          <w:p w14:paraId="702B8E13"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350</w:t>
            </w:r>
          </w:p>
        </w:tc>
        <w:tc>
          <w:tcPr>
            <w:tcW w:w="1940" w:type="dxa"/>
            <w:noWrap/>
            <w:hideMark/>
          </w:tcPr>
          <w:p w14:paraId="51F66729"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0.943396226</w:t>
            </w:r>
          </w:p>
        </w:tc>
        <w:tc>
          <w:tcPr>
            <w:tcW w:w="1960" w:type="dxa"/>
            <w:noWrap/>
            <w:hideMark/>
          </w:tcPr>
          <w:p w14:paraId="74E07E43"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330.1886792</w:t>
            </w:r>
          </w:p>
        </w:tc>
      </w:tr>
      <w:tr w:rsidR="00AA71E7" w:rsidRPr="00AA71E7" w14:paraId="3A0D6347" w14:textId="77777777" w:rsidTr="00AA71E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0" w:type="dxa"/>
            <w:noWrap/>
            <w:hideMark/>
          </w:tcPr>
          <w:p w14:paraId="5EB8B386" w14:textId="77777777" w:rsidR="00AA71E7" w:rsidRPr="00AA71E7" w:rsidRDefault="00AA71E7" w:rsidP="00AA71E7">
            <w:r w:rsidRPr="00AA71E7">
              <w:t>2</w:t>
            </w:r>
          </w:p>
        </w:tc>
        <w:tc>
          <w:tcPr>
            <w:tcW w:w="3100" w:type="dxa"/>
            <w:noWrap/>
            <w:hideMark/>
          </w:tcPr>
          <w:p w14:paraId="6ECC03D4"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450</w:t>
            </w:r>
          </w:p>
        </w:tc>
        <w:tc>
          <w:tcPr>
            <w:tcW w:w="2320" w:type="dxa"/>
            <w:noWrap/>
            <w:hideMark/>
          </w:tcPr>
          <w:p w14:paraId="23BBC84A"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200</w:t>
            </w:r>
          </w:p>
        </w:tc>
        <w:tc>
          <w:tcPr>
            <w:tcW w:w="2720" w:type="dxa"/>
            <w:noWrap/>
            <w:hideMark/>
          </w:tcPr>
          <w:p w14:paraId="75FF847D"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250</w:t>
            </w:r>
          </w:p>
        </w:tc>
        <w:tc>
          <w:tcPr>
            <w:tcW w:w="1580" w:type="dxa"/>
            <w:noWrap/>
            <w:hideMark/>
          </w:tcPr>
          <w:p w14:paraId="668AA5CB"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62.5</w:t>
            </w:r>
          </w:p>
        </w:tc>
        <w:tc>
          <w:tcPr>
            <w:tcW w:w="3320" w:type="dxa"/>
            <w:noWrap/>
            <w:hideMark/>
          </w:tcPr>
          <w:p w14:paraId="70075CA5"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387.5</w:t>
            </w:r>
          </w:p>
        </w:tc>
        <w:tc>
          <w:tcPr>
            <w:tcW w:w="1940" w:type="dxa"/>
            <w:noWrap/>
            <w:hideMark/>
          </w:tcPr>
          <w:p w14:paraId="657A2877"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0.88999644</w:t>
            </w:r>
          </w:p>
        </w:tc>
        <w:tc>
          <w:tcPr>
            <w:tcW w:w="1960" w:type="dxa"/>
            <w:noWrap/>
            <w:hideMark/>
          </w:tcPr>
          <w:p w14:paraId="1A6F4742"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344.8736205</w:t>
            </w:r>
          </w:p>
        </w:tc>
      </w:tr>
      <w:tr w:rsidR="00AA71E7" w:rsidRPr="00AA71E7" w14:paraId="698A108B" w14:textId="77777777" w:rsidTr="00AA71E7">
        <w:trPr>
          <w:trHeight w:val="288"/>
        </w:trPr>
        <w:tc>
          <w:tcPr>
            <w:cnfStyle w:val="001000000000" w:firstRow="0" w:lastRow="0" w:firstColumn="1" w:lastColumn="0" w:oddVBand="0" w:evenVBand="0" w:oddHBand="0" w:evenHBand="0" w:firstRowFirstColumn="0" w:firstRowLastColumn="0" w:lastRowFirstColumn="0" w:lastRowLastColumn="0"/>
            <w:tcW w:w="960" w:type="dxa"/>
            <w:noWrap/>
            <w:hideMark/>
          </w:tcPr>
          <w:p w14:paraId="2EA66C64" w14:textId="77777777" w:rsidR="00AA71E7" w:rsidRPr="00AA71E7" w:rsidRDefault="00AA71E7" w:rsidP="00AA71E7">
            <w:r w:rsidRPr="00AA71E7">
              <w:t>3</w:t>
            </w:r>
          </w:p>
        </w:tc>
        <w:tc>
          <w:tcPr>
            <w:tcW w:w="3100" w:type="dxa"/>
            <w:noWrap/>
            <w:hideMark/>
          </w:tcPr>
          <w:p w14:paraId="41990AC0"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650</w:t>
            </w:r>
          </w:p>
        </w:tc>
        <w:tc>
          <w:tcPr>
            <w:tcW w:w="2320" w:type="dxa"/>
            <w:noWrap/>
            <w:hideMark/>
          </w:tcPr>
          <w:p w14:paraId="273E3A19"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200</w:t>
            </w:r>
          </w:p>
        </w:tc>
        <w:tc>
          <w:tcPr>
            <w:tcW w:w="2720" w:type="dxa"/>
            <w:noWrap/>
            <w:hideMark/>
          </w:tcPr>
          <w:p w14:paraId="19479C76"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450</w:t>
            </w:r>
          </w:p>
        </w:tc>
        <w:tc>
          <w:tcPr>
            <w:tcW w:w="1580" w:type="dxa"/>
            <w:noWrap/>
            <w:hideMark/>
          </w:tcPr>
          <w:p w14:paraId="6B4A2A5D"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112.5</w:t>
            </w:r>
          </w:p>
        </w:tc>
        <w:tc>
          <w:tcPr>
            <w:tcW w:w="3320" w:type="dxa"/>
            <w:noWrap/>
            <w:hideMark/>
          </w:tcPr>
          <w:p w14:paraId="17482747"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537.5</w:t>
            </w:r>
          </w:p>
        </w:tc>
        <w:tc>
          <w:tcPr>
            <w:tcW w:w="1940" w:type="dxa"/>
            <w:noWrap/>
            <w:hideMark/>
          </w:tcPr>
          <w:p w14:paraId="46177B13"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0.839619283</w:t>
            </w:r>
          </w:p>
        </w:tc>
        <w:tc>
          <w:tcPr>
            <w:tcW w:w="1960" w:type="dxa"/>
            <w:noWrap/>
            <w:hideMark/>
          </w:tcPr>
          <w:p w14:paraId="0DD96F28"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451.2953646</w:t>
            </w:r>
          </w:p>
        </w:tc>
      </w:tr>
      <w:tr w:rsidR="00AA71E7" w:rsidRPr="00AA71E7" w14:paraId="2EA166C2" w14:textId="77777777" w:rsidTr="00AA71E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0" w:type="dxa"/>
            <w:noWrap/>
            <w:hideMark/>
          </w:tcPr>
          <w:p w14:paraId="70A99B7B" w14:textId="77777777" w:rsidR="00AA71E7" w:rsidRPr="00AA71E7" w:rsidRDefault="00AA71E7" w:rsidP="00AA71E7">
            <w:r w:rsidRPr="00AA71E7">
              <w:lastRenderedPageBreak/>
              <w:t>4</w:t>
            </w:r>
          </w:p>
        </w:tc>
        <w:tc>
          <w:tcPr>
            <w:tcW w:w="3100" w:type="dxa"/>
            <w:noWrap/>
            <w:hideMark/>
          </w:tcPr>
          <w:p w14:paraId="35BEA89B"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980</w:t>
            </w:r>
          </w:p>
        </w:tc>
        <w:tc>
          <w:tcPr>
            <w:tcW w:w="2320" w:type="dxa"/>
            <w:noWrap/>
            <w:hideMark/>
          </w:tcPr>
          <w:p w14:paraId="6E5723F0"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200</w:t>
            </w:r>
          </w:p>
        </w:tc>
        <w:tc>
          <w:tcPr>
            <w:tcW w:w="2720" w:type="dxa"/>
            <w:noWrap/>
            <w:hideMark/>
          </w:tcPr>
          <w:p w14:paraId="200AA207"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780</w:t>
            </w:r>
          </w:p>
        </w:tc>
        <w:tc>
          <w:tcPr>
            <w:tcW w:w="1580" w:type="dxa"/>
            <w:noWrap/>
            <w:hideMark/>
          </w:tcPr>
          <w:p w14:paraId="52F6B97D"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195</w:t>
            </w:r>
          </w:p>
        </w:tc>
        <w:tc>
          <w:tcPr>
            <w:tcW w:w="3320" w:type="dxa"/>
            <w:noWrap/>
            <w:hideMark/>
          </w:tcPr>
          <w:p w14:paraId="5E36CD2B"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785</w:t>
            </w:r>
          </w:p>
        </w:tc>
        <w:tc>
          <w:tcPr>
            <w:tcW w:w="1940" w:type="dxa"/>
            <w:noWrap/>
            <w:hideMark/>
          </w:tcPr>
          <w:p w14:paraId="7769E5E0"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0.792093663</w:t>
            </w:r>
          </w:p>
        </w:tc>
        <w:tc>
          <w:tcPr>
            <w:tcW w:w="1960" w:type="dxa"/>
            <w:noWrap/>
            <w:hideMark/>
          </w:tcPr>
          <w:p w14:paraId="34A4BADC"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621.7935256</w:t>
            </w:r>
          </w:p>
        </w:tc>
      </w:tr>
      <w:tr w:rsidR="00AA71E7" w:rsidRPr="00AA71E7" w14:paraId="53C24FBB" w14:textId="77777777" w:rsidTr="00AA71E7">
        <w:trPr>
          <w:trHeight w:val="288"/>
        </w:trPr>
        <w:tc>
          <w:tcPr>
            <w:cnfStyle w:val="001000000000" w:firstRow="0" w:lastRow="0" w:firstColumn="1" w:lastColumn="0" w:oddVBand="0" w:evenVBand="0" w:oddHBand="0" w:evenHBand="0" w:firstRowFirstColumn="0" w:firstRowLastColumn="0" w:lastRowFirstColumn="0" w:lastRowLastColumn="0"/>
            <w:tcW w:w="960" w:type="dxa"/>
            <w:noWrap/>
            <w:hideMark/>
          </w:tcPr>
          <w:p w14:paraId="00EFFC58" w14:textId="77777777" w:rsidR="00AA71E7" w:rsidRPr="00AA71E7" w:rsidRDefault="00AA71E7" w:rsidP="00AA71E7"/>
        </w:tc>
        <w:tc>
          <w:tcPr>
            <w:tcW w:w="3100" w:type="dxa"/>
            <w:noWrap/>
            <w:hideMark/>
          </w:tcPr>
          <w:p w14:paraId="11B0639C" w14:textId="77777777" w:rsidR="00AA71E7" w:rsidRPr="00AA71E7" w:rsidRDefault="00AA71E7">
            <w:pPr>
              <w:cnfStyle w:val="000000000000" w:firstRow="0" w:lastRow="0" w:firstColumn="0" w:lastColumn="0" w:oddVBand="0" w:evenVBand="0" w:oddHBand="0" w:evenHBand="0" w:firstRowFirstColumn="0" w:firstRowLastColumn="0" w:lastRowFirstColumn="0" w:lastRowLastColumn="0"/>
            </w:pPr>
          </w:p>
        </w:tc>
        <w:tc>
          <w:tcPr>
            <w:tcW w:w="2320" w:type="dxa"/>
            <w:noWrap/>
            <w:hideMark/>
          </w:tcPr>
          <w:p w14:paraId="36EA0E85" w14:textId="77777777" w:rsidR="00AA71E7" w:rsidRPr="00AA71E7" w:rsidRDefault="00AA71E7">
            <w:pPr>
              <w:cnfStyle w:val="000000000000" w:firstRow="0" w:lastRow="0" w:firstColumn="0" w:lastColumn="0" w:oddVBand="0" w:evenVBand="0" w:oddHBand="0" w:evenHBand="0" w:firstRowFirstColumn="0" w:firstRowLastColumn="0" w:lastRowFirstColumn="0" w:lastRowLastColumn="0"/>
            </w:pPr>
          </w:p>
        </w:tc>
        <w:tc>
          <w:tcPr>
            <w:tcW w:w="2720" w:type="dxa"/>
            <w:noWrap/>
            <w:hideMark/>
          </w:tcPr>
          <w:p w14:paraId="4C3BE828" w14:textId="77777777" w:rsidR="00AA71E7" w:rsidRPr="00AA71E7" w:rsidRDefault="00AA71E7">
            <w:pPr>
              <w:cnfStyle w:val="000000000000" w:firstRow="0" w:lastRow="0" w:firstColumn="0" w:lastColumn="0" w:oddVBand="0" w:evenVBand="0" w:oddHBand="0" w:evenHBand="0" w:firstRowFirstColumn="0" w:firstRowLastColumn="0" w:lastRowFirstColumn="0" w:lastRowLastColumn="0"/>
            </w:pPr>
          </w:p>
        </w:tc>
        <w:tc>
          <w:tcPr>
            <w:tcW w:w="1580" w:type="dxa"/>
            <w:noWrap/>
            <w:hideMark/>
          </w:tcPr>
          <w:p w14:paraId="314634FA" w14:textId="77777777" w:rsidR="00AA71E7" w:rsidRPr="00AA71E7" w:rsidRDefault="00AA71E7">
            <w:pPr>
              <w:cnfStyle w:val="000000000000" w:firstRow="0" w:lastRow="0" w:firstColumn="0" w:lastColumn="0" w:oddVBand="0" w:evenVBand="0" w:oddHBand="0" w:evenHBand="0" w:firstRowFirstColumn="0" w:firstRowLastColumn="0" w:lastRowFirstColumn="0" w:lastRowLastColumn="0"/>
            </w:pPr>
          </w:p>
        </w:tc>
        <w:tc>
          <w:tcPr>
            <w:tcW w:w="3320" w:type="dxa"/>
            <w:noWrap/>
            <w:hideMark/>
          </w:tcPr>
          <w:p w14:paraId="6D6B2A9E" w14:textId="77777777" w:rsidR="00AA71E7" w:rsidRPr="00AA71E7" w:rsidRDefault="00AA71E7">
            <w:pPr>
              <w:cnfStyle w:val="000000000000" w:firstRow="0" w:lastRow="0" w:firstColumn="0" w:lastColumn="0" w:oddVBand="0" w:evenVBand="0" w:oddHBand="0" w:evenHBand="0" w:firstRowFirstColumn="0" w:firstRowLastColumn="0" w:lastRowFirstColumn="0" w:lastRowLastColumn="0"/>
            </w:pPr>
          </w:p>
        </w:tc>
        <w:tc>
          <w:tcPr>
            <w:tcW w:w="1940" w:type="dxa"/>
            <w:noWrap/>
            <w:hideMark/>
          </w:tcPr>
          <w:p w14:paraId="434EDA65" w14:textId="77777777" w:rsidR="00AA71E7" w:rsidRPr="00AA71E7" w:rsidRDefault="00AA71E7">
            <w:pPr>
              <w:cnfStyle w:val="000000000000" w:firstRow="0" w:lastRow="0" w:firstColumn="0" w:lastColumn="0" w:oddVBand="0" w:evenVBand="0" w:oddHBand="0" w:evenHBand="0" w:firstRowFirstColumn="0" w:firstRowLastColumn="0" w:lastRowFirstColumn="0" w:lastRowLastColumn="0"/>
            </w:pPr>
            <w:r w:rsidRPr="00AA71E7">
              <w:t>NPV</w:t>
            </w:r>
          </w:p>
        </w:tc>
        <w:tc>
          <w:tcPr>
            <w:tcW w:w="1960" w:type="dxa"/>
            <w:noWrap/>
            <w:hideMark/>
          </w:tcPr>
          <w:p w14:paraId="431D3D37"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748.15119</w:t>
            </w:r>
          </w:p>
        </w:tc>
      </w:tr>
    </w:tbl>
    <w:p w14:paraId="0F55858D" w14:textId="48DDA22E" w:rsidR="00AA71E7" w:rsidRDefault="00AA71E7" w:rsidP="00AA71E7">
      <w:pPr>
        <w:rPr>
          <w:lang w:val="en-IN"/>
        </w:rPr>
      </w:pPr>
      <w:r>
        <w:br/>
      </w:r>
      <w:r w:rsidRPr="00AA71E7">
        <w:rPr>
          <w:b/>
          <w:bCs/>
        </w:rPr>
        <w:t>Interpretation:</w:t>
      </w:r>
      <w:r>
        <w:t xml:space="preserve"> </w:t>
      </w:r>
      <w:r w:rsidRPr="00AA71E7">
        <w:t xml:space="preserve"> </w:t>
      </w:r>
      <w:r w:rsidRPr="00AA71E7">
        <w:rPr>
          <w:lang w:val="en-IN"/>
        </w:rPr>
        <w:t>The NPV for Option B (Develop Internet Sales) is £748.15, meaning the project will generate a significant return after covering the initial investment of £1,000,000. This shows that moving into internet sales is a highly profitable option, providing substantial value to the business. Compared to Option A, it offers a much higher return, indicating more growth potential. This makes it a strong investment choice. The positive NPV suggests that the internet sales expansion will bring in more profit and is likely a better option than expanding the retail outlet.</w:t>
      </w:r>
    </w:p>
    <w:p w14:paraId="77DE27DC" w14:textId="0AD7B53B" w:rsidR="00AA71E7" w:rsidRDefault="00AA71E7" w:rsidP="00AA71E7">
      <w:pPr>
        <w:rPr>
          <w:b/>
          <w:bCs/>
          <w:lang w:val="en-IN"/>
        </w:rPr>
      </w:pPr>
      <w:r w:rsidRPr="00AA71E7">
        <w:rPr>
          <w:b/>
          <w:bCs/>
          <w:lang w:val="en-IN"/>
        </w:rPr>
        <w:t>Option C: Produce Curtains and Roman Blinds</w:t>
      </w:r>
    </w:p>
    <w:p w14:paraId="75B341D6" w14:textId="166CC6D9" w:rsidR="00AA71E7" w:rsidRDefault="00AA71E7" w:rsidP="00AA71E7">
      <w:r w:rsidRPr="00AA71E7">
        <w:t>The third option is to produce curtains and Roman blinds, which involves the largest initial investment of £1,600,000. The expected cash flows for this project are £400,000, £700,000, £850,000, and £1,100,000 over four years. After accounting for capital allowances and tax implications, the NPV for this opti</w:t>
      </w:r>
      <w:r>
        <w:t>on is calculated.</w:t>
      </w:r>
    </w:p>
    <w:tbl>
      <w:tblPr>
        <w:tblStyle w:val="GridTable4-Accent4"/>
        <w:tblW w:w="0" w:type="auto"/>
        <w:tblLook w:val="04A0" w:firstRow="1" w:lastRow="0" w:firstColumn="1" w:lastColumn="0" w:noHBand="0" w:noVBand="1"/>
      </w:tblPr>
      <w:tblGrid>
        <w:gridCol w:w="551"/>
        <w:gridCol w:w="1516"/>
        <w:gridCol w:w="1164"/>
        <w:gridCol w:w="1344"/>
        <w:gridCol w:w="831"/>
        <w:gridCol w:w="1615"/>
        <w:gridCol w:w="993"/>
        <w:gridCol w:w="1002"/>
      </w:tblGrid>
      <w:tr w:rsidR="00AA71E7" w:rsidRPr="00AA71E7" w14:paraId="2BE80577" w14:textId="77777777" w:rsidTr="00AA71E7">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0" w:type="dxa"/>
            <w:noWrap/>
            <w:hideMark/>
          </w:tcPr>
          <w:p w14:paraId="1D764BDC" w14:textId="77777777" w:rsidR="00AA71E7" w:rsidRPr="00AA71E7" w:rsidRDefault="00AA71E7" w:rsidP="00AA71E7">
            <w:pPr>
              <w:rPr>
                <w:lang w:val="en-IN"/>
              </w:rPr>
            </w:pPr>
            <w:r w:rsidRPr="00AA71E7">
              <w:t>Year</w:t>
            </w:r>
          </w:p>
        </w:tc>
        <w:tc>
          <w:tcPr>
            <w:tcW w:w="3100" w:type="dxa"/>
            <w:noWrap/>
            <w:hideMark/>
          </w:tcPr>
          <w:p w14:paraId="5E48E8BF" w14:textId="77777777" w:rsidR="00AA71E7" w:rsidRPr="00AA71E7" w:rsidRDefault="00AA71E7">
            <w:pPr>
              <w:cnfStyle w:val="100000000000" w:firstRow="1" w:lastRow="0" w:firstColumn="0" w:lastColumn="0" w:oddVBand="0" w:evenVBand="0" w:oddHBand="0" w:evenHBand="0" w:firstRowFirstColumn="0" w:firstRowLastColumn="0" w:lastRowFirstColumn="0" w:lastRowLastColumn="0"/>
            </w:pPr>
            <w:r w:rsidRPr="00AA71E7">
              <w:t>Cash Flow (£'000)</w:t>
            </w:r>
          </w:p>
        </w:tc>
        <w:tc>
          <w:tcPr>
            <w:tcW w:w="2320" w:type="dxa"/>
            <w:noWrap/>
            <w:hideMark/>
          </w:tcPr>
          <w:p w14:paraId="2E15DF93" w14:textId="77777777" w:rsidR="00AA71E7" w:rsidRPr="00AA71E7" w:rsidRDefault="00AA71E7">
            <w:pPr>
              <w:cnfStyle w:val="100000000000" w:firstRow="1" w:lastRow="0" w:firstColumn="0" w:lastColumn="0" w:oddVBand="0" w:evenVBand="0" w:oddHBand="0" w:evenHBand="0" w:firstRowFirstColumn="0" w:firstRowLastColumn="0" w:lastRowFirstColumn="0" w:lastRowLastColumn="0"/>
            </w:pPr>
            <w:r w:rsidRPr="00AA71E7">
              <w:t>Capital Allowance (£'000)</w:t>
            </w:r>
          </w:p>
        </w:tc>
        <w:tc>
          <w:tcPr>
            <w:tcW w:w="2720" w:type="dxa"/>
            <w:noWrap/>
            <w:hideMark/>
          </w:tcPr>
          <w:p w14:paraId="182ECB5E" w14:textId="77777777" w:rsidR="00AA71E7" w:rsidRPr="00AA71E7" w:rsidRDefault="00AA71E7">
            <w:pPr>
              <w:cnfStyle w:val="100000000000" w:firstRow="1" w:lastRow="0" w:firstColumn="0" w:lastColumn="0" w:oddVBand="0" w:evenVBand="0" w:oddHBand="0" w:evenHBand="0" w:firstRowFirstColumn="0" w:firstRowLastColumn="0" w:lastRowFirstColumn="0" w:lastRowLastColumn="0"/>
            </w:pPr>
            <w:r w:rsidRPr="00AA71E7">
              <w:t>Taxable Profit (CF - CA) (£'000)</w:t>
            </w:r>
          </w:p>
        </w:tc>
        <w:tc>
          <w:tcPr>
            <w:tcW w:w="1580" w:type="dxa"/>
            <w:noWrap/>
            <w:hideMark/>
          </w:tcPr>
          <w:p w14:paraId="563C9B21" w14:textId="77777777" w:rsidR="00AA71E7" w:rsidRPr="00AA71E7" w:rsidRDefault="00AA71E7">
            <w:pPr>
              <w:cnfStyle w:val="100000000000" w:firstRow="1" w:lastRow="0" w:firstColumn="0" w:lastColumn="0" w:oddVBand="0" w:evenVBand="0" w:oddHBand="0" w:evenHBand="0" w:firstRowFirstColumn="0" w:firstRowLastColumn="0" w:lastRowFirstColumn="0" w:lastRowLastColumn="0"/>
            </w:pPr>
            <w:r w:rsidRPr="00AA71E7">
              <w:t>Tax (25%) (£'000)</w:t>
            </w:r>
          </w:p>
        </w:tc>
        <w:tc>
          <w:tcPr>
            <w:tcW w:w="3320" w:type="dxa"/>
            <w:noWrap/>
            <w:hideMark/>
          </w:tcPr>
          <w:p w14:paraId="6E1833DA" w14:textId="77777777" w:rsidR="00AA71E7" w:rsidRPr="00AA71E7" w:rsidRDefault="00AA71E7">
            <w:pPr>
              <w:cnfStyle w:val="100000000000" w:firstRow="1" w:lastRow="0" w:firstColumn="0" w:lastColumn="0" w:oddVBand="0" w:evenVBand="0" w:oddHBand="0" w:evenHBand="0" w:firstRowFirstColumn="0" w:firstRowLastColumn="0" w:lastRowFirstColumn="0" w:lastRowLastColumn="0"/>
            </w:pPr>
            <w:r w:rsidRPr="00AA71E7">
              <w:t>After-Tax Cash Flow (CF - Tax) (£'000)</w:t>
            </w:r>
          </w:p>
        </w:tc>
        <w:tc>
          <w:tcPr>
            <w:tcW w:w="1940" w:type="dxa"/>
            <w:noWrap/>
            <w:hideMark/>
          </w:tcPr>
          <w:p w14:paraId="318A1D7E" w14:textId="77777777" w:rsidR="00AA71E7" w:rsidRPr="00AA71E7" w:rsidRDefault="00AA71E7">
            <w:pPr>
              <w:cnfStyle w:val="100000000000" w:firstRow="1" w:lastRow="0" w:firstColumn="0" w:lastColumn="0" w:oddVBand="0" w:evenVBand="0" w:oddHBand="0" w:evenHBand="0" w:firstRowFirstColumn="0" w:firstRowLastColumn="0" w:lastRowFirstColumn="0" w:lastRowLastColumn="0"/>
            </w:pPr>
            <w:r w:rsidRPr="00AA71E7">
              <w:t>Discount Factor (6%)</w:t>
            </w:r>
          </w:p>
        </w:tc>
        <w:tc>
          <w:tcPr>
            <w:tcW w:w="1960" w:type="dxa"/>
            <w:noWrap/>
            <w:hideMark/>
          </w:tcPr>
          <w:p w14:paraId="1A9A48D0" w14:textId="77777777" w:rsidR="00AA71E7" w:rsidRPr="00AA71E7" w:rsidRDefault="00AA71E7">
            <w:pPr>
              <w:cnfStyle w:val="100000000000" w:firstRow="1" w:lastRow="0" w:firstColumn="0" w:lastColumn="0" w:oddVBand="0" w:evenVBand="0" w:oddHBand="0" w:evenHBand="0" w:firstRowFirstColumn="0" w:firstRowLastColumn="0" w:lastRowFirstColumn="0" w:lastRowLastColumn="0"/>
            </w:pPr>
            <w:r w:rsidRPr="00AA71E7">
              <w:t>Present Value (£'000)</w:t>
            </w:r>
          </w:p>
        </w:tc>
      </w:tr>
      <w:tr w:rsidR="00AA71E7" w:rsidRPr="00AA71E7" w14:paraId="3A010C3A" w14:textId="77777777" w:rsidTr="00AA71E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0" w:type="dxa"/>
            <w:noWrap/>
            <w:hideMark/>
          </w:tcPr>
          <w:p w14:paraId="7F267F04" w14:textId="77777777" w:rsidR="00AA71E7" w:rsidRPr="00AA71E7" w:rsidRDefault="00AA71E7" w:rsidP="00AA71E7">
            <w:r w:rsidRPr="00AA71E7">
              <w:t>0</w:t>
            </w:r>
          </w:p>
        </w:tc>
        <w:tc>
          <w:tcPr>
            <w:tcW w:w="3100" w:type="dxa"/>
            <w:noWrap/>
            <w:hideMark/>
          </w:tcPr>
          <w:p w14:paraId="02E3C607"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-1600</w:t>
            </w:r>
          </w:p>
        </w:tc>
        <w:tc>
          <w:tcPr>
            <w:tcW w:w="2320" w:type="dxa"/>
            <w:noWrap/>
            <w:hideMark/>
          </w:tcPr>
          <w:p w14:paraId="77309A89"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p>
        </w:tc>
        <w:tc>
          <w:tcPr>
            <w:tcW w:w="2720" w:type="dxa"/>
            <w:noWrap/>
            <w:hideMark/>
          </w:tcPr>
          <w:p w14:paraId="1EA5691E" w14:textId="77777777" w:rsidR="00AA71E7" w:rsidRPr="00AA71E7" w:rsidRDefault="00AA71E7">
            <w:pPr>
              <w:cnfStyle w:val="000000100000" w:firstRow="0" w:lastRow="0" w:firstColumn="0" w:lastColumn="0" w:oddVBand="0" w:evenVBand="0" w:oddHBand="1" w:evenHBand="0" w:firstRowFirstColumn="0" w:firstRowLastColumn="0" w:lastRowFirstColumn="0" w:lastRowLastColumn="0"/>
            </w:pPr>
          </w:p>
        </w:tc>
        <w:tc>
          <w:tcPr>
            <w:tcW w:w="1580" w:type="dxa"/>
            <w:noWrap/>
            <w:hideMark/>
          </w:tcPr>
          <w:p w14:paraId="4ABE6B4E" w14:textId="77777777" w:rsidR="00AA71E7" w:rsidRPr="00AA71E7" w:rsidRDefault="00AA71E7">
            <w:pPr>
              <w:cnfStyle w:val="000000100000" w:firstRow="0" w:lastRow="0" w:firstColumn="0" w:lastColumn="0" w:oddVBand="0" w:evenVBand="0" w:oddHBand="1" w:evenHBand="0" w:firstRowFirstColumn="0" w:firstRowLastColumn="0" w:lastRowFirstColumn="0" w:lastRowLastColumn="0"/>
            </w:pPr>
          </w:p>
        </w:tc>
        <w:tc>
          <w:tcPr>
            <w:tcW w:w="3320" w:type="dxa"/>
            <w:noWrap/>
            <w:hideMark/>
          </w:tcPr>
          <w:p w14:paraId="06276D26" w14:textId="77777777" w:rsidR="00AA71E7" w:rsidRPr="00AA71E7" w:rsidRDefault="00AA71E7">
            <w:pPr>
              <w:cnfStyle w:val="000000100000" w:firstRow="0" w:lastRow="0" w:firstColumn="0" w:lastColumn="0" w:oddVBand="0" w:evenVBand="0" w:oddHBand="1" w:evenHBand="0" w:firstRowFirstColumn="0" w:firstRowLastColumn="0" w:lastRowFirstColumn="0" w:lastRowLastColumn="0"/>
            </w:pPr>
          </w:p>
        </w:tc>
        <w:tc>
          <w:tcPr>
            <w:tcW w:w="1940" w:type="dxa"/>
            <w:noWrap/>
            <w:hideMark/>
          </w:tcPr>
          <w:p w14:paraId="31930E2B" w14:textId="77777777" w:rsidR="00AA71E7" w:rsidRPr="00AA71E7" w:rsidRDefault="00AA71E7">
            <w:pPr>
              <w:cnfStyle w:val="000000100000" w:firstRow="0" w:lastRow="0" w:firstColumn="0" w:lastColumn="0" w:oddVBand="0" w:evenVBand="0" w:oddHBand="1" w:evenHBand="0" w:firstRowFirstColumn="0" w:firstRowLastColumn="0" w:lastRowFirstColumn="0" w:lastRowLastColumn="0"/>
            </w:pPr>
          </w:p>
        </w:tc>
        <w:tc>
          <w:tcPr>
            <w:tcW w:w="1960" w:type="dxa"/>
            <w:noWrap/>
            <w:hideMark/>
          </w:tcPr>
          <w:p w14:paraId="71934669"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-1600</w:t>
            </w:r>
          </w:p>
        </w:tc>
      </w:tr>
      <w:tr w:rsidR="00AA71E7" w:rsidRPr="00AA71E7" w14:paraId="609DA8D1" w14:textId="77777777" w:rsidTr="00AA71E7">
        <w:trPr>
          <w:trHeight w:val="288"/>
        </w:trPr>
        <w:tc>
          <w:tcPr>
            <w:cnfStyle w:val="001000000000" w:firstRow="0" w:lastRow="0" w:firstColumn="1" w:lastColumn="0" w:oddVBand="0" w:evenVBand="0" w:oddHBand="0" w:evenHBand="0" w:firstRowFirstColumn="0" w:firstRowLastColumn="0" w:lastRowFirstColumn="0" w:lastRowLastColumn="0"/>
            <w:tcW w:w="960" w:type="dxa"/>
            <w:noWrap/>
            <w:hideMark/>
          </w:tcPr>
          <w:p w14:paraId="553EDE11" w14:textId="77777777" w:rsidR="00AA71E7" w:rsidRPr="00AA71E7" w:rsidRDefault="00AA71E7" w:rsidP="00AA71E7">
            <w:r w:rsidRPr="00AA71E7">
              <w:t>1</w:t>
            </w:r>
          </w:p>
        </w:tc>
        <w:tc>
          <w:tcPr>
            <w:tcW w:w="3100" w:type="dxa"/>
            <w:noWrap/>
            <w:hideMark/>
          </w:tcPr>
          <w:p w14:paraId="67DA1993"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400</w:t>
            </w:r>
          </w:p>
        </w:tc>
        <w:tc>
          <w:tcPr>
            <w:tcW w:w="2320" w:type="dxa"/>
            <w:noWrap/>
            <w:hideMark/>
          </w:tcPr>
          <w:p w14:paraId="35140FB8"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320</w:t>
            </w:r>
          </w:p>
        </w:tc>
        <w:tc>
          <w:tcPr>
            <w:tcW w:w="2720" w:type="dxa"/>
            <w:noWrap/>
            <w:hideMark/>
          </w:tcPr>
          <w:p w14:paraId="5DABCE39"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80</w:t>
            </w:r>
          </w:p>
        </w:tc>
        <w:tc>
          <w:tcPr>
            <w:tcW w:w="1580" w:type="dxa"/>
            <w:noWrap/>
            <w:hideMark/>
          </w:tcPr>
          <w:p w14:paraId="23134C62"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20</w:t>
            </w:r>
          </w:p>
        </w:tc>
        <w:tc>
          <w:tcPr>
            <w:tcW w:w="3320" w:type="dxa"/>
            <w:noWrap/>
            <w:hideMark/>
          </w:tcPr>
          <w:p w14:paraId="3665FFC1"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380</w:t>
            </w:r>
          </w:p>
        </w:tc>
        <w:tc>
          <w:tcPr>
            <w:tcW w:w="1940" w:type="dxa"/>
            <w:noWrap/>
            <w:hideMark/>
          </w:tcPr>
          <w:p w14:paraId="021152C7"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0.943396226</w:t>
            </w:r>
          </w:p>
        </w:tc>
        <w:tc>
          <w:tcPr>
            <w:tcW w:w="1960" w:type="dxa"/>
            <w:noWrap/>
            <w:hideMark/>
          </w:tcPr>
          <w:p w14:paraId="6DA15097"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358.490566</w:t>
            </w:r>
          </w:p>
        </w:tc>
      </w:tr>
      <w:tr w:rsidR="00AA71E7" w:rsidRPr="00AA71E7" w14:paraId="091968A4" w14:textId="77777777" w:rsidTr="00AA71E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0" w:type="dxa"/>
            <w:noWrap/>
            <w:hideMark/>
          </w:tcPr>
          <w:p w14:paraId="1B62435A" w14:textId="77777777" w:rsidR="00AA71E7" w:rsidRPr="00AA71E7" w:rsidRDefault="00AA71E7" w:rsidP="00AA71E7">
            <w:r w:rsidRPr="00AA71E7">
              <w:t>2</w:t>
            </w:r>
          </w:p>
        </w:tc>
        <w:tc>
          <w:tcPr>
            <w:tcW w:w="3100" w:type="dxa"/>
            <w:noWrap/>
            <w:hideMark/>
          </w:tcPr>
          <w:p w14:paraId="23BE9CFA"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700</w:t>
            </w:r>
          </w:p>
        </w:tc>
        <w:tc>
          <w:tcPr>
            <w:tcW w:w="2320" w:type="dxa"/>
            <w:noWrap/>
            <w:hideMark/>
          </w:tcPr>
          <w:p w14:paraId="6298EF05"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320</w:t>
            </w:r>
          </w:p>
        </w:tc>
        <w:tc>
          <w:tcPr>
            <w:tcW w:w="2720" w:type="dxa"/>
            <w:noWrap/>
            <w:hideMark/>
          </w:tcPr>
          <w:p w14:paraId="2016889B"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380</w:t>
            </w:r>
          </w:p>
        </w:tc>
        <w:tc>
          <w:tcPr>
            <w:tcW w:w="1580" w:type="dxa"/>
            <w:noWrap/>
            <w:hideMark/>
          </w:tcPr>
          <w:p w14:paraId="1B836A78"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95</w:t>
            </w:r>
          </w:p>
        </w:tc>
        <w:tc>
          <w:tcPr>
            <w:tcW w:w="3320" w:type="dxa"/>
            <w:noWrap/>
            <w:hideMark/>
          </w:tcPr>
          <w:p w14:paraId="1B982E00"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605</w:t>
            </w:r>
          </w:p>
        </w:tc>
        <w:tc>
          <w:tcPr>
            <w:tcW w:w="1940" w:type="dxa"/>
            <w:noWrap/>
            <w:hideMark/>
          </w:tcPr>
          <w:p w14:paraId="38297684"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0.88999644</w:t>
            </w:r>
          </w:p>
        </w:tc>
        <w:tc>
          <w:tcPr>
            <w:tcW w:w="1960" w:type="dxa"/>
            <w:noWrap/>
            <w:hideMark/>
          </w:tcPr>
          <w:p w14:paraId="29B4687E"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538.4478462</w:t>
            </w:r>
          </w:p>
        </w:tc>
      </w:tr>
      <w:tr w:rsidR="00AA71E7" w:rsidRPr="00AA71E7" w14:paraId="66379081" w14:textId="77777777" w:rsidTr="00AA71E7">
        <w:trPr>
          <w:trHeight w:val="288"/>
        </w:trPr>
        <w:tc>
          <w:tcPr>
            <w:cnfStyle w:val="001000000000" w:firstRow="0" w:lastRow="0" w:firstColumn="1" w:lastColumn="0" w:oddVBand="0" w:evenVBand="0" w:oddHBand="0" w:evenHBand="0" w:firstRowFirstColumn="0" w:firstRowLastColumn="0" w:lastRowFirstColumn="0" w:lastRowLastColumn="0"/>
            <w:tcW w:w="960" w:type="dxa"/>
            <w:noWrap/>
            <w:hideMark/>
          </w:tcPr>
          <w:p w14:paraId="2ED01E44" w14:textId="77777777" w:rsidR="00AA71E7" w:rsidRPr="00AA71E7" w:rsidRDefault="00AA71E7" w:rsidP="00AA71E7">
            <w:r w:rsidRPr="00AA71E7">
              <w:t>3</w:t>
            </w:r>
          </w:p>
        </w:tc>
        <w:tc>
          <w:tcPr>
            <w:tcW w:w="3100" w:type="dxa"/>
            <w:noWrap/>
            <w:hideMark/>
          </w:tcPr>
          <w:p w14:paraId="0125E382"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850</w:t>
            </w:r>
          </w:p>
        </w:tc>
        <w:tc>
          <w:tcPr>
            <w:tcW w:w="2320" w:type="dxa"/>
            <w:noWrap/>
            <w:hideMark/>
          </w:tcPr>
          <w:p w14:paraId="2595ACAC"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320</w:t>
            </w:r>
          </w:p>
        </w:tc>
        <w:tc>
          <w:tcPr>
            <w:tcW w:w="2720" w:type="dxa"/>
            <w:noWrap/>
            <w:hideMark/>
          </w:tcPr>
          <w:p w14:paraId="7A0E1008"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530</w:t>
            </w:r>
          </w:p>
        </w:tc>
        <w:tc>
          <w:tcPr>
            <w:tcW w:w="1580" w:type="dxa"/>
            <w:noWrap/>
            <w:hideMark/>
          </w:tcPr>
          <w:p w14:paraId="088A0E8A"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132.5</w:t>
            </w:r>
          </w:p>
        </w:tc>
        <w:tc>
          <w:tcPr>
            <w:tcW w:w="3320" w:type="dxa"/>
            <w:noWrap/>
            <w:hideMark/>
          </w:tcPr>
          <w:p w14:paraId="335C7729"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717.5</w:t>
            </w:r>
          </w:p>
        </w:tc>
        <w:tc>
          <w:tcPr>
            <w:tcW w:w="1940" w:type="dxa"/>
            <w:noWrap/>
            <w:hideMark/>
          </w:tcPr>
          <w:p w14:paraId="7D542E1E"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0.839619283</w:t>
            </w:r>
          </w:p>
        </w:tc>
        <w:tc>
          <w:tcPr>
            <w:tcW w:w="1960" w:type="dxa"/>
            <w:noWrap/>
            <w:hideMark/>
          </w:tcPr>
          <w:p w14:paraId="217A2704"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602.4268356</w:t>
            </w:r>
          </w:p>
        </w:tc>
      </w:tr>
      <w:tr w:rsidR="00AA71E7" w:rsidRPr="00AA71E7" w14:paraId="533C32E2" w14:textId="77777777" w:rsidTr="00AA71E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60" w:type="dxa"/>
            <w:noWrap/>
            <w:hideMark/>
          </w:tcPr>
          <w:p w14:paraId="7CAF8CB6" w14:textId="77777777" w:rsidR="00AA71E7" w:rsidRPr="00AA71E7" w:rsidRDefault="00AA71E7" w:rsidP="00AA71E7">
            <w:r w:rsidRPr="00AA71E7">
              <w:t>4</w:t>
            </w:r>
          </w:p>
        </w:tc>
        <w:tc>
          <w:tcPr>
            <w:tcW w:w="3100" w:type="dxa"/>
            <w:noWrap/>
            <w:hideMark/>
          </w:tcPr>
          <w:p w14:paraId="75B618E0"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1100</w:t>
            </w:r>
          </w:p>
        </w:tc>
        <w:tc>
          <w:tcPr>
            <w:tcW w:w="2320" w:type="dxa"/>
            <w:noWrap/>
            <w:hideMark/>
          </w:tcPr>
          <w:p w14:paraId="65E545D4"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320</w:t>
            </w:r>
          </w:p>
        </w:tc>
        <w:tc>
          <w:tcPr>
            <w:tcW w:w="2720" w:type="dxa"/>
            <w:noWrap/>
            <w:hideMark/>
          </w:tcPr>
          <w:p w14:paraId="27B4CAFB"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780</w:t>
            </w:r>
          </w:p>
        </w:tc>
        <w:tc>
          <w:tcPr>
            <w:tcW w:w="1580" w:type="dxa"/>
            <w:noWrap/>
            <w:hideMark/>
          </w:tcPr>
          <w:p w14:paraId="5DDBC76A"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195</w:t>
            </w:r>
          </w:p>
        </w:tc>
        <w:tc>
          <w:tcPr>
            <w:tcW w:w="3320" w:type="dxa"/>
            <w:noWrap/>
            <w:hideMark/>
          </w:tcPr>
          <w:p w14:paraId="537E0B3E"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905</w:t>
            </w:r>
          </w:p>
        </w:tc>
        <w:tc>
          <w:tcPr>
            <w:tcW w:w="1940" w:type="dxa"/>
            <w:noWrap/>
            <w:hideMark/>
          </w:tcPr>
          <w:p w14:paraId="25822C48"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0.792093663</w:t>
            </w:r>
          </w:p>
        </w:tc>
        <w:tc>
          <w:tcPr>
            <w:tcW w:w="1960" w:type="dxa"/>
            <w:noWrap/>
            <w:hideMark/>
          </w:tcPr>
          <w:p w14:paraId="0DE98912" w14:textId="77777777" w:rsidR="00AA71E7" w:rsidRPr="00AA71E7" w:rsidRDefault="00AA71E7" w:rsidP="00AA71E7">
            <w:pPr>
              <w:cnfStyle w:val="000000100000" w:firstRow="0" w:lastRow="0" w:firstColumn="0" w:lastColumn="0" w:oddVBand="0" w:evenVBand="0" w:oddHBand="1" w:evenHBand="0" w:firstRowFirstColumn="0" w:firstRowLastColumn="0" w:lastRowFirstColumn="0" w:lastRowLastColumn="0"/>
            </w:pPr>
            <w:r w:rsidRPr="00AA71E7">
              <w:t>716.8447652</w:t>
            </w:r>
          </w:p>
        </w:tc>
      </w:tr>
      <w:tr w:rsidR="00AA71E7" w:rsidRPr="00AA71E7" w14:paraId="3ADFB133" w14:textId="77777777" w:rsidTr="00AA71E7">
        <w:trPr>
          <w:trHeight w:val="288"/>
        </w:trPr>
        <w:tc>
          <w:tcPr>
            <w:cnfStyle w:val="001000000000" w:firstRow="0" w:lastRow="0" w:firstColumn="1" w:lastColumn="0" w:oddVBand="0" w:evenVBand="0" w:oddHBand="0" w:evenHBand="0" w:firstRowFirstColumn="0" w:firstRowLastColumn="0" w:lastRowFirstColumn="0" w:lastRowLastColumn="0"/>
            <w:tcW w:w="960" w:type="dxa"/>
            <w:noWrap/>
            <w:hideMark/>
          </w:tcPr>
          <w:p w14:paraId="4778DC8C" w14:textId="77777777" w:rsidR="00AA71E7" w:rsidRPr="00AA71E7" w:rsidRDefault="00AA71E7" w:rsidP="00AA71E7"/>
        </w:tc>
        <w:tc>
          <w:tcPr>
            <w:tcW w:w="3100" w:type="dxa"/>
            <w:noWrap/>
            <w:hideMark/>
          </w:tcPr>
          <w:p w14:paraId="02B1B58A" w14:textId="77777777" w:rsidR="00AA71E7" w:rsidRPr="00AA71E7" w:rsidRDefault="00AA71E7">
            <w:pPr>
              <w:cnfStyle w:val="000000000000" w:firstRow="0" w:lastRow="0" w:firstColumn="0" w:lastColumn="0" w:oddVBand="0" w:evenVBand="0" w:oddHBand="0" w:evenHBand="0" w:firstRowFirstColumn="0" w:firstRowLastColumn="0" w:lastRowFirstColumn="0" w:lastRowLastColumn="0"/>
            </w:pPr>
          </w:p>
        </w:tc>
        <w:tc>
          <w:tcPr>
            <w:tcW w:w="2320" w:type="dxa"/>
            <w:noWrap/>
            <w:hideMark/>
          </w:tcPr>
          <w:p w14:paraId="768E17F7" w14:textId="77777777" w:rsidR="00AA71E7" w:rsidRPr="00AA71E7" w:rsidRDefault="00AA71E7">
            <w:pPr>
              <w:cnfStyle w:val="000000000000" w:firstRow="0" w:lastRow="0" w:firstColumn="0" w:lastColumn="0" w:oddVBand="0" w:evenVBand="0" w:oddHBand="0" w:evenHBand="0" w:firstRowFirstColumn="0" w:firstRowLastColumn="0" w:lastRowFirstColumn="0" w:lastRowLastColumn="0"/>
            </w:pPr>
          </w:p>
        </w:tc>
        <w:tc>
          <w:tcPr>
            <w:tcW w:w="2720" w:type="dxa"/>
            <w:noWrap/>
            <w:hideMark/>
          </w:tcPr>
          <w:p w14:paraId="443A5EB6" w14:textId="77777777" w:rsidR="00AA71E7" w:rsidRPr="00AA71E7" w:rsidRDefault="00AA71E7">
            <w:pPr>
              <w:cnfStyle w:val="000000000000" w:firstRow="0" w:lastRow="0" w:firstColumn="0" w:lastColumn="0" w:oddVBand="0" w:evenVBand="0" w:oddHBand="0" w:evenHBand="0" w:firstRowFirstColumn="0" w:firstRowLastColumn="0" w:lastRowFirstColumn="0" w:lastRowLastColumn="0"/>
            </w:pPr>
          </w:p>
        </w:tc>
        <w:tc>
          <w:tcPr>
            <w:tcW w:w="1580" w:type="dxa"/>
            <w:noWrap/>
            <w:hideMark/>
          </w:tcPr>
          <w:p w14:paraId="0E503FF7" w14:textId="77777777" w:rsidR="00AA71E7" w:rsidRPr="00AA71E7" w:rsidRDefault="00AA71E7">
            <w:pPr>
              <w:cnfStyle w:val="000000000000" w:firstRow="0" w:lastRow="0" w:firstColumn="0" w:lastColumn="0" w:oddVBand="0" w:evenVBand="0" w:oddHBand="0" w:evenHBand="0" w:firstRowFirstColumn="0" w:firstRowLastColumn="0" w:lastRowFirstColumn="0" w:lastRowLastColumn="0"/>
            </w:pPr>
          </w:p>
        </w:tc>
        <w:tc>
          <w:tcPr>
            <w:tcW w:w="3320" w:type="dxa"/>
            <w:noWrap/>
            <w:hideMark/>
          </w:tcPr>
          <w:p w14:paraId="37B2A406" w14:textId="77777777" w:rsidR="00AA71E7" w:rsidRPr="00AA71E7" w:rsidRDefault="00AA71E7">
            <w:pPr>
              <w:cnfStyle w:val="000000000000" w:firstRow="0" w:lastRow="0" w:firstColumn="0" w:lastColumn="0" w:oddVBand="0" w:evenVBand="0" w:oddHBand="0" w:evenHBand="0" w:firstRowFirstColumn="0" w:firstRowLastColumn="0" w:lastRowFirstColumn="0" w:lastRowLastColumn="0"/>
            </w:pPr>
          </w:p>
        </w:tc>
        <w:tc>
          <w:tcPr>
            <w:tcW w:w="1940" w:type="dxa"/>
            <w:noWrap/>
            <w:hideMark/>
          </w:tcPr>
          <w:p w14:paraId="5B4B43FC" w14:textId="77777777" w:rsidR="00AA71E7" w:rsidRPr="00AA71E7" w:rsidRDefault="00AA71E7">
            <w:pPr>
              <w:cnfStyle w:val="000000000000" w:firstRow="0" w:lastRow="0" w:firstColumn="0" w:lastColumn="0" w:oddVBand="0" w:evenVBand="0" w:oddHBand="0" w:evenHBand="0" w:firstRowFirstColumn="0" w:firstRowLastColumn="0" w:lastRowFirstColumn="0" w:lastRowLastColumn="0"/>
            </w:pPr>
            <w:r w:rsidRPr="00AA71E7">
              <w:t>NPV</w:t>
            </w:r>
          </w:p>
        </w:tc>
        <w:tc>
          <w:tcPr>
            <w:tcW w:w="1960" w:type="dxa"/>
            <w:noWrap/>
            <w:hideMark/>
          </w:tcPr>
          <w:p w14:paraId="717BF129" w14:textId="77777777" w:rsidR="00AA71E7" w:rsidRPr="00AA71E7" w:rsidRDefault="00AA71E7" w:rsidP="00AA71E7">
            <w:pPr>
              <w:cnfStyle w:val="000000000000" w:firstRow="0" w:lastRow="0" w:firstColumn="0" w:lastColumn="0" w:oddVBand="0" w:evenVBand="0" w:oddHBand="0" w:evenHBand="0" w:firstRowFirstColumn="0" w:firstRowLastColumn="0" w:lastRowFirstColumn="0" w:lastRowLastColumn="0"/>
            </w:pPr>
            <w:r w:rsidRPr="00AA71E7">
              <w:t>616.2100131</w:t>
            </w:r>
          </w:p>
        </w:tc>
      </w:tr>
    </w:tbl>
    <w:p w14:paraId="5503CF84" w14:textId="77777777" w:rsidR="00AA71E7" w:rsidRPr="00AA71E7" w:rsidRDefault="00AA71E7" w:rsidP="00AA71E7">
      <w:pPr>
        <w:rPr>
          <w:lang w:val="en-IN"/>
        </w:rPr>
      </w:pPr>
    </w:p>
    <w:p w14:paraId="6417138F" w14:textId="134B7DB2" w:rsidR="00AA71E7" w:rsidRDefault="00AA71E7" w:rsidP="0015726F">
      <w:r w:rsidRPr="00AA71E7">
        <w:rPr>
          <w:b/>
          <w:bCs/>
        </w:rPr>
        <w:t xml:space="preserve">Interpretation:  </w:t>
      </w:r>
      <w:r w:rsidRPr="00AA71E7">
        <w:t>The NPV for Option C (Produce Curtains and Roman Blinds) is £616,210.01, meaning the project will generate a positive return after covering the initial investment of £1,600,000. This indicates that expanding into the production of curtains and Roman blinds is a profitable option, contributing substantial value to the business. While the NPV is lower than the internet sales option (Option B), it still suggests that the investment will be beneficial and generate a solid return. The positive NPV implies that the project will recover the initial investment and yield additional profits, making it a viable, though less lucrative, alternative compared to the other options.</w:t>
      </w:r>
    </w:p>
    <w:p w14:paraId="5912061A" w14:textId="60DD800C" w:rsidR="00AA71E7" w:rsidRDefault="00AA71E7" w:rsidP="0015726F">
      <w:pPr>
        <w:rPr>
          <w:rStyle w:val="selected"/>
          <w:b/>
          <w:bCs/>
        </w:rPr>
      </w:pPr>
      <w:r w:rsidRPr="00AA71E7">
        <w:rPr>
          <w:rStyle w:val="selected"/>
          <w:b/>
          <w:bCs/>
        </w:rPr>
        <w:t>Recommendation</w:t>
      </w:r>
    </w:p>
    <w:p w14:paraId="0B53574D" w14:textId="6B623206" w:rsidR="00AA71E7" w:rsidRDefault="00AA71E7" w:rsidP="0015726F">
      <w:pPr>
        <w:rPr>
          <w:rStyle w:val="selected"/>
          <w:b/>
          <w:bCs/>
        </w:rPr>
      </w:pPr>
      <w:r>
        <w:t>A summary of the NPV for each option is as follows:</w:t>
      </w:r>
    </w:p>
    <w:tbl>
      <w:tblPr>
        <w:tblStyle w:val="TableGrid"/>
        <w:tblW w:w="0" w:type="auto"/>
        <w:tblLook w:val="04A0" w:firstRow="1" w:lastRow="0" w:firstColumn="1" w:lastColumn="0" w:noHBand="0" w:noVBand="1"/>
      </w:tblPr>
      <w:tblGrid>
        <w:gridCol w:w="4508"/>
        <w:gridCol w:w="4508"/>
      </w:tblGrid>
      <w:tr w:rsidR="00AA71E7" w14:paraId="62233B79" w14:textId="77777777" w:rsidTr="00AA71E7">
        <w:tc>
          <w:tcPr>
            <w:tcW w:w="4508" w:type="dxa"/>
          </w:tcPr>
          <w:p w14:paraId="7276E15A" w14:textId="0C90BCDB" w:rsidR="00AA71E7" w:rsidRDefault="00AA71E7" w:rsidP="0015726F">
            <w:pPr>
              <w:rPr>
                <w:b/>
                <w:bCs/>
              </w:rPr>
            </w:pPr>
            <w:r w:rsidRPr="00AA71E7">
              <w:rPr>
                <w:b/>
                <w:bCs/>
              </w:rPr>
              <w:t>Option A (Expand Retail Outlet)</w:t>
            </w:r>
          </w:p>
        </w:tc>
        <w:tc>
          <w:tcPr>
            <w:tcW w:w="4508" w:type="dxa"/>
          </w:tcPr>
          <w:p w14:paraId="55B0290A" w14:textId="2698BB50" w:rsidR="00AA71E7" w:rsidRDefault="00AA71E7" w:rsidP="0015726F">
            <w:pPr>
              <w:rPr>
                <w:b/>
                <w:bCs/>
              </w:rPr>
            </w:pPr>
            <w:r>
              <w:rPr>
                <w:rStyle w:val="selected"/>
              </w:rPr>
              <w:t>£394,620</w:t>
            </w:r>
          </w:p>
        </w:tc>
      </w:tr>
      <w:tr w:rsidR="00AA71E7" w14:paraId="6F7A73ED" w14:textId="77777777" w:rsidTr="00AA71E7">
        <w:tc>
          <w:tcPr>
            <w:tcW w:w="4508" w:type="dxa"/>
          </w:tcPr>
          <w:p w14:paraId="7CAD7ECC" w14:textId="45755451" w:rsidR="00AA71E7" w:rsidRDefault="00CD3CA8" w:rsidP="0015726F">
            <w:pPr>
              <w:rPr>
                <w:b/>
                <w:bCs/>
              </w:rPr>
            </w:pPr>
            <w:r w:rsidRPr="00CD3CA8">
              <w:rPr>
                <w:b/>
                <w:bCs/>
              </w:rPr>
              <w:t>Option B (Develop Internet Sales)</w:t>
            </w:r>
          </w:p>
        </w:tc>
        <w:tc>
          <w:tcPr>
            <w:tcW w:w="4508" w:type="dxa"/>
          </w:tcPr>
          <w:p w14:paraId="26E66341" w14:textId="2EE072D2" w:rsidR="00AA71E7" w:rsidRPr="00CD3CA8" w:rsidRDefault="00CD3CA8" w:rsidP="0015726F">
            <w:r w:rsidRPr="00CD3CA8">
              <w:t>£</w:t>
            </w:r>
            <w:r>
              <w:t xml:space="preserve"> </w:t>
            </w:r>
            <w:r w:rsidRPr="00CD3CA8">
              <w:t>748.15</w:t>
            </w:r>
          </w:p>
        </w:tc>
      </w:tr>
      <w:tr w:rsidR="00AA71E7" w14:paraId="0CF1BC17" w14:textId="77777777" w:rsidTr="00AA71E7">
        <w:tc>
          <w:tcPr>
            <w:tcW w:w="4508" w:type="dxa"/>
          </w:tcPr>
          <w:p w14:paraId="47BE3798" w14:textId="497EBED4" w:rsidR="00AA71E7" w:rsidRDefault="00CD3CA8" w:rsidP="0015726F">
            <w:pPr>
              <w:rPr>
                <w:b/>
                <w:bCs/>
              </w:rPr>
            </w:pPr>
            <w:r w:rsidRPr="00CD3CA8">
              <w:rPr>
                <w:b/>
                <w:bCs/>
              </w:rPr>
              <w:t>Option C (Produce Curtains and Roman Blinds)</w:t>
            </w:r>
          </w:p>
        </w:tc>
        <w:tc>
          <w:tcPr>
            <w:tcW w:w="4508" w:type="dxa"/>
          </w:tcPr>
          <w:p w14:paraId="67679CA8" w14:textId="723AB6A1" w:rsidR="00AA71E7" w:rsidRPr="00CD3CA8" w:rsidRDefault="00CD3CA8" w:rsidP="0015726F">
            <w:r w:rsidRPr="00CD3CA8">
              <w:t>£</w:t>
            </w:r>
            <w:r w:rsidR="00FC49A9" w:rsidRPr="00FC49A9">
              <w:t>616.2</w:t>
            </w:r>
          </w:p>
        </w:tc>
      </w:tr>
    </w:tbl>
    <w:p w14:paraId="4C1C986D" w14:textId="77777777" w:rsidR="00AA71E7" w:rsidRDefault="00AA71E7" w:rsidP="0015726F">
      <w:pPr>
        <w:rPr>
          <w:b/>
          <w:bCs/>
        </w:rPr>
      </w:pPr>
    </w:p>
    <w:p w14:paraId="26B1EC0A" w14:textId="2F1A23D4" w:rsidR="00CD3CA8" w:rsidRDefault="00CD3CA8" w:rsidP="0015726F">
      <w:r w:rsidRPr="00CD3CA8">
        <w:t xml:space="preserve">Based on the Net Present Value (NPV) criterion, Option B (Develop into internet sales) is the most financially attractive project as it yields the highest positive NPV of £747,250. This indicates that undertaking Option B would add the most value to </w:t>
      </w:r>
      <w:proofErr w:type="spellStart"/>
      <w:r w:rsidRPr="00CD3CA8">
        <w:t>Jordons</w:t>
      </w:r>
      <w:proofErr w:type="spellEnd"/>
      <w:r w:rsidRPr="00CD3CA8">
        <w:t xml:space="preserve"> Plc and, consequently, maximize shareholder wealth</w:t>
      </w:r>
      <w:r w:rsidR="005C5EB8" w:rsidRPr="005C5EB8">
        <w:t xml:space="preserve"> (Fernando, 2024)</w:t>
      </w:r>
      <w:r w:rsidRPr="00CD3CA8">
        <w:t xml:space="preserve">. Therefore, it is recommended that </w:t>
      </w:r>
      <w:proofErr w:type="spellStart"/>
      <w:r w:rsidRPr="00CD3CA8">
        <w:t>Jordons</w:t>
      </w:r>
      <w:proofErr w:type="spellEnd"/>
      <w:r w:rsidRPr="00CD3CA8">
        <w:t xml:space="preserve"> Plc invests in Option B.</w:t>
      </w:r>
    </w:p>
    <w:p w14:paraId="026F0FF0" w14:textId="160BB5D5" w:rsidR="00CD3CA8" w:rsidRDefault="00CD3CA8" w:rsidP="00CD3CA8">
      <w:pPr>
        <w:pStyle w:val="ListParagraph"/>
        <w:numPr>
          <w:ilvl w:val="1"/>
          <w:numId w:val="3"/>
        </w:numPr>
        <w:rPr>
          <w:rStyle w:val="selected"/>
          <w:b/>
          <w:bCs/>
        </w:rPr>
      </w:pPr>
      <w:r w:rsidRPr="00CD3CA8">
        <w:rPr>
          <w:rStyle w:val="selected"/>
          <w:b/>
          <w:bCs/>
        </w:rPr>
        <w:t>Approximate Internal Rate of Return (IRR) for Option B</w:t>
      </w:r>
    </w:p>
    <w:p w14:paraId="08B1E3F8" w14:textId="45641ACD" w:rsidR="00CD3CA8" w:rsidRDefault="00CD3CA8">
      <w:r w:rsidRPr="00CD3CA8">
        <w:t xml:space="preserve">The Internal Rate of Return (IRR) is defined as the discount rate at which the Net Present Value (NPV) of a project becomes zero. It represents the effective annual rate of return that the project is expected to generate. </w:t>
      </w:r>
      <w:r w:rsidR="005A7C8F" w:rsidRPr="005A7C8F">
        <w:t xml:space="preserve">In the case of Option B, IRR will be estimated through interpolation. At 6% rate of discount we know that the NPV is one of 748.15. Higher discount rate will be applied in order to reduce the NPV value as near as possible to zero and, thus, define the IRR. The calculations will be performed by varying the discount rates and noticing the variation in NPV till a number very close to zero is reached. The method used to compute an approximate </w:t>
      </w:r>
      <w:r w:rsidR="005A7C8F" w:rsidRPr="005A7C8F">
        <w:lastRenderedPageBreak/>
        <w:t>Internal Rate of Return (IRR) of Option B (Develop Internet Sales) was the interpolation method. This procedure is based on the calculation of the NPV at two levels of the discount rate in order to determine the IRR. Here NPV was first calculated on a 10 per cent discount by which the NPV will be 578,427.02, and then NPV was calculated using 15 per cent discount by which the NPV will be 399,594.76. The discount rate corresponding to which the NPV equals zero is called the IRR, and with the help of these two rates, it is possible to approximate the value of the IRR using the interpolation method (Dai et al., 2022).</w:t>
      </w:r>
      <w:r w:rsidR="00423885" w:rsidRPr="00423885">
        <w:t xml:space="preserve"> The process involves finding a rate that brings the NPV closer to zero, based on the values calculated at the two different discount rates. This approach allows for a more precise estimate of the IRR, which represents the annual rate of return the project is expected to generate.</w:t>
      </w:r>
    </w:p>
    <w:p w14:paraId="015C2D9E" w14:textId="2BF4E9CE" w:rsidR="00CD3CA8" w:rsidRDefault="00CD3CA8">
      <w:pPr>
        <w:rPr>
          <w:b/>
          <w:bCs/>
        </w:rPr>
      </w:pPr>
      <w:r w:rsidRPr="00CD3CA8">
        <w:rPr>
          <w:b/>
          <w:bCs/>
        </w:rPr>
        <w:t xml:space="preserve">NPV at </w:t>
      </w:r>
      <w:r w:rsidR="00423885">
        <w:rPr>
          <w:b/>
          <w:bCs/>
        </w:rPr>
        <w:t>10</w:t>
      </w:r>
      <w:r w:rsidRPr="00CD3CA8">
        <w:rPr>
          <w:b/>
          <w:bCs/>
        </w:rPr>
        <w:t>% Discount Rate for Option B:</w:t>
      </w:r>
    </w:p>
    <w:tbl>
      <w:tblPr>
        <w:tblStyle w:val="GridTable4-Accent4"/>
        <w:tblW w:w="0" w:type="auto"/>
        <w:tblLook w:val="04A0" w:firstRow="1" w:lastRow="0" w:firstColumn="1" w:lastColumn="0" w:noHBand="0" w:noVBand="1"/>
      </w:tblPr>
      <w:tblGrid>
        <w:gridCol w:w="877"/>
        <w:gridCol w:w="3613"/>
        <w:gridCol w:w="2085"/>
        <w:gridCol w:w="2441"/>
      </w:tblGrid>
      <w:tr w:rsidR="00423885" w:rsidRPr="00423885" w14:paraId="04F8F85E" w14:textId="77777777" w:rsidTr="00423885">
        <w:trPr>
          <w:cnfStyle w:val="100000000000" w:firstRow="1" w:lastRow="0" w:firstColumn="0" w:lastColumn="0" w:oddVBand="0" w:evenVBand="0" w:oddHBand="0"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960" w:type="dxa"/>
            <w:noWrap/>
            <w:hideMark/>
          </w:tcPr>
          <w:p w14:paraId="5A44A62F" w14:textId="77777777" w:rsidR="00423885" w:rsidRPr="00423885" w:rsidRDefault="00423885" w:rsidP="00423885">
            <w:pPr>
              <w:rPr>
                <w:lang w:val="en-IN"/>
              </w:rPr>
            </w:pPr>
          </w:p>
        </w:tc>
        <w:tc>
          <w:tcPr>
            <w:tcW w:w="4040" w:type="dxa"/>
            <w:noWrap/>
            <w:hideMark/>
          </w:tcPr>
          <w:p w14:paraId="16A83829" w14:textId="77777777" w:rsidR="00423885" w:rsidRPr="00423885" w:rsidRDefault="00423885">
            <w:pPr>
              <w:cnfStyle w:val="100000000000" w:firstRow="1" w:lastRow="0" w:firstColumn="0" w:lastColumn="0" w:oddVBand="0" w:evenVBand="0" w:oddHBand="0" w:evenHBand="0" w:firstRowFirstColumn="0" w:firstRowLastColumn="0" w:lastRowFirstColumn="0" w:lastRowLastColumn="0"/>
            </w:pPr>
            <w:r w:rsidRPr="00423885">
              <w:t>Discount Rate</w:t>
            </w:r>
          </w:p>
        </w:tc>
        <w:tc>
          <w:tcPr>
            <w:tcW w:w="2320" w:type="dxa"/>
            <w:noWrap/>
            <w:hideMark/>
          </w:tcPr>
          <w:p w14:paraId="4E7F43A0" w14:textId="77777777" w:rsidR="00423885" w:rsidRPr="00423885" w:rsidRDefault="00423885" w:rsidP="00423885">
            <w:pPr>
              <w:cnfStyle w:val="100000000000" w:firstRow="1" w:lastRow="0" w:firstColumn="0" w:lastColumn="0" w:oddVBand="0" w:evenVBand="0" w:oddHBand="0" w:evenHBand="0" w:firstRowFirstColumn="0" w:firstRowLastColumn="0" w:lastRowFirstColumn="0" w:lastRowLastColumn="0"/>
            </w:pPr>
            <w:r w:rsidRPr="00423885">
              <w:t>10%</w:t>
            </w:r>
          </w:p>
        </w:tc>
        <w:tc>
          <w:tcPr>
            <w:tcW w:w="2720" w:type="dxa"/>
            <w:noWrap/>
            <w:hideMark/>
          </w:tcPr>
          <w:p w14:paraId="03523CF3" w14:textId="77777777" w:rsidR="00423885" w:rsidRPr="00423885" w:rsidRDefault="00423885" w:rsidP="00423885">
            <w:pPr>
              <w:cnfStyle w:val="100000000000" w:firstRow="1" w:lastRow="0" w:firstColumn="0" w:lastColumn="0" w:oddVBand="0" w:evenVBand="0" w:oddHBand="0" w:evenHBand="0" w:firstRowFirstColumn="0" w:firstRowLastColumn="0" w:lastRowFirstColumn="0" w:lastRowLastColumn="0"/>
            </w:pPr>
          </w:p>
        </w:tc>
      </w:tr>
      <w:tr w:rsidR="00423885" w:rsidRPr="00423885" w14:paraId="46494BF4" w14:textId="77777777" w:rsidTr="0042388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960" w:type="dxa"/>
            <w:noWrap/>
            <w:hideMark/>
          </w:tcPr>
          <w:p w14:paraId="5E5CE991" w14:textId="77777777" w:rsidR="00423885" w:rsidRPr="00423885" w:rsidRDefault="00423885">
            <w:r w:rsidRPr="00423885">
              <w:t>Year</w:t>
            </w:r>
          </w:p>
        </w:tc>
        <w:tc>
          <w:tcPr>
            <w:tcW w:w="4040" w:type="dxa"/>
            <w:noWrap/>
            <w:hideMark/>
          </w:tcPr>
          <w:p w14:paraId="2D795215" w14:textId="77777777" w:rsidR="00423885" w:rsidRPr="00423885" w:rsidRDefault="00423885">
            <w:pPr>
              <w:cnfStyle w:val="000000100000" w:firstRow="0" w:lastRow="0" w:firstColumn="0" w:lastColumn="0" w:oddVBand="0" w:evenVBand="0" w:oddHBand="1" w:evenHBand="0" w:firstRowFirstColumn="0" w:firstRowLastColumn="0" w:lastRowFirstColumn="0" w:lastRowLastColumn="0"/>
              <w:rPr>
                <w:b/>
                <w:bCs/>
              </w:rPr>
            </w:pPr>
            <w:r w:rsidRPr="00423885">
              <w:rPr>
                <w:b/>
                <w:bCs/>
              </w:rPr>
              <w:t>After-Tax Cash Flow (CF - Tax) (£'000)</w:t>
            </w:r>
          </w:p>
        </w:tc>
        <w:tc>
          <w:tcPr>
            <w:tcW w:w="2320" w:type="dxa"/>
            <w:noWrap/>
            <w:hideMark/>
          </w:tcPr>
          <w:p w14:paraId="224EC832" w14:textId="77777777" w:rsidR="00423885" w:rsidRPr="00423885" w:rsidRDefault="00423885">
            <w:pPr>
              <w:cnfStyle w:val="000000100000" w:firstRow="0" w:lastRow="0" w:firstColumn="0" w:lastColumn="0" w:oddVBand="0" w:evenVBand="0" w:oddHBand="1" w:evenHBand="0" w:firstRowFirstColumn="0" w:firstRowLastColumn="0" w:lastRowFirstColumn="0" w:lastRowLastColumn="0"/>
              <w:rPr>
                <w:b/>
                <w:bCs/>
              </w:rPr>
            </w:pPr>
            <w:r w:rsidRPr="00423885">
              <w:rPr>
                <w:b/>
                <w:bCs/>
              </w:rPr>
              <w:t>Discount Factor (10%)</w:t>
            </w:r>
          </w:p>
        </w:tc>
        <w:tc>
          <w:tcPr>
            <w:tcW w:w="2720" w:type="dxa"/>
            <w:noWrap/>
            <w:hideMark/>
          </w:tcPr>
          <w:p w14:paraId="4362F477" w14:textId="77777777" w:rsidR="00423885" w:rsidRPr="00423885" w:rsidRDefault="00423885">
            <w:pPr>
              <w:cnfStyle w:val="000000100000" w:firstRow="0" w:lastRow="0" w:firstColumn="0" w:lastColumn="0" w:oddVBand="0" w:evenVBand="0" w:oddHBand="1" w:evenHBand="0" w:firstRowFirstColumn="0" w:firstRowLastColumn="0" w:lastRowFirstColumn="0" w:lastRowLastColumn="0"/>
              <w:rPr>
                <w:b/>
                <w:bCs/>
              </w:rPr>
            </w:pPr>
            <w:r w:rsidRPr="00423885">
              <w:rPr>
                <w:b/>
                <w:bCs/>
              </w:rPr>
              <w:t>Present Value (£'000)</w:t>
            </w:r>
          </w:p>
        </w:tc>
      </w:tr>
      <w:tr w:rsidR="00423885" w:rsidRPr="00423885" w14:paraId="7288408E" w14:textId="77777777" w:rsidTr="00423885">
        <w:trPr>
          <w:trHeight w:val="312"/>
        </w:trPr>
        <w:tc>
          <w:tcPr>
            <w:cnfStyle w:val="001000000000" w:firstRow="0" w:lastRow="0" w:firstColumn="1" w:lastColumn="0" w:oddVBand="0" w:evenVBand="0" w:oddHBand="0" w:evenHBand="0" w:firstRowFirstColumn="0" w:firstRowLastColumn="0" w:lastRowFirstColumn="0" w:lastRowLastColumn="0"/>
            <w:tcW w:w="960" w:type="dxa"/>
            <w:noWrap/>
            <w:hideMark/>
          </w:tcPr>
          <w:p w14:paraId="04F39780" w14:textId="77777777" w:rsidR="00423885" w:rsidRPr="00423885" w:rsidRDefault="00423885" w:rsidP="00423885">
            <w:pPr>
              <w:rPr>
                <w:b w:val="0"/>
                <w:bCs w:val="0"/>
              </w:rPr>
            </w:pPr>
            <w:r w:rsidRPr="00423885">
              <w:rPr>
                <w:b w:val="0"/>
                <w:bCs w:val="0"/>
              </w:rPr>
              <w:t>0</w:t>
            </w:r>
          </w:p>
        </w:tc>
        <w:tc>
          <w:tcPr>
            <w:tcW w:w="4040" w:type="dxa"/>
            <w:noWrap/>
            <w:hideMark/>
          </w:tcPr>
          <w:p w14:paraId="1007C466" w14:textId="77777777" w:rsidR="00423885" w:rsidRPr="00423885" w:rsidRDefault="00423885" w:rsidP="00423885">
            <w:pPr>
              <w:cnfStyle w:val="000000000000" w:firstRow="0" w:lastRow="0" w:firstColumn="0" w:lastColumn="0" w:oddVBand="0" w:evenVBand="0" w:oddHBand="0" w:evenHBand="0" w:firstRowFirstColumn="0" w:firstRowLastColumn="0" w:lastRowFirstColumn="0" w:lastRowLastColumn="0"/>
            </w:pPr>
            <w:r w:rsidRPr="00423885">
              <w:t>0</w:t>
            </w:r>
          </w:p>
        </w:tc>
        <w:tc>
          <w:tcPr>
            <w:tcW w:w="2320" w:type="dxa"/>
            <w:noWrap/>
            <w:hideMark/>
          </w:tcPr>
          <w:p w14:paraId="150627B1" w14:textId="77777777" w:rsidR="00423885" w:rsidRPr="00423885" w:rsidRDefault="00423885" w:rsidP="00423885">
            <w:pPr>
              <w:cnfStyle w:val="000000000000" w:firstRow="0" w:lastRow="0" w:firstColumn="0" w:lastColumn="0" w:oddVBand="0" w:evenVBand="0" w:oddHBand="0" w:evenHBand="0" w:firstRowFirstColumn="0" w:firstRowLastColumn="0" w:lastRowFirstColumn="0" w:lastRowLastColumn="0"/>
            </w:pPr>
            <w:r w:rsidRPr="00423885">
              <w:t>0</w:t>
            </w:r>
          </w:p>
        </w:tc>
        <w:tc>
          <w:tcPr>
            <w:tcW w:w="2720" w:type="dxa"/>
            <w:noWrap/>
            <w:hideMark/>
          </w:tcPr>
          <w:p w14:paraId="282D7257" w14:textId="77777777" w:rsidR="00423885" w:rsidRPr="00423885" w:rsidRDefault="00423885" w:rsidP="00423885">
            <w:pPr>
              <w:cnfStyle w:val="000000000000" w:firstRow="0" w:lastRow="0" w:firstColumn="0" w:lastColumn="0" w:oddVBand="0" w:evenVBand="0" w:oddHBand="0" w:evenHBand="0" w:firstRowFirstColumn="0" w:firstRowLastColumn="0" w:lastRowFirstColumn="0" w:lastRowLastColumn="0"/>
            </w:pPr>
            <w:r w:rsidRPr="00423885">
              <w:t>-1000</w:t>
            </w:r>
          </w:p>
        </w:tc>
      </w:tr>
      <w:tr w:rsidR="00423885" w:rsidRPr="00423885" w14:paraId="641175EE" w14:textId="77777777" w:rsidTr="0042388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960" w:type="dxa"/>
            <w:noWrap/>
            <w:hideMark/>
          </w:tcPr>
          <w:p w14:paraId="70217654" w14:textId="77777777" w:rsidR="00423885" w:rsidRPr="00423885" w:rsidRDefault="00423885" w:rsidP="00423885">
            <w:pPr>
              <w:rPr>
                <w:b w:val="0"/>
                <w:bCs w:val="0"/>
              </w:rPr>
            </w:pPr>
            <w:r w:rsidRPr="00423885">
              <w:rPr>
                <w:b w:val="0"/>
                <w:bCs w:val="0"/>
              </w:rPr>
              <w:t>1</w:t>
            </w:r>
          </w:p>
        </w:tc>
        <w:tc>
          <w:tcPr>
            <w:tcW w:w="4040" w:type="dxa"/>
            <w:noWrap/>
            <w:hideMark/>
          </w:tcPr>
          <w:p w14:paraId="4EC56056" w14:textId="77777777" w:rsidR="00423885" w:rsidRPr="00423885" w:rsidRDefault="00423885" w:rsidP="00423885">
            <w:pPr>
              <w:cnfStyle w:val="000000100000" w:firstRow="0" w:lastRow="0" w:firstColumn="0" w:lastColumn="0" w:oddVBand="0" w:evenVBand="0" w:oddHBand="1" w:evenHBand="0" w:firstRowFirstColumn="0" w:firstRowLastColumn="0" w:lastRowFirstColumn="0" w:lastRowLastColumn="0"/>
            </w:pPr>
            <w:r w:rsidRPr="00423885">
              <w:t>350</w:t>
            </w:r>
          </w:p>
        </w:tc>
        <w:tc>
          <w:tcPr>
            <w:tcW w:w="2320" w:type="dxa"/>
            <w:noWrap/>
            <w:hideMark/>
          </w:tcPr>
          <w:p w14:paraId="050DABC5" w14:textId="77777777" w:rsidR="00423885" w:rsidRPr="00423885" w:rsidRDefault="00423885" w:rsidP="00423885">
            <w:pPr>
              <w:cnfStyle w:val="000000100000" w:firstRow="0" w:lastRow="0" w:firstColumn="0" w:lastColumn="0" w:oddVBand="0" w:evenVBand="0" w:oddHBand="1" w:evenHBand="0" w:firstRowFirstColumn="0" w:firstRowLastColumn="0" w:lastRowFirstColumn="0" w:lastRowLastColumn="0"/>
            </w:pPr>
            <w:r w:rsidRPr="00423885">
              <w:t>0.909090909</w:t>
            </w:r>
          </w:p>
        </w:tc>
        <w:tc>
          <w:tcPr>
            <w:tcW w:w="2720" w:type="dxa"/>
            <w:noWrap/>
            <w:hideMark/>
          </w:tcPr>
          <w:p w14:paraId="788366F3" w14:textId="77777777" w:rsidR="00423885" w:rsidRPr="00423885" w:rsidRDefault="00423885" w:rsidP="00423885">
            <w:pPr>
              <w:cnfStyle w:val="000000100000" w:firstRow="0" w:lastRow="0" w:firstColumn="0" w:lastColumn="0" w:oddVBand="0" w:evenVBand="0" w:oddHBand="1" w:evenHBand="0" w:firstRowFirstColumn="0" w:firstRowLastColumn="0" w:lastRowFirstColumn="0" w:lastRowLastColumn="0"/>
            </w:pPr>
            <w:r w:rsidRPr="00423885">
              <w:t>318.1818182</w:t>
            </w:r>
          </w:p>
        </w:tc>
      </w:tr>
      <w:tr w:rsidR="00423885" w:rsidRPr="00423885" w14:paraId="5DABA74C" w14:textId="77777777" w:rsidTr="00423885">
        <w:trPr>
          <w:trHeight w:val="312"/>
        </w:trPr>
        <w:tc>
          <w:tcPr>
            <w:cnfStyle w:val="001000000000" w:firstRow="0" w:lastRow="0" w:firstColumn="1" w:lastColumn="0" w:oddVBand="0" w:evenVBand="0" w:oddHBand="0" w:evenHBand="0" w:firstRowFirstColumn="0" w:firstRowLastColumn="0" w:lastRowFirstColumn="0" w:lastRowLastColumn="0"/>
            <w:tcW w:w="960" w:type="dxa"/>
            <w:noWrap/>
            <w:hideMark/>
          </w:tcPr>
          <w:p w14:paraId="0CE61CD5" w14:textId="77777777" w:rsidR="00423885" w:rsidRPr="00423885" w:rsidRDefault="00423885" w:rsidP="00423885">
            <w:pPr>
              <w:rPr>
                <w:b w:val="0"/>
                <w:bCs w:val="0"/>
              </w:rPr>
            </w:pPr>
            <w:r w:rsidRPr="00423885">
              <w:rPr>
                <w:b w:val="0"/>
                <w:bCs w:val="0"/>
              </w:rPr>
              <w:t>2</w:t>
            </w:r>
          </w:p>
        </w:tc>
        <w:tc>
          <w:tcPr>
            <w:tcW w:w="4040" w:type="dxa"/>
            <w:noWrap/>
            <w:hideMark/>
          </w:tcPr>
          <w:p w14:paraId="72ECC409" w14:textId="77777777" w:rsidR="00423885" w:rsidRPr="00423885" w:rsidRDefault="00423885" w:rsidP="00423885">
            <w:pPr>
              <w:cnfStyle w:val="000000000000" w:firstRow="0" w:lastRow="0" w:firstColumn="0" w:lastColumn="0" w:oddVBand="0" w:evenVBand="0" w:oddHBand="0" w:evenHBand="0" w:firstRowFirstColumn="0" w:firstRowLastColumn="0" w:lastRowFirstColumn="0" w:lastRowLastColumn="0"/>
            </w:pPr>
            <w:r w:rsidRPr="00423885">
              <w:t>387.5</w:t>
            </w:r>
          </w:p>
        </w:tc>
        <w:tc>
          <w:tcPr>
            <w:tcW w:w="2320" w:type="dxa"/>
            <w:noWrap/>
            <w:hideMark/>
          </w:tcPr>
          <w:p w14:paraId="00297101" w14:textId="77777777" w:rsidR="00423885" w:rsidRPr="00423885" w:rsidRDefault="00423885" w:rsidP="00423885">
            <w:pPr>
              <w:cnfStyle w:val="000000000000" w:firstRow="0" w:lastRow="0" w:firstColumn="0" w:lastColumn="0" w:oddVBand="0" w:evenVBand="0" w:oddHBand="0" w:evenHBand="0" w:firstRowFirstColumn="0" w:firstRowLastColumn="0" w:lastRowFirstColumn="0" w:lastRowLastColumn="0"/>
            </w:pPr>
            <w:r w:rsidRPr="00423885">
              <w:t>0.826446281</w:t>
            </w:r>
          </w:p>
        </w:tc>
        <w:tc>
          <w:tcPr>
            <w:tcW w:w="2720" w:type="dxa"/>
            <w:noWrap/>
            <w:hideMark/>
          </w:tcPr>
          <w:p w14:paraId="50E0DDD9" w14:textId="77777777" w:rsidR="00423885" w:rsidRPr="00423885" w:rsidRDefault="00423885" w:rsidP="00423885">
            <w:pPr>
              <w:cnfStyle w:val="000000000000" w:firstRow="0" w:lastRow="0" w:firstColumn="0" w:lastColumn="0" w:oddVBand="0" w:evenVBand="0" w:oddHBand="0" w:evenHBand="0" w:firstRowFirstColumn="0" w:firstRowLastColumn="0" w:lastRowFirstColumn="0" w:lastRowLastColumn="0"/>
            </w:pPr>
            <w:r w:rsidRPr="00423885">
              <w:t>320.2479339</w:t>
            </w:r>
          </w:p>
        </w:tc>
      </w:tr>
      <w:tr w:rsidR="00423885" w:rsidRPr="00423885" w14:paraId="55F5976C" w14:textId="77777777" w:rsidTr="0042388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960" w:type="dxa"/>
            <w:noWrap/>
            <w:hideMark/>
          </w:tcPr>
          <w:p w14:paraId="1D3DF231" w14:textId="77777777" w:rsidR="00423885" w:rsidRPr="00423885" w:rsidRDefault="00423885" w:rsidP="00423885">
            <w:pPr>
              <w:rPr>
                <w:b w:val="0"/>
                <w:bCs w:val="0"/>
              </w:rPr>
            </w:pPr>
            <w:r w:rsidRPr="00423885">
              <w:rPr>
                <w:b w:val="0"/>
                <w:bCs w:val="0"/>
              </w:rPr>
              <w:t>3</w:t>
            </w:r>
          </w:p>
        </w:tc>
        <w:tc>
          <w:tcPr>
            <w:tcW w:w="4040" w:type="dxa"/>
            <w:noWrap/>
            <w:hideMark/>
          </w:tcPr>
          <w:p w14:paraId="6C8104A2" w14:textId="77777777" w:rsidR="00423885" w:rsidRPr="00423885" w:rsidRDefault="00423885" w:rsidP="00423885">
            <w:pPr>
              <w:cnfStyle w:val="000000100000" w:firstRow="0" w:lastRow="0" w:firstColumn="0" w:lastColumn="0" w:oddVBand="0" w:evenVBand="0" w:oddHBand="1" w:evenHBand="0" w:firstRowFirstColumn="0" w:firstRowLastColumn="0" w:lastRowFirstColumn="0" w:lastRowLastColumn="0"/>
            </w:pPr>
            <w:r w:rsidRPr="00423885">
              <w:t>537.5</w:t>
            </w:r>
          </w:p>
        </w:tc>
        <w:tc>
          <w:tcPr>
            <w:tcW w:w="2320" w:type="dxa"/>
            <w:noWrap/>
            <w:hideMark/>
          </w:tcPr>
          <w:p w14:paraId="2C9BBBF4" w14:textId="77777777" w:rsidR="00423885" w:rsidRPr="00423885" w:rsidRDefault="00423885" w:rsidP="00423885">
            <w:pPr>
              <w:cnfStyle w:val="000000100000" w:firstRow="0" w:lastRow="0" w:firstColumn="0" w:lastColumn="0" w:oddVBand="0" w:evenVBand="0" w:oddHBand="1" w:evenHBand="0" w:firstRowFirstColumn="0" w:firstRowLastColumn="0" w:lastRowFirstColumn="0" w:lastRowLastColumn="0"/>
            </w:pPr>
            <w:r w:rsidRPr="00423885">
              <w:t>0.751314801</w:t>
            </w:r>
          </w:p>
        </w:tc>
        <w:tc>
          <w:tcPr>
            <w:tcW w:w="2720" w:type="dxa"/>
            <w:noWrap/>
            <w:hideMark/>
          </w:tcPr>
          <w:p w14:paraId="6D865847" w14:textId="77777777" w:rsidR="00423885" w:rsidRPr="00423885" w:rsidRDefault="00423885" w:rsidP="00423885">
            <w:pPr>
              <w:cnfStyle w:val="000000100000" w:firstRow="0" w:lastRow="0" w:firstColumn="0" w:lastColumn="0" w:oddVBand="0" w:evenVBand="0" w:oddHBand="1" w:evenHBand="0" w:firstRowFirstColumn="0" w:firstRowLastColumn="0" w:lastRowFirstColumn="0" w:lastRowLastColumn="0"/>
            </w:pPr>
            <w:r w:rsidRPr="00423885">
              <w:t>403.8317055</w:t>
            </w:r>
          </w:p>
        </w:tc>
      </w:tr>
      <w:tr w:rsidR="00423885" w:rsidRPr="00423885" w14:paraId="63826186" w14:textId="77777777" w:rsidTr="00423885">
        <w:trPr>
          <w:trHeight w:val="312"/>
        </w:trPr>
        <w:tc>
          <w:tcPr>
            <w:cnfStyle w:val="001000000000" w:firstRow="0" w:lastRow="0" w:firstColumn="1" w:lastColumn="0" w:oddVBand="0" w:evenVBand="0" w:oddHBand="0" w:evenHBand="0" w:firstRowFirstColumn="0" w:firstRowLastColumn="0" w:lastRowFirstColumn="0" w:lastRowLastColumn="0"/>
            <w:tcW w:w="960" w:type="dxa"/>
            <w:noWrap/>
            <w:hideMark/>
          </w:tcPr>
          <w:p w14:paraId="49BEFF59" w14:textId="77777777" w:rsidR="00423885" w:rsidRPr="00423885" w:rsidRDefault="00423885" w:rsidP="00423885">
            <w:pPr>
              <w:rPr>
                <w:b w:val="0"/>
                <w:bCs w:val="0"/>
              </w:rPr>
            </w:pPr>
            <w:r w:rsidRPr="00423885">
              <w:rPr>
                <w:b w:val="0"/>
                <w:bCs w:val="0"/>
              </w:rPr>
              <w:t>4</w:t>
            </w:r>
          </w:p>
        </w:tc>
        <w:tc>
          <w:tcPr>
            <w:tcW w:w="4040" w:type="dxa"/>
            <w:noWrap/>
            <w:hideMark/>
          </w:tcPr>
          <w:p w14:paraId="3F56CF80" w14:textId="77777777" w:rsidR="00423885" w:rsidRPr="00423885" w:rsidRDefault="00423885" w:rsidP="00423885">
            <w:pPr>
              <w:cnfStyle w:val="000000000000" w:firstRow="0" w:lastRow="0" w:firstColumn="0" w:lastColumn="0" w:oddVBand="0" w:evenVBand="0" w:oddHBand="0" w:evenHBand="0" w:firstRowFirstColumn="0" w:firstRowLastColumn="0" w:lastRowFirstColumn="0" w:lastRowLastColumn="0"/>
            </w:pPr>
            <w:r w:rsidRPr="00423885">
              <w:t>785</w:t>
            </w:r>
          </w:p>
        </w:tc>
        <w:tc>
          <w:tcPr>
            <w:tcW w:w="2320" w:type="dxa"/>
            <w:noWrap/>
            <w:hideMark/>
          </w:tcPr>
          <w:p w14:paraId="006336FF" w14:textId="77777777" w:rsidR="00423885" w:rsidRPr="00423885" w:rsidRDefault="00423885" w:rsidP="00423885">
            <w:pPr>
              <w:cnfStyle w:val="000000000000" w:firstRow="0" w:lastRow="0" w:firstColumn="0" w:lastColumn="0" w:oddVBand="0" w:evenVBand="0" w:oddHBand="0" w:evenHBand="0" w:firstRowFirstColumn="0" w:firstRowLastColumn="0" w:lastRowFirstColumn="0" w:lastRowLastColumn="0"/>
            </w:pPr>
            <w:r w:rsidRPr="00423885">
              <w:t>0.683013455</w:t>
            </w:r>
          </w:p>
        </w:tc>
        <w:tc>
          <w:tcPr>
            <w:tcW w:w="2720" w:type="dxa"/>
            <w:noWrap/>
            <w:hideMark/>
          </w:tcPr>
          <w:p w14:paraId="794191C6" w14:textId="77777777" w:rsidR="00423885" w:rsidRPr="00423885" w:rsidRDefault="00423885" w:rsidP="00423885">
            <w:pPr>
              <w:cnfStyle w:val="000000000000" w:firstRow="0" w:lastRow="0" w:firstColumn="0" w:lastColumn="0" w:oddVBand="0" w:evenVBand="0" w:oddHBand="0" w:evenHBand="0" w:firstRowFirstColumn="0" w:firstRowLastColumn="0" w:lastRowFirstColumn="0" w:lastRowLastColumn="0"/>
            </w:pPr>
            <w:r w:rsidRPr="00423885">
              <w:t>536.1655625</w:t>
            </w:r>
          </w:p>
        </w:tc>
      </w:tr>
      <w:tr w:rsidR="00423885" w:rsidRPr="00423885" w14:paraId="19991539" w14:textId="77777777" w:rsidTr="0042388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960" w:type="dxa"/>
            <w:noWrap/>
            <w:hideMark/>
          </w:tcPr>
          <w:p w14:paraId="1BE43F01" w14:textId="77777777" w:rsidR="00423885" w:rsidRPr="00423885" w:rsidRDefault="00423885" w:rsidP="00423885"/>
        </w:tc>
        <w:tc>
          <w:tcPr>
            <w:tcW w:w="4040" w:type="dxa"/>
            <w:noWrap/>
            <w:hideMark/>
          </w:tcPr>
          <w:p w14:paraId="1E51BD5E" w14:textId="77777777" w:rsidR="00423885" w:rsidRPr="00423885" w:rsidRDefault="00423885">
            <w:pPr>
              <w:cnfStyle w:val="000000100000" w:firstRow="0" w:lastRow="0" w:firstColumn="0" w:lastColumn="0" w:oddVBand="0" w:evenVBand="0" w:oddHBand="1" w:evenHBand="0" w:firstRowFirstColumn="0" w:firstRowLastColumn="0" w:lastRowFirstColumn="0" w:lastRowLastColumn="0"/>
              <w:rPr>
                <w:b/>
                <w:bCs/>
              </w:rPr>
            </w:pPr>
          </w:p>
        </w:tc>
        <w:tc>
          <w:tcPr>
            <w:tcW w:w="2320" w:type="dxa"/>
            <w:noWrap/>
            <w:hideMark/>
          </w:tcPr>
          <w:p w14:paraId="40DA74DF" w14:textId="77777777" w:rsidR="00423885" w:rsidRPr="00423885" w:rsidRDefault="00423885">
            <w:pPr>
              <w:cnfStyle w:val="000000100000" w:firstRow="0" w:lastRow="0" w:firstColumn="0" w:lastColumn="0" w:oddVBand="0" w:evenVBand="0" w:oddHBand="1" w:evenHBand="0" w:firstRowFirstColumn="0" w:firstRowLastColumn="0" w:lastRowFirstColumn="0" w:lastRowLastColumn="0"/>
              <w:rPr>
                <w:b/>
                <w:bCs/>
              </w:rPr>
            </w:pPr>
            <w:r w:rsidRPr="00423885">
              <w:rPr>
                <w:b/>
                <w:bCs/>
              </w:rPr>
              <w:t>NPV</w:t>
            </w:r>
          </w:p>
        </w:tc>
        <w:tc>
          <w:tcPr>
            <w:tcW w:w="2720" w:type="dxa"/>
            <w:noWrap/>
            <w:hideMark/>
          </w:tcPr>
          <w:p w14:paraId="17C271EB" w14:textId="77777777" w:rsidR="00423885" w:rsidRPr="00423885" w:rsidRDefault="00423885" w:rsidP="00423885">
            <w:pPr>
              <w:cnfStyle w:val="000000100000" w:firstRow="0" w:lastRow="0" w:firstColumn="0" w:lastColumn="0" w:oddVBand="0" w:evenVBand="0" w:oddHBand="1" w:evenHBand="0" w:firstRowFirstColumn="0" w:firstRowLastColumn="0" w:lastRowFirstColumn="0" w:lastRowLastColumn="0"/>
              <w:rPr>
                <w:b/>
                <w:bCs/>
              </w:rPr>
            </w:pPr>
            <w:r w:rsidRPr="00423885">
              <w:rPr>
                <w:b/>
                <w:bCs/>
              </w:rPr>
              <w:t>578.42702</w:t>
            </w:r>
          </w:p>
        </w:tc>
      </w:tr>
    </w:tbl>
    <w:p w14:paraId="3F7BC7DD" w14:textId="77777777" w:rsidR="00423885" w:rsidRDefault="00423885">
      <w:pPr>
        <w:rPr>
          <w:b/>
          <w:bCs/>
        </w:rPr>
      </w:pPr>
    </w:p>
    <w:p w14:paraId="4C43307C" w14:textId="59E41131" w:rsidR="00423885" w:rsidRDefault="00423885" w:rsidP="00423885">
      <w:pPr>
        <w:rPr>
          <w:b/>
          <w:bCs/>
        </w:rPr>
      </w:pPr>
      <w:r w:rsidRPr="00CD3CA8">
        <w:rPr>
          <w:b/>
          <w:bCs/>
        </w:rPr>
        <w:t xml:space="preserve">NPV at </w:t>
      </w:r>
      <w:r>
        <w:rPr>
          <w:b/>
          <w:bCs/>
        </w:rPr>
        <w:t>15</w:t>
      </w:r>
      <w:r w:rsidRPr="00CD3CA8">
        <w:rPr>
          <w:b/>
          <w:bCs/>
        </w:rPr>
        <w:t>% Discount Rate for Option B:</w:t>
      </w:r>
    </w:p>
    <w:tbl>
      <w:tblPr>
        <w:tblStyle w:val="GridTable4-Accent4"/>
        <w:tblW w:w="0" w:type="auto"/>
        <w:tblLook w:val="04A0" w:firstRow="1" w:lastRow="0" w:firstColumn="1" w:lastColumn="0" w:noHBand="0" w:noVBand="1"/>
      </w:tblPr>
      <w:tblGrid>
        <w:gridCol w:w="877"/>
        <w:gridCol w:w="3613"/>
        <w:gridCol w:w="2085"/>
        <w:gridCol w:w="2441"/>
      </w:tblGrid>
      <w:tr w:rsidR="00423885" w:rsidRPr="00423885" w14:paraId="2BF6F2ED" w14:textId="77777777" w:rsidTr="00423885">
        <w:trPr>
          <w:cnfStyle w:val="100000000000" w:firstRow="1" w:lastRow="0" w:firstColumn="0" w:lastColumn="0" w:oddVBand="0" w:evenVBand="0" w:oddHBand="0"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960" w:type="dxa"/>
            <w:noWrap/>
            <w:hideMark/>
          </w:tcPr>
          <w:p w14:paraId="6620D006" w14:textId="77777777" w:rsidR="00423885" w:rsidRPr="00423885" w:rsidRDefault="00423885" w:rsidP="00423885">
            <w:pPr>
              <w:rPr>
                <w:lang w:val="en-IN"/>
              </w:rPr>
            </w:pPr>
          </w:p>
        </w:tc>
        <w:tc>
          <w:tcPr>
            <w:tcW w:w="4040" w:type="dxa"/>
            <w:noWrap/>
            <w:hideMark/>
          </w:tcPr>
          <w:p w14:paraId="13D95B90" w14:textId="77777777" w:rsidR="00423885" w:rsidRPr="00423885" w:rsidRDefault="00423885">
            <w:pPr>
              <w:cnfStyle w:val="100000000000" w:firstRow="1" w:lastRow="0" w:firstColumn="0" w:lastColumn="0" w:oddVBand="0" w:evenVBand="0" w:oddHBand="0" w:evenHBand="0" w:firstRowFirstColumn="0" w:firstRowLastColumn="0" w:lastRowFirstColumn="0" w:lastRowLastColumn="0"/>
            </w:pPr>
            <w:r w:rsidRPr="00423885">
              <w:t>Discount Rate</w:t>
            </w:r>
          </w:p>
        </w:tc>
        <w:tc>
          <w:tcPr>
            <w:tcW w:w="2320" w:type="dxa"/>
            <w:noWrap/>
            <w:hideMark/>
          </w:tcPr>
          <w:p w14:paraId="149A4D93" w14:textId="77777777" w:rsidR="00423885" w:rsidRPr="00423885" w:rsidRDefault="00423885" w:rsidP="00423885">
            <w:pPr>
              <w:cnfStyle w:val="100000000000" w:firstRow="1" w:lastRow="0" w:firstColumn="0" w:lastColumn="0" w:oddVBand="0" w:evenVBand="0" w:oddHBand="0" w:evenHBand="0" w:firstRowFirstColumn="0" w:firstRowLastColumn="0" w:lastRowFirstColumn="0" w:lastRowLastColumn="0"/>
            </w:pPr>
            <w:r w:rsidRPr="00423885">
              <w:t>15%</w:t>
            </w:r>
          </w:p>
        </w:tc>
        <w:tc>
          <w:tcPr>
            <w:tcW w:w="2720" w:type="dxa"/>
            <w:noWrap/>
            <w:hideMark/>
          </w:tcPr>
          <w:p w14:paraId="7E9EC4F5" w14:textId="77777777" w:rsidR="00423885" w:rsidRPr="00423885" w:rsidRDefault="00423885" w:rsidP="00423885">
            <w:pPr>
              <w:cnfStyle w:val="100000000000" w:firstRow="1" w:lastRow="0" w:firstColumn="0" w:lastColumn="0" w:oddVBand="0" w:evenVBand="0" w:oddHBand="0" w:evenHBand="0" w:firstRowFirstColumn="0" w:firstRowLastColumn="0" w:lastRowFirstColumn="0" w:lastRowLastColumn="0"/>
            </w:pPr>
          </w:p>
        </w:tc>
      </w:tr>
      <w:tr w:rsidR="00423885" w:rsidRPr="00423885" w14:paraId="671B3B2C" w14:textId="77777777" w:rsidTr="0042388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960" w:type="dxa"/>
            <w:noWrap/>
            <w:hideMark/>
          </w:tcPr>
          <w:p w14:paraId="3BD234C1" w14:textId="77777777" w:rsidR="00423885" w:rsidRPr="00423885" w:rsidRDefault="00423885">
            <w:r w:rsidRPr="00423885">
              <w:t>Year</w:t>
            </w:r>
          </w:p>
        </w:tc>
        <w:tc>
          <w:tcPr>
            <w:tcW w:w="4040" w:type="dxa"/>
            <w:noWrap/>
            <w:hideMark/>
          </w:tcPr>
          <w:p w14:paraId="0A3EB4F8" w14:textId="77777777" w:rsidR="00423885" w:rsidRPr="00423885" w:rsidRDefault="00423885">
            <w:pPr>
              <w:cnfStyle w:val="000000100000" w:firstRow="0" w:lastRow="0" w:firstColumn="0" w:lastColumn="0" w:oddVBand="0" w:evenVBand="0" w:oddHBand="1" w:evenHBand="0" w:firstRowFirstColumn="0" w:firstRowLastColumn="0" w:lastRowFirstColumn="0" w:lastRowLastColumn="0"/>
              <w:rPr>
                <w:b/>
                <w:bCs/>
              </w:rPr>
            </w:pPr>
            <w:r w:rsidRPr="00423885">
              <w:rPr>
                <w:b/>
                <w:bCs/>
              </w:rPr>
              <w:t>After-Tax Cash Flow (CF - Tax) (£'000)</w:t>
            </w:r>
          </w:p>
        </w:tc>
        <w:tc>
          <w:tcPr>
            <w:tcW w:w="2320" w:type="dxa"/>
            <w:noWrap/>
            <w:hideMark/>
          </w:tcPr>
          <w:p w14:paraId="22B1544E" w14:textId="77777777" w:rsidR="00423885" w:rsidRPr="00423885" w:rsidRDefault="00423885">
            <w:pPr>
              <w:cnfStyle w:val="000000100000" w:firstRow="0" w:lastRow="0" w:firstColumn="0" w:lastColumn="0" w:oddVBand="0" w:evenVBand="0" w:oddHBand="1" w:evenHBand="0" w:firstRowFirstColumn="0" w:firstRowLastColumn="0" w:lastRowFirstColumn="0" w:lastRowLastColumn="0"/>
              <w:rPr>
                <w:b/>
                <w:bCs/>
              </w:rPr>
            </w:pPr>
            <w:r w:rsidRPr="00423885">
              <w:rPr>
                <w:b/>
                <w:bCs/>
              </w:rPr>
              <w:t>Discount Factor (15%)</w:t>
            </w:r>
          </w:p>
        </w:tc>
        <w:tc>
          <w:tcPr>
            <w:tcW w:w="2720" w:type="dxa"/>
            <w:noWrap/>
            <w:hideMark/>
          </w:tcPr>
          <w:p w14:paraId="07FBEF62" w14:textId="77777777" w:rsidR="00423885" w:rsidRPr="00423885" w:rsidRDefault="00423885">
            <w:pPr>
              <w:cnfStyle w:val="000000100000" w:firstRow="0" w:lastRow="0" w:firstColumn="0" w:lastColumn="0" w:oddVBand="0" w:evenVBand="0" w:oddHBand="1" w:evenHBand="0" w:firstRowFirstColumn="0" w:firstRowLastColumn="0" w:lastRowFirstColumn="0" w:lastRowLastColumn="0"/>
              <w:rPr>
                <w:b/>
                <w:bCs/>
              </w:rPr>
            </w:pPr>
            <w:r w:rsidRPr="00423885">
              <w:rPr>
                <w:b/>
                <w:bCs/>
              </w:rPr>
              <w:t>Present Value (£'000)</w:t>
            </w:r>
          </w:p>
        </w:tc>
      </w:tr>
      <w:tr w:rsidR="00423885" w:rsidRPr="00423885" w14:paraId="5E057B3B" w14:textId="77777777" w:rsidTr="00423885">
        <w:trPr>
          <w:trHeight w:val="312"/>
        </w:trPr>
        <w:tc>
          <w:tcPr>
            <w:cnfStyle w:val="001000000000" w:firstRow="0" w:lastRow="0" w:firstColumn="1" w:lastColumn="0" w:oddVBand="0" w:evenVBand="0" w:oddHBand="0" w:evenHBand="0" w:firstRowFirstColumn="0" w:firstRowLastColumn="0" w:lastRowFirstColumn="0" w:lastRowLastColumn="0"/>
            <w:tcW w:w="960" w:type="dxa"/>
            <w:noWrap/>
            <w:hideMark/>
          </w:tcPr>
          <w:p w14:paraId="1AB9E625" w14:textId="77777777" w:rsidR="00423885" w:rsidRPr="00423885" w:rsidRDefault="00423885" w:rsidP="00423885">
            <w:pPr>
              <w:rPr>
                <w:b w:val="0"/>
                <w:bCs w:val="0"/>
              </w:rPr>
            </w:pPr>
            <w:r w:rsidRPr="00423885">
              <w:rPr>
                <w:b w:val="0"/>
                <w:bCs w:val="0"/>
              </w:rPr>
              <w:t>0</w:t>
            </w:r>
          </w:p>
        </w:tc>
        <w:tc>
          <w:tcPr>
            <w:tcW w:w="4040" w:type="dxa"/>
            <w:noWrap/>
            <w:hideMark/>
          </w:tcPr>
          <w:p w14:paraId="68BEE724" w14:textId="77777777" w:rsidR="00423885" w:rsidRPr="00423885" w:rsidRDefault="00423885" w:rsidP="00423885">
            <w:pPr>
              <w:cnfStyle w:val="000000000000" w:firstRow="0" w:lastRow="0" w:firstColumn="0" w:lastColumn="0" w:oddVBand="0" w:evenVBand="0" w:oddHBand="0" w:evenHBand="0" w:firstRowFirstColumn="0" w:firstRowLastColumn="0" w:lastRowFirstColumn="0" w:lastRowLastColumn="0"/>
            </w:pPr>
            <w:r w:rsidRPr="00423885">
              <w:t>0</w:t>
            </w:r>
          </w:p>
        </w:tc>
        <w:tc>
          <w:tcPr>
            <w:tcW w:w="2320" w:type="dxa"/>
            <w:noWrap/>
            <w:hideMark/>
          </w:tcPr>
          <w:p w14:paraId="7EB637C6" w14:textId="77777777" w:rsidR="00423885" w:rsidRPr="00423885" w:rsidRDefault="00423885" w:rsidP="00423885">
            <w:pPr>
              <w:cnfStyle w:val="000000000000" w:firstRow="0" w:lastRow="0" w:firstColumn="0" w:lastColumn="0" w:oddVBand="0" w:evenVBand="0" w:oddHBand="0" w:evenHBand="0" w:firstRowFirstColumn="0" w:firstRowLastColumn="0" w:lastRowFirstColumn="0" w:lastRowLastColumn="0"/>
            </w:pPr>
            <w:r w:rsidRPr="00423885">
              <w:t>0</w:t>
            </w:r>
          </w:p>
        </w:tc>
        <w:tc>
          <w:tcPr>
            <w:tcW w:w="2720" w:type="dxa"/>
            <w:noWrap/>
            <w:hideMark/>
          </w:tcPr>
          <w:p w14:paraId="2F86B61E" w14:textId="77777777" w:rsidR="00423885" w:rsidRPr="00423885" w:rsidRDefault="00423885" w:rsidP="00423885">
            <w:pPr>
              <w:cnfStyle w:val="000000000000" w:firstRow="0" w:lastRow="0" w:firstColumn="0" w:lastColumn="0" w:oddVBand="0" w:evenVBand="0" w:oddHBand="0" w:evenHBand="0" w:firstRowFirstColumn="0" w:firstRowLastColumn="0" w:lastRowFirstColumn="0" w:lastRowLastColumn="0"/>
            </w:pPr>
            <w:r w:rsidRPr="00423885">
              <w:t>-1000</w:t>
            </w:r>
          </w:p>
        </w:tc>
      </w:tr>
      <w:tr w:rsidR="00423885" w:rsidRPr="00423885" w14:paraId="150B5C71" w14:textId="77777777" w:rsidTr="0042388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960" w:type="dxa"/>
            <w:noWrap/>
            <w:hideMark/>
          </w:tcPr>
          <w:p w14:paraId="13557A93" w14:textId="77777777" w:rsidR="00423885" w:rsidRPr="00423885" w:rsidRDefault="00423885" w:rsidP="00423885">
            <w:pPr>
              <w:rPr>
                <w:b w:val="0"/>
                <w:bCs w:val="0"/>
              </w:rPr>
            </w:pPr>
            <w:r w:rsidRPr="00423885">
              <w:rPr>
                <w:b w:val="0"/>
                <w:bCs w:val="0"/>
              </w:rPr>
              <w:t>1</w:t>
            </w:r>
          </w:p>
        </w:tc>
        <w:tc>
          <w:tcPr>
            <w:tcW w:w="4040" w:type="dxa"/>
            <w:noWrap/>
            <w:hideMark/>
          </w:tcPr>
          <w:p w14:paraId="514C21B5" w14:textId="77777777" w:rsidR="00423885" w:rsidRPr="00423885" w:rsidRDefault="00423885" w:rsidP="00423885">
            <w:pPr>
              <w:cnfStyle w:val="000000100000" w:firstRow="0" w:lastRow="0" w:firstColumn="0" w:lastColumn="0" w:oddVBand="0" w:evenVBand="0" w:oddHBand="1" w:evenHBand="0" w:firstRowFirstColumn="0" w:firstRowLastColumn="0" w:lastRowFirstColumn="0" w:lastRowLastColumn="0"/>
            </w:pPr>
            <w:r w:rsidRPr="00423885">
              <w:t>350</w:t>
            </w:r>
          </w:p>
        </w:tc>
        <w:tc>
          <w:tcPr>
            <w:tcW w:w="2320" w:type="dxa"/>
            <w:noWrap/>
            <w:hideMark/>
          </w:tcPr>
          <w:p w14:paraId="70B60174" w14:textId="77777777" w:rsidR="00423885" w:rsidRPr="00423885" w:rsidRDefault="00423885" w:rsidP="00423885">
            <w:pPr>
              <w:cnfStyle w:val="000000100000" w:firstRow="0" w:lastRow="0" w:firstColumn="0" w:lastColumn="0" w:oddVBand="0" w:evenVBand="0" w:oddHBand="1" w:evenHBand="0" w:firstRowFirstColumn="0" w:firstRowLastColumn="0" w:lastRowFirstColumn="0" w:lastRowLastColumn="0"/>
            </w:pPr>
            <w:r w:rsidRPr="00423885">
              <w:t>0.869565217</w:t>
            </w:r>
          </w:p>
        </w:tc>
        <w:tc>
          <w:tcPr>
            <w:tcW w:w="2720" w:type="dxa"/>
            <w:noWrap/>
            <w:hideMark/>
          </w:tcPr>
          <w:p w14:paraId="1162C424" w14:textId="77777777" w:rsidR="00423885" w:rsidRPr="00423885" w:rsidRDefault="00423885" w:rsidP="00423885">
            <w:pPr>
              <w:cnfStyle w:val="000000100000" w:firstRow="0" w:lastRow="0" w:firstColumn="0" w:lastColumn="0" w:oddVBand="0" w:evenVBand="0" w:oddHBand="1" w:evenHBand="0" w:firstRowFirstColumn="0" w:firstRowLastColumn="0" w:lastRowFirstColumn="0" w:lastRowLastColumn="0"/>
            </w:pPr>
            <w:r w:rsidRPr="00423885">
              <w:t>304.3478261</w:t>
            </w:r>
          </w:p>
        </w:tc>
      </w:tr>
      <w:tr w:rsidR="00423885" w:rsidRPr="00423885" w14:paraId="1E83EE86" w14:textId="77777777" w:rsidTr="00423885">
        <w:trPr>
          <w:trHeight w:val="312"/>
        </w:trPr>
        <w:tc>
          <w:tcPr>
            <w:cnfStyle w:val="001000000000" w:firstRow="0" w:lastRow="0" w:firstColumn="1" w:lastColumn="0" w:oddVBand="0" w:evenVBand="0" w:oddHBand="0" w:evenHBand="0" w:firstRowFirstColumn="0" w:firstRowLastColumn="0" w:lastRowFirstColumn="0" w:lastRowLastColumn="0"/>
            <w:tcW w:w="960" w:type="dxa"/>
            <w:noWrap/>
            <w:hideMark/>
          </w:tcPr>
          <w:p w14:paraId="6FE619D7" w14:textId="77777777" w:rsidR="00423885" w:rsidRPr="00423885" w:rsidRDefault="00423885" w:rsidP="00423885">
            <w:pPr>
              <w:rPr>
                <w:b w:val="0"/>
                <w:bCs w:val="0"/>
              </w:rPr>
            </w:pPr>
            <w:r w:rsidRPr="00423885">
              <w:rPr>
                <w:b w:val="0"/>
                <w:bCs w:val="0"/>
              </w:rPr>
              <w:t>2</w:t>
            </w:r>
          </w:p>
        </w:tc>
        <w:tc>
          <w:tcPr>
            <w:tcW w:w="4040" w:type="dxa"/>
            <w:noWrap/>
            <w:hideMark/>
          </w:tcPr>
          <w:p w14:paraId="697A2F2F" w14:textId="77777777" w:rsidR="00423885" w:rsidRPr="00423885" w:rsidRDefault="00423885" w:rsidP="00423885">
            <w:pPr>
              <w:cnfStyle w:val="000000000000" w:firstRow="0" w:lastRow="0" w:firstColumn="0" w:lastColumn="0" w:oddVBand="0" w:evenVBand="0" w:oddHBand="0" w:evenHBand="0" w:firstRowFirstColumn="0" w:firstRowLastColumn="0" w:lastRowFirstColumn="0" w:lastRowLastColumn="0"/>
            </w:pPr>
            <w:r w:rsidRPr="00423885">
              <w:t>387.5</w:t>
            </w:r>
          </w:p>
        </w:tc>
        <w:tc>
          <w:tcPr>
            <w:tcW w:w="2320" w:type="dxa"/>
            <w:noWrap/>
            <w:hideMark/>
          </w:tcPr>
          <w:p w14:paraId="0F711570" w14:textId="77777777" w:rsidR="00423885" w:rsidRPr="00423885" w:rsidRDefault="00423885" w:rsidP="00423885">
            <w:pPr>
              <w:cnfStyle w:val="000000000000" w:firstRow="0" w:lastRow="0" w:firstColumn="0" w:lastColumn="0" w:oddVBand="0" w:evenVBand="0" w:oddHBand="0" w:evenHBand="0" w:firstRowFirstColumn="0" w:firstRowLastColumn="0" w:lastRowFirstColumn="0" w:lastRowLastColumn="0"/>
            </w:pPr>
            <w:r w:rsidRPr="00423885">
              <w:t>0.756143667</w:t>
            </w:r>
          </w:p>
        </w:tc>
        <w:tc>
          <w:tcPr>
            <w:tcW w:w="2720" w:type="dxa"/>
            <w:noWrap/>
            <w:hideMark/>
          </w:tcPr>
          <w:p w14:paraId="00502ABB" w14:textId="77777777" w:rsidR="00423885" w:rsidRPr="00423885" w:rsidRDefault="00423885" w:rsidP="00423885">
            <w:pPr>
              <w:cnfStyle w:val="000000000000" w:firstRow="0" w:lastRow="0" w:firstColumn="0" w:lastColumn="0" w:oddVBand="0" w:evenVBand="0" w:oddHBand="0" w:evenHBand="0" w:firstRowFirstColumn="0" w:firstRowLastColumn="0" w:lastRowFirstColumn="0" w:lastRowLastColumn="0"/>
            </w:pPr>
            <w:r w:rsidRPr="00423885">
              <w:t>293.0056711</w:t>
            </w:r>
          </w:p>
        </w:tc>
      </w:tr>
      <w:tr w:rsidR="00423885" w:rsidRPr="00423885" w14:paraId="6912044F" w14:textId="77777777" w:rsidTr="0042388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960" w:type="dxa"/>
            <w:noWrap/>
            <w:hideMark/>
          </w:tcPr>
          <w:p w14:paraId="46625310" w14:textId="77777777" w:rsidR="00423885" w:rsidRPr="00423885" w:rsidRDefault="00423885" w:rsidP="00423885">
            <w:pPr>
              <w:rPr>
                <w:b w:val="0"/>
                <w:bCs w:val="0"/>
              </w:rPr>
            </w:pPr>
            <w:r w:rsidRPr="00423885">
              <w:rPr>
                <w:b w:val="0"/>
                <w:bCs w:val="0"/>
              </w:rPr>
              <w:t>3</w:t>
            </w:r>
          </w:p>
        </w:tc>
        <w:tc>
          <w:tcPr>
            <w:tcW w:w="4040" w:type="dxa"/>
            <w:noWrap/>
            <w:hideMark/>
          </w:tcPr>
          <w:p w14:paraId="45196082" w14:textId="77777777" w:rsidR="00423885" w:rsidRPr="00423885" w:rsidRDefault="00423885" w:rsidP="00423885">
            <w:pPr>
              <w:cnfStyle w:val="000000100000" w:firstRow="0" w:lastRow="0" w:firstColumn="0" w:lastColumn="0" w:oddVBand="0" w:evenVBand="0" w:oddHBand="1" w:evenHBand="0" w:firstRowFirstColumn="0" w:firstRowLastColumn="0" w:lastRowFirstColumn="0" w:lastRowLastColumn="0"/>
            </w:pPr>
            <w:r w:rsidRPr="00423885">
              <w:t>537.5</w:t>
            </w:r>
          </w:p>
        </w:tc>
        <w:tc>
          <w:tcPr>
            <w:tcW w:w="2320" w:type="dxa"/>
            <w:noWrap/>
            <w:hideMark/>
          </w:tcPr>
          <w:p w14:paraId="799830F1" w14:textId="77777777" w:rsidR="00423885" w:rsidRPr="00423885" w:rsidRDefault="00423885" w:rsidP="00423885">
            <w:pPr>
              <w:cnfStyle w:val="000000100000" w:firstRow="0" w:lastRow="0" w:firstColumn="0" w:lastColumn="0" w:oddVBand="0" w:evenVBand="0" w:oddHBand="1" w:evenHBand="0" w:firstRowFirstColumn="0" w:firstRowLastColumn="0" w:lastRowFirstColumn="0" w:lastRowLastColumn="0"/>
            </w:pPr>
            <w:r w:rsidRPr="00423885">
              <w:t>0.657516232</w:t>
            </w:r>
          </w:p>
        </w:tc>
        <w:tc>
          <w:tcPr>
            <w:tcW w:w="2720" w:type="dxa"/>
            <w:noWrap/>
            <w:hideMark/>
          </w:tcPr>
          <w:p w14:paraId="5E9A85F6" w14:textId="77777777" w:rsidR="00423885" w:rsidRPr="00423885" w:rsidRDefault="00423885" w:rsidP="00423885">
            <w:pPr>
              <w:cnfStyle w:val="000000100000" w:firstRow="0" w:lastRow="0" w:firstColumn="0" w:lastColumn="0" w:oddVBand="0" w:evenVBand="0" w:oddHBand="1" w:evenHBand="0" w:firstRowFirstColumn="0" w:firstRowLastColumn="0" w:lastRowFirstColumn="0" w:lastRowLastColumn="0"/>
            </w:pPr>
            <w:r w:rsidRPr="00423885">
              <w:t>353.4149749</w:t>
            </w:r>
          </w:p>
        </w:tc>
      </w:tr>
      <w:tr w:rsidR="00423885" w:rsidRPr="00423885" w14:paraId="239B4CD4" w14:textId="77777777" w:rsidTr="00423885">
        <w:trPr>
          <w:trHeight w:val="312"/>
        </w:trPr>
        <w:tc>
          <w:tcPr>
            <w:cnfStyle w:val="001000000000" w:firstRow="0" w:lastRow="0" w:firstColumn="1" w:lastColumn="0" w:oddVBand="0" w:evenVBand="0" w:oddHBand="0" w:evenHBand="0" w:firstRowFirstColumn="0" w:firstRowLastColumn="0" w:lastRowFirstColumn="0" w:lastRowLastColumn="0"/>
            <w:tcW w:w="960" w:type="dxa"/>
            <w:noWrap/>
            <w:hideMark/>
          </w:tcPr>
          <w:p w14:paraId="733C31A6" w14:textId="77777777" w:rsidR="00423885" w:rsidRPr="00423885" w:rsidRDefault="00423885" w:rsidP="00423885">
            <w:pPr>
              <w:rPr>
                <w:b w:val="0"/>
                <w:bCs w:val="0"/>
              </w:rPr>
            </w:pPr>
            <w:r w:rsidRPr="00423885">
              <w:rPr>
                <w:b w:val="0"/>
                <w:bCs w:val="0"/>
              </w:rPr>
              <w:t>4</w:t>
            </w:r>
          </w:p>
        </w:tc>
        <w:tc>
          <w:tcPr>
            <w:tcW w:w="4040" w:type="dxa"/>
            <w:noWrap/>
            <w:hideMark/>
          </w:tcPr>
          <w:p w14:paraId="67499D2C" w14:textId="77777777" w:rsidR="00423885" w:rsidRPr="00423885" w:rsidRDefault="00423885" w:rsidP="00423885">
            <w:pPr>
              <w:cnfStyle w:val="000000000000" w:firstRow="0" w:lastRow="0" w:firstColumn="0" w:lastColumn="0" w:oddVBand="0" w:evenVBand="0" w:oddHBand="0" w:evenHBand="0" w:firstRowFirstColumn="0" w:firstRowLastColumn="0" w:lastRowFirstColumn="0" w:lastRowLastColumn="0"/>
            </w:pPr>
            <w:r w:rsidRPr="00423885">
              <w:t>785</w:t>
            </w:r>
          </w:p>
        </w:tc>
        <w:tc>
          <w:tcPr>
            <w:tcW w:w="2320" w:type="dxa"/>
            <w:noWrap/>
            <w:hideMark/>
          </w:tcPr>
          <w:p w14:paraId="0E1F822B" w14:textId="77777777" w:rsidR="00423885" w:rsidRPr="00423885" w:rsidRDefault="00423885" w:rsidP="00423885">
            <w:pPr>
              <w:cnfStyle w:val="000000000000" w:firstRow="0" w:lastRow="0" w:firstColumn="0" w:lastColumn="0" w:oddVBand="0" w:evenVBand="0" w:oddHBand="0" w:evenHBand="0" w:firstRowFirstColumn="0" w:firstRowLastColumn="0" w:lastRowFirstColumn="0" w:lastRowLastColumn="0"/>
            </w:pPr>
            <w:r w:rsidRPr="00423885">
              <w:t>0.571753246</w:t>
            </w:r>
          </w:p>
        </w:tc>
        <w:tc>
          <w:tcPr>
            <w:tcW w:w="2720" w:type="dxa"/>
            <w:noWrap/>
            <w:hideMark/>
          </w:tcPr>
          <w:p w14:paraId="69D175A6" w14:textId="77777777" w:rsidR="00423885" w:rsidRPr="00423885" w:rsidRDefault="00423885" w:rsidP="00423885">
            <w:pPr>
              <w:cnfStyle w:val="000000000000" w:firstRow="0" w:lastRow="0" w:firstColumn="0" w:lastColumn="0" w:oddVBand="0" w:evenVBand="0" w:oddHBand="0" w:evenHBand="0" w:firstRowFirstColumn="0" w:firstRowLastColumn="0" w:lastRowFirstColumn="0" w:lastRowLastColumn="0"/>
            </w:pPr>
            <w:r w:rsidRPr="00423885">
              <w:t>448.8262978</w:t>
            </w:r>
          </w:p>
        </w:tc>
      </w:tr>
      <w:tr w:rsidR="00423885" w:rsidRPr="00423885" w14:paraId="29EC902E" w14:textId="77777777" w:rsidTr="0042388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960" w:type="dxa"/>
            <w:noWrap/>
            <w:hideMark/>
          </w:tcPr>
          <w:p w14:paraId="17DF2D98" w14:textId="77777777" w:rsidR="00423885" w:rsidRPr="00423885" w:rsidRDefault="00423885" w:rsidP="00423885">
            <w:pPr>
              <w:rPr>
                <w:b w:val="0"/>
                <w:bCs w:val="0"/>
              </w:rPr>
            </w:pPr>
          </w:p>
        </w:tc>
        <w:tc>
          <w:tcPr>
            <w:tcW w:w="4040" w:type="dxa"/>
            <w:noWrap/>
            <w:hideMark/>
          </w:tcPr>
          <w:p w14:paraId="67E4EC1E" w14:textId="77777777" w:rsidR="00423885" w:rsidRPr="00423885" w:rsidRDefault="00423885">
            <w:pPr>
              <w:cnfStyle w:val="000000100000" w:firstRow="0" w:lastRow="0" w:firstColumn="0" w:lastColumn="0" w:oddVBand="0" w:evenVBand="0" w:oddHBand="1" w:evenHBand="0" w:firstRowFirstColumn="0" w:firstRowLastColumn="0" w:lastRowFirstColumn="0" w:lastRowLastColumn="0"/>
            </w:pPr>
          </w:p>
        </w:tc>
        <w:tc>
          <w:tcPr>
            <w:tcW w:w="2320" w:type="dxa"/>
            <w:noWrap/>
            <w:hideMark/>
          </w:tcPr>
          <w:p w14:paraId="54433B2D" w14:textId="77777777" w:rsidR="00423885" w:rsidRPr="00423885" w:rsidRDefault="00423885">
            <w:pPr>
              <w:cnfStyle w:val="000000100000" w:firstRow="0" w:lastRow="0" w:firstColumn="0" w:lastColumn="0" w:oddVBand="0" w:evenVBand="0" w:oddHBand="1" w:evenHBand="0" w:firstRowFirstColumn="0" w:firstRowLastColumn="0" w:lastRowFirstColumn="0" w:lastRowLastColumn="0"/>
              <w:rPr>
                <w:b/>
                <w:bCs/>
              </w:rPr>
            </w:pPr>
            <w:r w:rsidRPr="00423885">
              <w:rPr>
                <w:b/>
                <w:bCs/>
              </w:rPr>
              <w:t>NPV</w:t>
            </w:r>
          </w:p>
        </w:tc>
        <w:tc>
          <w:tcPr>
            <w:tcW w:w="2720" w:type="dxa"/>
            <w:noWrap/>
            <w:hideMark/>
          </w:tcPr>
          <w:p w14:paraId="324205FD" w14:textId="77777777" w:rsidR="00423885" w:rsidRPr="00423885" w:rsidRDefault="00423885" w:rsidP="00423885">
            <w:pPr>
              <w:cnfStyle w:val="000000100000" w:firstRow="0" w:lastRow="0" w:firstColumn="0" w:lastColumn="0" w:oddVBand="0" w:evenVBand="0" w:oddHBand="1" w:evenHBand="0" w:firstRowFirstColumn="0" w:firstRowLastColumn="0" w:lastRowFirstColumn="0" w:lastRowLastColumn="0"/>
              <w:rPr>
                <w:b/>
                <w:bCs/>
              </w:rPr>
            </w:pPr>
            <w:r w:rsidRPr="00423885">
              <w:rPr>
                <w:b/>
                <w:bCs/>
              </w:rPr>
              <w:t>399.5947699</w:t>
            </w:r>
          </w:p>
        </w:tc>
      </w:tr>
    </w:tbl>
    <w:p w14:paraId="18D797C8" w14:textId="77777777" w:rsidR="00423885" w:rsidRDefault="00423885" w:rsidP="00423885">
      <w:pPr>
        <w:rPr>
          <w:b/>
          <w:bCs/>
        </w:rPr>
      </w:pPr>
    </w:p>
    <w:p w14:paraId="14F2771D" w14:textId="25C4857F" w:rsidR="00CD3CA8" w:rsidRDefault="00423885">
      <w:pPr>
        <w:rPr>
          <w:b/>
          <w:bCs/>
        </w:rPr>
      </w:pPr>
      <w:r w:rsidRPr="00423885">
        <w:rPr>
          <w:b/>
          <w:bCs/>
        </w:rPr>
        <w:lastRenderedPageBreak/>
        <w:t>Interpolation</w:t>
      </w:r>
      <w:r>
        <w:rPr>
          <w:b/>
          <w:bCs/>
        </w:rPr>
        <w:t xml:space="preserve"> Method</w:t>
      </w:r>
      <w:r w:rsidRPr="00423885">
        <w:rPr>
          <w:b/>
          <w:bCs/>
        </w:rPr>
        <w:t>:</w:t>
      </w:r>
    </w:p>
    <w:p w14:paraId="260FBC02" w14:textId="6B7F6D67" w:rsidR="00423885" w:rsidRDefault="00423885">
      <w:pPr>
        <w:rPr>
          <w:rFonts w:eastAsiaTheme="minorEastAsia"/>
        </w:rPr>
      </w:pPr>
      <w:r>
        <w:rPr>
          <w:b/>
          <w:bCs/>
        </w:rPr>
        <w:t xml:space="preserve">IRR= </w:t>
      </w:r>
      <m:oMath>
        <m:r>
          <w:rPr>
            <w:rFonts w:ascii="Cambria Math" w:hAnsi="Cambria Math"/>
          </w:rPr>
          <m:t xml:space="preserve">Lower Rate+ </m:t>
        </m:r>
        <m:f>
          <m:fPr>
            <m:ctrlPr>
              <w:rPr>
                <w:rFonts w:ascii="Cambria Math" w:hAnsi="Cambria Math"/>
                <w:i/>
              </w:rPr>
            </m:ctrlPr>
          </m:fPr>
          <m:num>
            <m:r>
              <w:rPr>
                <w:rFonts w:ascii="Cambria Math" w:hAnsi="Cambria Math"/>
              </w:rPr>
              <m:t>NPV at Lower Rate</m:t>
            </m:r>
          </m:num>
          <m:den>
            <m:r>
              <w:rPr>
                <w:rFonts w:ascii="Cambria Math" w:hAnsi="Cambria Math"/>
              </w:rPr>
              <m:t>NPV at Lower Rate-NPV at Higher Rate</m:t>
            </m:r>
          </m:den>
        </m:f>
        <m:r>
          <w:rPr>
            <w:rFonts w:ascii="Cambria Math" w:hAnsi="Cambria Math"/>
          </w:rPr>
          <m:t xml:space="preserve"> ×(Higher Rate-Lower Rate)</m:t>
        </m:r>
      </m:oMath>
    </w:p>
    <w:p w14:paraId="1E44B361" w14:textId="7A463930" w:rsidR="005A6B3E" w:rsidRPr="00D939DB" w:rsidRDefault="005A6B3E">
      <w:pPr>
        <w:rPr>
          <w:rFonts w:eastAsiaTheme="minorEastAsia"/>
        </w:rPr>
      </w:pPr>
      <m:oMathPara>
        <m:oMath>
          <m:r>
            <w:rPr>
              <w:rFonts w:ascii="Cambria Math" w:hAnsi="Cambria Math"/>
            </w:rPr>
            <m:t xml:space="preserve">=10%+ </m:t>
          </m:r>
          <m:f>
            <m:fPr>
              <m:ctrlPr>
                <w:rPr>
                  <w:rFonts w:ascii="Cambria Math" w:hAnsi="Cambria Math"/>
                  <w:i/>
                </w:rPr>
              </m:ctrlPr>
            </m:fPr>
            <m:num>
              <m:r>
                <w:rPr>
                  <w:rFonts w:ascii="Cambria Math" w:hAnsi="Cambria Math"/>
                </w:rPr>
                <m:t>578.42702</m:t>
              </m:r>
            </m:num>
            <m:den>
              <m:r>
                <w:rPr>
                  <w:rFonts w:ascii="Cambria Math" w:hAnsi="Cambria Math"/>
                </w:rPr>
                <m:t>578.42702-399.5947699</m:t>
              </m:r>
            </m:den>
          </m:f>
          <m:r>
            <w:rPr>
              <w:rFonts w:ascii="Cambria Math" w:hAnsi="Cambria Math"/>
            </w:rPr>
            <m:t xml:space="preserve"> ×(15%-10%)</m:t>
          </m:r>
        </m:oMath>
      </m:oMathPara>
    </w:p>
    <w:p w14:paraId="6D27DAE8" w14:textId="51F93148" w:rsidR="00D939DB" w:rsidRPr="00D939DB" w:rsidRDefault="00D939DB">
      <w:pPr>
        <w:rPr>
          <w:rFonts w:eastAsiaTheme="minorEastAsia"/>
        </w:rPr>
      </w:pPr>
      <m:oMathPara>
        <m:oMath>
          <m:r>
            <w:rPr>
              <w:rFonts w:ascii="Cambria Math" w:hAnsi="Cambria Math"/>
            </w:rPr>
            <m:t>=26.17%</m:t>
          </m:r>
        </m:oMath>
      </m:oMathPara>
    </w:p>
    <w:p w14:paraId="5205BF20" w14:textId="7F5198B6" w:rsidR="00D939DB" w:rsidRPr="00D939DB" w:rsidRDefault="00D939DB" w:rsidP="00D939DB">
      <w:pPr>
        <w:rPr>
          <w:rFonts w:eastAsiaTheme="minorEastAsia"/>
          <w:lang w:val="en-IN"/>
        </w:rPr>
      </w:pPr>
      <w:r w:rsidRPr="00D939DB">
        <w:rPr>
          <w:rFonts w:eastAsiaTheme="minorEastAsia"/>
          <w:b/>
          <w:bCs/>
          <w:lang w:val="en-IN"/>
        </w:rPr>
        <w:t xml:space="preserve">Approximate IRR for Option B = </w:t>
      </w:r>
      <m:oMath>
        <m:r>
          <w:rPr>
            <w:rFonts w:ascii="Cambria Math" w:hAnsi="Cambria Math"/>
          </w:rPr>
          <m:t>26.17%</m:t>
        </m:r>
      </m:oMath>
    </w:p>
    <w:p w14:paraId="41820A7D" w14:textId="4EF198DC" w:rsidR="00D939DB" w:rsidRPr="00D939DB" w:rsidRDefault="005A7C8F" w:rsidP="00D939DB">
      <w:pPr>
        <w:rPr>
          <w:rFonts w:eastAsiaTheme="minorEastAsia"/>
          <w:lang w:val="en-IN"/>
        </w:rPr>
      </w:pPr>
      <w:r w:rsidRPr="005A7C8F">
        <w:rPr>
          <w:rFonts w:eastAsiaTheme="minorEastAsia"/>
          <w:lang w:val="en-IN"/>
        </w:rPr>
        <w:t>This high IRR means that Option B will provide a huge payoff, which is quite beyond the cost of capital of 6</w:t>
      </w:r>
      <w:r w:rsidR="00925F9D">
        <w:rPr>
          <w:rFonts w:eastAsiaTheme="minorEastAsia"/>
          <w:lang w:val="en-IN"/>
        </w:rPr>
        <w:t xml:space="preserve">% </w:t>
      </w:r>
      <w:r w:rsidRPr="005A7C8F">
        <w:rPr>
          <w:rFonts w:eastAsiaTheme="minorEastAsia"/>
          <w:lang w:val="en-IN"/>
        </w:rPr>
        <w:t>at the company</w:t>
      </w:r>
      <w:r w:rsidR="00D939DB" w:rsidRPr="00D939DB">
        <w:rPr>
          <w:rFonts w:eastAsiaTheme="minorEastAsia"/>
          <w:lang w:val="en-IN"/>
        </w:rPr>
        <w:t>.</w:t>
      </w:r>
    </w:p>
    <w:p w14:paraId="5831CAEE" w14:textId="5577EACE" w:rsidR="00D939DB" w:rsidRPr="00D939DB" w:rsidRDefault="00D939DB" w:rsidP="00D939DB">
      <w:pPr>
        <w:pStyle w:val="ListParagraph"/>
        <w:numPr>
          <w:ilvl w:val="1"/>
          <w:numId w:val="3"/>
        </w:numPr>
        <w:rPr>
          <w:rStyle w:val="selected"/>
          <w:b/>
          <w:bCs/>
        </w:rPr>
      </w:pPr>
      <w:r w:rsidRPr="00D939DB">
        <w:rPr>
          <w:rStyle w:val="selected"/>
          <w:b/>
          <w:bCs/>
        </w:rPr>
        <w:t>Interpretation of Results for Management</w:t>
      </w:r>
    </w:p>
    <w:p w14:paraId="1ED8D41C" w14:textId="77777777" w:rsidR="00D939DB" w:rsidRPr="005C5EB8" w:rsidRDefault="00D939DB" w:rsidP="005C5EB8">
      <w:pPr>
        <w:jc w:val="center"/>
        <w:rPr>
          <w:b/>
          <w:bCs/>
          <w:sz w:val="26"/>
          <w:szCs w:val="26"/>
          <w:lang w:val="en-IN"/>
        </w:rPr>
      </w:pPr>
      <w:r w:rsidRPr="005C5EB8">
        <w:rPr>
          <w:b/>
          <w:bCs/>
          <w:sz w:val="26"/>
          <w:szCs w:val="26"/>
        </w:rPr>
        <w:t>Theoretical Arguments for Net Present Value (NPV)</w:t>
      </w:r>
    </w:p>
    <w:p w14:paraId="7F4DEB4B" w14:textId="77777777" w:rsidR="00D939DB" w:rsidRDefault="00D939DB" w:rsidP="00D939DB">
      <w:r>
        <w:t xml:space="preserve">The </w:t>
      </w:r>
      <w:r>
        <w:rPr>
          <w:rStyle w:val="Strong"/>
        </w:rPr>
        <w:t>Net Present Value (NPV)</w:t>
      </w:r>
      <w:r>
        <w:t xml:space="preserve"> method is considered the most reliable technique for investment appraisal for several key reasons:</w:t>
      </w:r>
    </w:p>
    <w:p w14:paraId="6B489421" w14:textId="223F70F4" w:rsidR="00D939DB" w:rsidRDefault="00D939DB" w:rsidP="00D939DB">
      <w:pPr>
        <w:pStyle w:val="ListParagraph"/>
        <w:numPr>
          <w:ilvl w:val="0"/>
          <w:numId w:val="21"/>
        </w:numPr>
      </w:pPr>
      <w:r>
        <w:rPr>
          <w:rStyle w:val="Strong"/>
        </w:rPr>
        <w:t>Maximization of Shareholder Wealth</w:t>
      </w:r>
      <w:r>
        <w:t>: The primary goal of any company is to maximize shareholder wealth. NPV directly aligns with this objective</w:t>
      </w:r>
      <w:r w:rsidR="005C5EB8" w:rsidRPr="005C5EB8">
        <w:t xml:space="preserve"> (Le, 2021)</w:t>
      </w:r>
      <w:r>
        <w:t>. A positive NPV indicates that the project will generate returns higher than the cost of capital, thus increasing the firm's overall value and, consequently, the wealth of its owners.</w:t>
      </w:r>
    </w:p>
    <w:p w14:paraId="5A67A7CE" w14:textId="53067032" w:rsidR="00D939DB" w:rsidRDefault="00D939DB" w:rsidP="00D939DB">
      <w:pPr>
        <w:pStyle w:val="ListParagraph"/>
        <w:numPr>
          <w:ilvl w:val="0"/>
          <w:numId w:val="21"/>
        </w:numPr>
      </w:pPr>
      <w:r>
        <w:rPr>
          <w:rStyle w:val="Strong"/>
        </w:rPr>
        <w:t>Incorporation of Time Value of Money</w:t>
      </w:r>
      <w:r>
        <w:t>: NPV accounts for the time value of money, which reflects that a pound today is worth more than a pound in the future due to its earning potential</w:t>
      </w:r>
      <w:r w:rsidR="005C5EB8" w:rsidRPr="005C5EB8">
        <w:t xml:space="preserve"> (Le, 2021)</w:t>
      </w:r>
      <w:r>
        <w:t>. By discounting future cash flows back to their present value using the firm’s cost of capital, NPV ensures that cash flows received earlier are more highly valued than those received later, reflecting their true economic worth.</w:t>
      </w:r>
    </w:p>
    <w:p w14:paraId="559D6061" w14:textId="77777777" w:rsidR="00D939DB" w:rsidRDefault="00D939DB" w:rsidP="00D939DB">
      <w:pPr>
        <w:pStyle w:val="ListParagraph"/>
        <w:numPr>
          <w:ilvl w:val="0"/>
          <w:numId w:val="21"/>
        </w:numPr>
      </w:pPr>
      <w:r>
        <w:rPr>
          <w:rStyle w:val="Strong"/>
        </w:rPr>
        <w:t>Consideration of All Relevant Cash Flows</w:t>
      </w:r>
      <w:r>
        <w:t>: Unlike some other methods, such as the payback period, which might ignore cash flows after a certain point, NPV includes all incremental cash flows throughout the project’s entire life, providing a complete picture of the project’s profitability.</w:t>
      </w:r>
    </w:p>
    <w:p w14:paraId="11873B37" w14:textId="43BCB332" w:rsidR="00D939DB" w:rsidRDefault="00D939DB" w:rsidP="00D939DB">
      <w:pPr>
        <w:pStyle w:val="ListParagraph"/>
        <w:numPr>
          <w:ilvl w:val="0"/>
          <w:numId w:val="21"/>
        </w:numPr>
      </w:pPr>
      <w:r>
        <w:rPr>
          <w:rStyle w:val="Strong"/>
        </w:rPr>
        <w:t>Clear and Unambiguous Decision Rule</w:t>
      </w:r>
      <w:r>
        <w:t>: The NPV decision rule is straightforward: accept all projects with a positive NPV and reject those with a negative NPV. For mutually exclusive projects, the project with the highest positive NPV should be chosen. This simple rule minimizes ambiguity in investment decisions</w:t>
      </w:r>
      <w:r w:rsidR="005C5EB8" w:rsidRPr="005C5EB8">
        <w:t xml:space="preserve"> (Le, 2021)</w:t>
      </w:r>
      <w:r>
        <w:t>.</w:t>
      </w:r>
    </w:p>
    <w:p w14:paraId="0BF75585" w14:textId="77777777" w:rsidR="00D939DB" w:rsidRDefault="00D939DB" w:rsidP="00D939DB">
      <w:pPr>
        <w:pStyle w:val="ListParagraph"/>
        <w:numPr>
          <w:ilvl w:val="0"/>
          <w:numId w:val="21"/>
        </w:numPr>
      </w:pPr>
      <w:r>
        <w:rPr>
          <w:rStyle w:val="Strong"/>
        </w:rPr>
        <w:lastRenderedPageBreak/>
        <w:t>Consistent Reinvestment Assumption</w:t>
      </w:r>
      <w:r>
        <w:t>: NPV assumes that intermediate cash flows are reinvested at the company’s cost of capital, which is generally more realistic than assuming they are reinvested at the project’s internal rate of return (IRR), especially for projects with very high IRRs.</w:t>
      </w:r>
    </w:p>
    <w:p w14:paraId="330508AB" w14:textId="77777777" w:rsidR="00321F0D" w:rsidRDefault="00D939DB" w:rsidP="00D939DB">
      <w:pPr>
        <w:pStyle w:val="ListParagraph"/>
        <w:numPr>
          <w:ilvl w:val="0"/>
          <w:numId w:val="21"/>
        </w:numPr>
      </w:pPr>
      <w:r>
        <w:rPr>
          <w:rStyle w:val="Strong"/>
        </w:rPr>
        <w:t>Additivity Principle</w:t>
      </w:r>
      <w:r>
        <w:t>: The NPVs of independent projects are additive. This means that if multiple independent projects are undertaken, the total NPV for the firm is simply the sum of the individual project NPVs, which is helpful in capital budgeting when evaluating multiple projects.</w:t>
      </w:r>
    </w:p>
    <w:p w14:paraId="3835C2F9" w14:textId="47CD88C7" w:rsidR="00D939DB" w:rsidRPr="00321F0D" w:rsidRDefault="00D939DB" w:rsidP="00321F0D">
      <w:r w:rsidRPr="00321F0D">
        <w:rPr>
          <w:b/>
          <w:bCs/>
          <w:lang w:val="en-IN"/>
        </w:rPr>
        <w:t>Continued Popularity of Non-Discounting Methods</w:t>
      </w:r>
    </w:p>
    <w:p w14:paraId="01859923" w14:textId="35A7E2C0" w:rsidR="00D939DB" w:rsidRPr="00321F0D" w:rsidRDefault="00D939DB" w:rsidP="00321F0D">
      <w:pPr>
        <w:rPr>
          <w:lang w:val="en-IN"/>
        </w:rPr>
      </w:pPr>
      <w:r w:rsidRPr="00321F0D">
        <w:rPr>
          <w:lang w:val="en-IN"/>
        </w:rPr>
        <w:t>Despite NPV being the superior method, non-discounting methods like the Payback Period and Accounting Rate of Return (ARR) are still popular for several reasons, primarily due to their simplicity and ease of understanding</w:t>
      </w:r>
      <w:r w:rsidR="00321F0D" w:rsidRPr="00321F0D">
        <w:t xml:space="preserve"> </w:t>
      </w:r>
      <w:r w:rsidR="00321F0D" w:rsidRPr="00321F0D">
        <w:rPr>
          <w:lang w:val="en-IN"/>
        </w:rPr>
        <w:t>(Open Stax, 2025)</w:t>
      </w:r>
      <w:r w:rsidRPr="00321F0D">
        <w:rPr>
          <w:lang w:val="en-IN"/>
        </w:rPr>
        <w:t>.</w:t>
      </w:r>
    </w:p>
    <w:p w14:paraId="7D507C8C" w14:textId="77777777" w:rsidR="00D939DB" w:rsidRPr="00D939DB" w:rsidRDefault="00D939DB" w:rsidP="00D939DB">
      <w:pPr>
        <w:rPr>
          <w:b/>
          <w:bCs/>
          <w:lang w:val="en-IN"/>
        </w:rPr>
      </w:pPr>
      <w:r w:rsidRPr="00D939DB">
        <w:rPr>
          <w:b/>
          <w:bCs/>
          <w:lang w:val="en-IN"/>
        </w:rPr>
        <w:t>Payback Period:</w:t>
      </w:r>
    </w:p>
    <w:p w14:paraId="13C706D7" w14:textId="33BD696D" w:rsidR="00D939DB" w:rsidRPr="00D939DB" w:rsidRDefault="00D939DB" w:rsidP="00D939DB">
      <w:pPr>
        <w:numPr>
          <w:ilvl w:val="0"/>
          <w:numId w:val="22"/>
        </w:numPr>
        <w:rPr>
          <w:lang w:val="en-IN"/>
        </w:rPr>
      </w:pPr>
      <w:r w:rsidRPr="00D939DB">
        <w:rPr>
          <w:b/>
          <w:bCs/>
          <w:lang w:val="en-IN"/>
        </w:rPr>
        <w:t>Simplicity and Intuition</w:t>
      </w:r>
      <w:r w:rsidRPr="00D939DB">
        <w:rPr>
          <w:lang w:val="en-IN"/>
        </w:rPr>
        <w:t>: The payback period is easy to calculate and answers a basic question: "How quickly will I recover my investment?" This simplicity makes it accessible to managers who may not have a strong financial background</w:t>
      </w:r>
      <w:r w:rsidR="005C5EB8" w:rsidRPr="005C5EB8">
        <w:t xml:space="preserve"> </w:t>
      </w:r>
      <w:r w:rsidR="005C5EB8" w:rsidRPr="005C5EB8">
        <w:rPr>
          <w:lang w:val="en-IN"/>
        </w:rPr>
        <w:t>(Kagan, 2025)</w:t>
      </w:r>
      <w:r w:rsidRPr="00D939DB">
        <w:rPr>
          <w:lang w:val="en-IN"/>
        </w:rPr>
        <w:t>.</w:t>
      </w:r>
    </w:p>
    <w:p w14:paraId="555E2E69" w14:textId="77777777" w:rsidR="00D939DB" w:rsidRPr="00D939DB" w:rsidRDefault="00D939DB" w:rsidP="00D939DB">
      <w:pPr>
        <w:numPr>
          <w:ilvl w:val="0"/>
          <w:numId w:val="22"/>
        </w:numPr>
        <w:rPr>
          <w:lang w:val="en-IN"/>
        </w:rPr>
      </w:pPr>
      <w:r w:rsidRPr="00D939DB">
        <w:rPr>
          <w:b/>
          <w:bCs/>
          <w:lang w:val="en-IN"/>
        </w:rPr>
        <w:t>Focus on Liquidity</w:t>
      </w:r>
      <w:r w:rsidRPr="00D939DB">
        <w:rPr>
          <w:lang w:val="en-IN"/>
        </w:rPr>
        <w:t>: Businesses facing liquidity constraints or operating in volatile markets may prioritize a quick recovery of initial investment, which is directly addressed by the payback period.</w:t>
      </w:r>
    </w:p>
    <w:p w14:paraId="192756DA" w14:textId="5BC69CE5" w:rsidR="00D939DB" w:rsidRPr="00D939DB" w:rsidRDefault="00D939DB" w:rsidP="00D939DB">
      <w:pPr>
        <w:numPr>
          <w:ilvl w:val="0"/>
          <w:numId w:val="22"/>
        </w:numPr>
        <w:rPr>
          <w:lang w:val="en-IN"/>
        </w:rPr>
      </w:pPr>
      <w:r w:rsidRPr="00D939DB">
        <w:rPr>
          <w:b/>
          <w:bCs/>
          <w:lang w:val="en-IN"/>
        </w:rPr>
        <w:t>Risk Proxy</w:t>
      </w:r>
      <w:r w:rsidRPr="00D939DB">
        <w:rPr>
          <w:lang w:val="en-IN"/>
        </w:rPr>
        <w:t>: A shorter payback period is often viewed as less risky, as the firm is exposed to the investment for a shorter time, making this method useful in uncertain economic conditions</w:t>
      </w:r>
      <w:r w:rsidR="005C5EB8" w:rsidRPr="005C5EB8">
        <w:t xml:space="preserve"> </w:t>
      </w:r>
      <w:r w:rsidR="005C5EB8" w:rsidRPr="005C5EB8">
        <w:rPr>
          <w:lang w:val="en-IN"/>
        </w:rPr>
        <w:t>(Kagan, 2025)</w:t>
      </w:r>
      <w:r w:rsidRPr="00D939DB">
        <w:rPr>
          <w:lang w:val="en-IN"/>
        </w:rPr>
        <w:t>.</w:t>
      </w:r>
    </w:p>
    <w:p w14:paraId="153BA178" w14:textId="77777777" w:rsidR="00D939DB" w:rsidRPr="00D939DB" w:rsidRDefault="00D939DB" w:rsidP="00D939DB">
      <w:pPr>
        <w:rPr>
          <w:b/>
          <w:bCs/>
          <w:lang w:val="en-IN"/>
        </w:rPr>
      </w:pPr>
      <w:r w:rsidRPr="00D939DB">
        <w:rPr>
          <w:b/>
          <w:bCs/>
          <w:lang w:val="en-IN"/>
        </w:rPr>
        <w:t>Accounting Rate of Return (ARR):</w:t>
      </w:r>
    </w:p>
    <w:p w14:paraId="2BAE3BE2" w14:textId="2C78B4AF" w:rsidR="00D939DB" w:rsidRPr="00D939DB" w:rsidRDefault="00D939DB" w:rsidP="00D939DB">
      <w:pPr>
        <w:numPr>
          <w:ilvl w:val="0"/>
          <w:numId w:val="23"/>
        </w:numPr>
        <w:rPr>
          <w:lang w:val="en-IN"/>
        </w:rPr>
      </w:pPr>
      <w:r w:rsidRPr="00D939DB">
        <w:rPr>
          <w:b/>
          <w:bCs/>
          <w:lang w:val="en-IN"/>
        </w:rPr>
        <w:t>Familiarity with Accounting Metrics</w:t>
      </w:r>
      <w:r w:rsidRPr="00D939DB">
        <w:rPr>
          <w:lang w:val="en-IN"/>
        </w:rPr>
        <w:t>: ARR is based on accounting profits, which are readily available and familiar to managers accustomed to traditional accounting measures</w:t>
      </w:r>
      <w:r w:rsidR="005C5EB8" w:rsidRPr="005C5EB8">
        <w:t xml:space="preserve"> </w:t>
      </w:r>
      <w:r w:rsidR="005C5EB8" w:rsidRPr="005C5EB8">
        <w:rPr>
          <w:lang w:val="en-IN"/>
        </w:rPr>
        <w:t>(Corporate Finance Institute, 2018)</w:t>
      </w:r>
      <w:r w:rsidRPr="00D939DB">
        <w:rPr>
          <w:lang w:val="en-IN"/>
        </w:rPr>
        <w:t>. It can be easily integrated with existing financial systems.</w:t>
      </w:r>
    </w:p>
    <w:p w14:paraId="563C04EC" w14:textId="77777777" w:rsidR="00D939DB" w:rsidRPr="00D939DB" w:rsidRDefault="00D939DB" w:rsidP="00D939DB">
      <w:pPr>
        <w:numPr>
          <w:ilvl w:val="0"/>
          <w:numId w:val="23"/>
        </w:numPr>
        <w:rPr>
          <w:lang w:val="en-IN"/>
        </w:rPr>
      </w:pPr>
      <w:r w:rsidRPr="00D939DB">
        <w:rPr>
          <w:b/>
          <w:bCs/>
          <w:lang w:val="en-IN"/>
        </w:rPr>
        <w:t>Comparability</w:t>
      </w:r>
      <w:r w:rsidRPr="00D939DB">
        <w:rPr>
          <w:lang w:val="en-IN"/>
        </w:rPr>
        <w:t>: ARR allows for easy comparison with other accounting performance targets or industry averages, making it useful for benchmarking.</w:t>
      </w:r>
    </w:p>
    <w:p w14:paraId="5795B7EF" w14:textId="77777777" w:rsidR="00D939DB" w:rsidRPr="00D939DB" w:rsidRDefault="00D939DB" w:rsidP="00D939DB">
      <w:pPr>
        <w:numPr>
          <w:ilvl w:val="0"/>
          <w:numId w:val="23"/>
        </w:numPr>
        <w:rPr>
          <w:lang w:val="en-IN"/>
        </w:rPr>
      </w:pPr>
      <w:r w:rsidRPr="00D939DB">
        <w:rPr>
          <w:b/>
          <w:bCs/>
          <w:lang w:val="en-IN"/>
        </w:rPr>
        <w:lastRenderedPageBreak/>
        <w:t>Ease of Calculation</w:t>
      </w:r>
      <w:r w:rsidRPr="00D939DB">
        <w:rPr>
          <w:lang w:val="en-IN"/>
        </w:rPr>
        <w:t>: Like the payback period, ARR is simple to calculate and requires data typically already compiled for financial reporting.</w:t>
      </w:r>
    </w:p>
    <w:p w14:paraId="25BE42BD" w14:textId="0AA6CEBB" w:rsidR="00D939DB" w:rsidRPr="00D939DB" w:rsidRDefault="00D939DB" w:rsidP="00D939DB">
      <w:pPr>
        <w:rPr>
          <w:lang w:val="en-IN"/>
        </w:rPr>
      </w:pPr>
      <w:r w:rsidRPr="00D939DB">
        <w:rPr>
          <w:lang w:val="en-IN"/>
        </w:rPr>
        <w:t>However, both methods have significant limitations: they ignore the time value of money, and the payback period overlooks cash flows after the payback is achieved</w:t>
      </w:r>
      <w:r w:rsidR="00321F0D" w:rsidRPr="00321F0D">
        <w:t xml:space="preserve"> </w:t>
      </w:r>
      <w:r w:rsidR="00321F0D" w:rsidRPr="00321F0D">
        <w:rPr>
          <w:lang w:val="en-IN"/>
        </w:rPr>
        <w:t>(Open Stax, 2025)</w:t>
      </w:r>
      <w:r w:rsidRPr="00D939DB">
        <w:rPr>
          <w:lang w:val="en-IN"/>
        </w:rPr>
        <w:t>. ARR uses accounting profits rather than actual cash flows, which can be manipulated by accounting policies.</w:t>
      </w:r>
    </w:p>
    <w:p w14:paraId="3E97F836" w14:textId="77777777" w:rsidR="00D939DB" w:rsidRPr="00D939DB" w:rsidRDefault="00D939DB" w:rsidP="00D939DB">
      <w:pPr>
        <w:rPr>
          <w:b/>
          <w:bCs/>
          <w:lang w:val="en-IN"/>
        </w:rPr>
      </w:pPr>
      <w:r w:rsidRPr="00D939DB">
        <w:rPr>
          <w:b/>
          <w:bCs/>
          <w:lang w:val="en-IN"/>
        </w:rPr>
        <w:t>Other Factors to Consider Before an Investment Decision</w:t>
      </w:r>
    </w:p>
    <w:p w14:paraId="74918818" w14:textId="1561E984" w:rsidR="00D939DB" w:rsidRPr="00D939DB" w:rsidRDefault="00D939DB" w:rsidP="00D939DB">
      <w:pPr>
        <w:rPr>
          <w:lang w:val="en-IN"/>
        </w:rPr>
      </w:pPr>
      <w:r w:rsidRPr="00D939DB">
        <w:rPr>
          <w:lang w:val="en-IN"/>
        </w:rPr>
        <w:t>While NPV and IRR are crucial for evaluating a project’s financial viability, several other factors should be considered before making an investment decision</w:t>
      </w:r>
      <w:r>
        <w:rPr>
          <w:lang w:val="en-IN"/>
        </w:rPr>
        <w:t xml:space="preserve">. </w:t>
      </w:r>
      <w:r w:rsidRPr="00D939DB">
        <w:rPr>
          <w:lang w:val="en-IN"/>
        </w:rPr>
        <w:t xml:space="preserve">Before making an investment decision, several other factors must be considered </w:t>
      </w:r>
      <w:r>
        <w:rPr>
          <w:lang w:val="en-IN"/>
        </w:rPr>
        <w:t>along with</w:t>
      </w:r>
      <w:r w:rsidRPr="00D939DB">
        <w:rPr>
          <w:lang w:val="en-IN"/>
        </w:rPr>
        <w:t xml:space="preserve"> the NPV:</w:t>
      </w:r>
    </w:p>
    <w:p w14:paraId="0E1EF862" w14:textId="7485E555" w:rsidR="00D939DB" w:rsidRPr="00D939DB" w:rsidRDefault="00D939DB" w:rsidP="00D939DB">
      <w:pPr>
        <w:numPr>
          <w:ilvl w:val="0"/>
          <w:numId w:val="25"/>
        </w:numPr>
        <w:rPr>
          <w:lang w:val="en-IN"/>
        </w:rPr>
      </w:pPr>
      <w:r w:rsidRPr="00D939DB">
        <w:rPr>
          <w:b/>
          <w:bCs/>
          <w:lang w:val="en-IN"/>
        </w:rPr>
        <w:t>Risk and Uncertainty</w:t>
      </w:r>
      <w:r w:rsidRPr="00D939DB">
        <w:rPr>
          <w:lang w:val="en-IN"/>
        </w:rPr>
        <w:t>: Every investment carries some level of risk. Sensitivity analysis, scenario analysis, and other risk management tools can be used to assess how changes in assumptions (e.g., changes in cash flow or discount rates) impact the NPV</w:t>
      </w:r>
      <w:r w:rsidR="005C5EB8" w:rsidRPr="005C5EB8">
        <w:t xml:space="preserve"> </w:t>
      </w:r>
      <w:r w:rsidR="005C5EB8" w:rsidRPr="005C5EB8">
        <w:rPr>
          <w:lang w:val="en-IN"/>
        </w:rPr>
        <w:t xml:space="preserve">(Meng and Ainur </w:t>
      </w:r>
      <w:proofErr w:type="spellStart"/>
      <w:r w:rsidR="005C5EB8" w:rsidRPr="005C5EB8">
        <w:rPr>
          <w:lang w:val="en-IN"/>
        </w:rPr>
        <w:t>Kaiyrbayeva</w:t>
      </w:r>
      <w:proofErr w:type="spellEnd"/>
      <w:r w:rsidR="005C5EB8" w:rsidRPr="005C5EB8">
        <w:rPr>
          <w:lang w:val="en-IN"/>
        </w:rPr>
        <w:t>, 2024)</w:t>
      </w:r>
      <w:r w:rsidRPr="00D939DB">
        <w:rPr>
          <w:lang w:val="en-IN"/>
        </w:rPr>
        <w:t>. This helps decision-makers understand the potential variability in returns.</w:t>
      </w:r>
    </w:p>
    <w:p w14:paraId="552B7E39" w14:textId="419BE83E" w:rsidR="00D939DB" w:rsidRPr="00D939DB" w:rsidRDefault="00D939DB" w:rsidP="00D939DB">
      <w:pPr>
        <w:numPr>
          <w:ilvl w:val="0"/>
          <w:numId w:val="25"/>
        </w:numPr>
        <w:rPr>
          <w:lang w:val="en-IN"/>
        </w:rPr>
      </w:pPr>
      <w:r w:rsidRPr="00D939DB">
        <w:rPr>
          <w:b/>
          <w:bCs/>
          <w:lang w:val="en-IN"/>
        </w:rPr>
        <w:t>Strategic Alignment</w:t>
      </w:r>
      <w:r w:rsidRPr="00D939DB">
        <w:rPr>
          <w:lang w:val="en-IN"/>
        </w:rPr>
        <w:t>: An investment should align with the company’s long-term goals and strategy. Even if a project has a positive NPV, it may not be the best choice if it does not support the company’s overall direction or if it diverts resources from more critical initiatives</w:t>
      </w:r>
      <w:r w:rsidR="00321F0D" w:rsidRPr="00321F0D">
        <w:t xml:space="preserve"> </w:t>
      </w:r>
      <w:r w:rsidR="00321F0D" w:rsidRPr="00321F0D">
        <w:rPr>
          <w:lang w:val="en-IN"/>
        </w:rPr>
        <w:t>(Vaidya, 2022)</w:t>
      </w:r>
      <w:r w:rsidRPr="00D939DB">
        <w:rPr>
          <w:lang w:val="en-IN"/>
        </w:rPr>
        <w:t>.</w:t>
      </w:r>
    </w:p>
    <w:p w14:paraId="00963A83" w14:textId="132A3459" w:rsidR="00D939DB" w:rsidRPr="00D939DB" w:rsidRDefault="00D939DB" w:rsidP="00D939DB">
      <w:pPr>
        <w:numPr>
          <w:ilvl w:val="0"/>
          <w:numId w:val="25"/>
        </w:numPr>
        <w:rPr>
          <w:lang w:val="en-IN"/>
        </w:rPr>
      </w:pPr>
      <w:r w:rsidRPr="00D939DB">
        <w:rPr>
          <w:b/>
          <w:bCs/>
          <w:lang w:val="en-IN"/>
        </w:rPr>
        <w:t>Market and Competitive Environment</w:t>
      </w:r>
      <w:r w:rsidRPr="00D939DB">
        <w:rPr>
          <w:lang w:val="en-IN"/>
        </w:rPr>
        <w:t>: The investment should be evaluated in the context of the external market conditions. Factors such as competition, market demand, regulatory changes, and technological advancements can significantly impact the success of a project</w:t>
      </w:r>
      <w:r w:rsidR="005C5EB8" w:rsidRPr="005C5EB8">
        <w:t xml:space="preserve"> </w:t>
      </w:r>
      <w:r w:rsidR="005C5EB8" w:rsidRPr="005C5EB8">
        <w:rPr>
          <w:lang w:val="en-IN"/>
        </w:rPr>
        <w:t xml:space="preserve">(Meng and Ainur </w:t>
      </w:r>
      <w:proofErr w:type="spellStart"/>
      <w:r w:rsidR="005C5EB8" w:rsidRPr="005C5EB8">
        <w:rPr>
          <w:lang w:val="en-IN"/>
        </w:rPr>
        <w:t>Kaiyrbayeva</w:t>
      </w:r>
      <w:proofErr w:type="spellEnd"/>
      <w:r w:rsidR="005C5EB8" w:rsidRPr="005C5EB8">
        <w:rPr>
          <w:lang w:val="en-IN"/>
        </w:rPr>
        <w:t>, 2024)</w:t>
      </w:r>
      <w:r w:rsidRPr="00D939DB">
        <w:rPr>
          <w:lang w:val="en-IN"/>
        </w:rPr>
        <w:t>.</w:t>
      </w:r>
    </w:p>
    <w:p w14:paraId="1E4F52FD" w14:textId="77777777" w:rsidR="00D939DB" w:rsidRPr="00D939DB" w:rsidRDefault="00D939DB" w:rsidP="00D939DB">
      <w:pPr>
        <w:numPr>
          <w:ilvl w:val="0"/>
          <w:numId w:val="25"/>
        </w:numPr>
        <w:rPr>
          <w:lang w:val="en-IN"/>
        </w:rPr>
      </w:pPr>
      <w:r w:rsidRPr="00D939DB">
        <w:rPr>
          <w:b/>
          <w:bCs/>
          <w:lang w:val="en-IN"/>
        </w:rPr>
        <w:t>Liquidity and Funding</w:t>
      </w:r>
      <w:r w:rsidRPr="00D939DB">
        <w:rPr>
          <w:lang w:val="en-IN"/>
        </w:rPr>
        <w:t>: The company must ensure that it has enough liquidity to fund the project. Financing options, whether through debt, equity, or internal funds, need to be considered, and the cost of capital should reflect the chosen financing method.</w:t>
      </w:r>
    </w:p>
    <w:p w14:paraId="642F6B82" w14:textId="702DAC90" w:rsidR="00D939DB" w:rsidRPr="00D939DB" w:rsidRDefault="00D939DB" w:rsidP="00D939DB">
      <w:pPr>
        <w:numPr>
          <w:ilvl w:val="0"/>
          <w:numId w:val="25"/>
        </w:numPr>
        <w:rPr>
          <w:lang w:val="en-IN"/>
        </w:rPr>
      </w:pPr>
      <w:r w:rsidRPr="00D939DB">
        <w:rPr>
          <w:b/>
          <w:bCs/>
          <w:lang w:val="en-IN"/>
        </w:rPr>
        <w:t>Environmental and Social Impact</w:t>
      </w:r>
      <w:r w:rsidRPr="00D939DB">
        <w:rPr>
          <w:lang w:val="en-IN"/>
        </w:rPr>
        <w:t xml:space="preserve">: Increasingly, businesses are considering the environmental, social, and governance (ESG) impacts of their investments. Projects that contribute to sustainability or have a positive social impact may enhance the </w:t>
      </w:r>
      <w:r w:rsidRPr="00D939DB">
        <w:rPr>
          <w:lang w:val="en-IN"/>
        </w:rPr>
        <w:lastRenderedPageBreak/>
        <w:t>company’s reputation and align with broader corporate responsibility goals</w:t>
      </w:r>
      <w:r w:rsidR="005C5EB8" w:rsidRPr="005C5EB8">
        <w:t xml:space="preserve"> </w:t>
      </w:r>
      <w:r w:rsidR="005C5EB8" w:rsidRPr="005C5EB8">
        <w:rPr>
          <w:lang w:val="en-IN"/>
        </w:rPr>
        <w:t xml:space="preserve">(Meng and Ainur </w:t>
      </w:r>
      <w:proofErr w:type="spellStart"/>
      <w:r w:rsidR="005C5EB8" w:rsidRPr="005C5EB8">
        <w:rPr>
          <w:lang w:val="en-IN"/>
        </w:rPr>
        <w:t>Kaiyrbayeva</w:t>
      </w:r>
      <w:proofErr w:type="spellEnd"/>
      <w:r w:rsidR="005C5EB8" w:rsidRPr="005C5EB8">
        <w:rPr>
          <w:lang w:val="en-IN"/>
        </w:rPr>
        <w:t>, 2024)</w:t>
      </w:r>
      <w:r w:rsidRPr="00D939DB">
        <w:rPr>
          <w:lang w:val="en-IN"/>
        </w:rPr>
        <w:t>.</w:t>
      </w:r>
    </w:p>
    <w:p w14:paraId="210A41D9" w14:textId="7D8351AE" w:rsidR="00D939DB" w:rsidRDefault="00D939DB" w:rsidP="00D939DB">
      <w:pPr>
        <w:pStyle w:val="ListParagraph"/>
        <w:numPr>
          <w:ilvl w:val="1"/>
          <w:numId w:val="3"/>
        </w:numPr>
        <w:rPr>
          <w:rStyle w:val="selected"/>
          <w:b/>
          <w:bCs/>
        </w:rPr>
      </w:pPr>
      <w:r w:rsidRPr="00D939DB">
        <w:rPr>
          <w:rStyle w:val="selected"/>
          <w:b/>
          <w:bCs/>
        </w:rPr>
        <w:t>Optimal Investment Policy with Limited Funds</w:t>
      </w:r>
    </w:p>
    <w:p w14:paraId="70F90889" w14:textId="560D123D" w:rsidR="00D939DB" w:rsidRDefault="00D939DB" w:rsidP="00D939DB">
      <w:proofErr w:type="spellStart"/>
      <w:r w:rsidRPr="00D939DB">
        <w:t>Jordons</w:t>
      </w:r>
      <w:proofErr w:type="spellEnd"/>
      <w:r w:rsidRPr="00D939DB">
        <w:t xml:space="preserve"> Plc faces a capital constraint of £2,000,000, and projects are divisible. In such a scenario, the Profitability Index (PI) is the most appropriate tool to rank projects and determine the optimal investment policy, as it maximizes the NPV per unit of capital invested.</w:t>
      </w:r>
    </w:p>
    <w:p w14:paraId="28CC3279" w14:textId="2B72056D" w:rsidR="00D939DB" w:rsidRDefault="00D939DB" w:rsidP="00D939DB">
      <w:r w:rsidRPr="00D939DB">
        <w:t>The Profitability Index (PI) is calculated as:</w:t>
      </w:r>
    </w:p>
    <w:p w14:paraId="532BE770" w14:textId="1F1F4060" w:rsidR="00D939DB" w:rsidRPr="00D939DB" w:rsidRDefault="00D939DB" w:rsidP="00D939DB">
      <w:r>
        <w:t xml:space="preserve">PI = </w:t>
      </w:r>
      <m:oMath>
        <m:f>
          <m:fPr>
            <m:ctrlPr>
              <w:rPr>
                <w:rFonts w:ascii="Cambria Math" w:hAnsi="Cambria Math"/>
                <w:i/>
              </w:rPr>
            </m:ctrlPr>
          </m:fPr>
          <m:num>
            <m:r>
              <w:rPr>
                <w:rFonts w:ascii="Cambria Math" w:hAnsi="Cambria Math"/>
              </w:rPr>
              <m:t>PV of Future Cashflows</m:t>
            </m:r>
          </m:num>
          <m:den>
            <m:r>
              <w:rPr>
                <w:rFonts w:ascii="Cambria Math" w:hAnsi="Cambria Math"/>
              </w:rPr>
              <m:t>Initial Investment</m:t>
            </m:r>
          </m:den>
        </m:f>
      </m:oMath>
      <w:r>
        <w:rPr>
          <w:rFonts w:eastAsiaTheme="minorEastAsia"/>
        </w:rPr>
        <w:t xml:space="preserve"> = </w:t>
      </w:r>
      <m:oMath>
        <m:f>
          <m:fPr>
            <m:ctrlPr>
              <w:rPr>
                <w:rFonts w:ascii="Cambria Math" w:hAnsi="Cambria Math"/>
                <w:i/>
              </w:rPr>
            </m:ctrlPr>
          </m:fPr>
          <m:num>
            <m:r>
              <w:rPr>
                <w:rFonts w:ascii="Cambria Math" w:hAnsi="Cambria Math"/>
              </w:rPr>
              <m:t>NPV+Initial Investment</m:t>
            </m:r>
          </m:num>
          <m:den>
            <m:r>
              <w:rPr>
                <w:rFonts w:ascii="Cambria Math" w:hAnsi="Cambria Math"/>
              </w:rPr>
              <m:t>Initial Investment</m:t>
            </m:r>
          </m:den>
        </m:f>
      </m:oMath>
    </w:p>
    <w:p w14:paraId="6BB337FE" w14:textId="4F382A3A" w:rsidR="00D939DB" w:rsidRDefault="00D939DB" w:rsidP="00D939DB">
      <w:pPr>
        <w:jc w:val="center"/>
        <w:rPr>
          <w:rStyle w:val="selected"/>
          <w:b/>
          <w:bCs/>
        </w:rPr>
      </w:pPr>
      <w:r w:rsidRPr="00D939DB">
        <w:rPr>
          <w:rStyle w:val="selected"/>
          <w:b/>
          <w:bCs/>
        </w:rPr>
        <w:t>Calculation of Profitability Index for Each Option</w:t>
      </w:r>
    </w:p>
    <w:p w14:paraId="6FBD8608" w14:textId="77777777" w:rsidR="00D939DB" w:rsidRPr="00D939DB" w:rsidRDefault="00D939DB" w:rsidP="00D939DB">
      <w:pPr>
        <w:spacing w:before="100" w:beforeAutospacing="1" w:after="100" w:afterAutospacing="1" w:line="240" w:lineRule="auto"/>
        <w:jc w:val="left"/>
        <w:rPr>
          <w:rFonts w:eastAsia="Times New Roman" w:cs="Times New Roman"/>
          <w:szCs w:val="24"/>
          <w:lang w:val="en-IN" w:eastAsia="en-IN" w:bidi="bn-BD"/>
        </w:rPr>
      </w:pPr>
      <w:r w:rsidRPr="00D939DB">
        <w:rPr>
          <w:rFonts w:eastAsia="Times New Roman" w:cs="Times New Roman"/>
          <w:b/>
          <w:bCs/>
          <w:szCs w:val="24"/>
          <w:lang w:val="en-IN" w:eastAsia="en-IN" w:bidi="bn-BD"/>
        </w:rPr>
        <w:t>Option A (Expand Retail Outlet):</w:t>
      </w:r>
    </w:p>
    <w:p w14:paraId="54CBD797" w14:textId="77777777" w:rsidR="00D939DB" w:rsidRPr="00D939DB" w:rsidRDefault="00D939DB" w:rsidP="00D939DB">
      <w:pPr>
        <w:numPr>
          <w:ilvl w:val="0"/>
          <w:numId w:val="26"/>
        </w:numPr>
        <w:spacing w:before="100" w:beforeAutospacing="1" w:after="100" w:afterAutospacing="1" w:line="240" w:lineRule="auto"/>
        <w:jc w:val="left"/>
        <w:rPr>
          <w:rFonts w:eastAsia="Times New Roman" w:cs="Times New Roman"/>
          <w:szCs w:val="24"/>
          <w:lang w:val="en-IN" w:eastAsia="en-IN" w:bidi="bn-BD"/>
        </w:rPr>
      </w:pPr>
      <w:r w:rsidRPr="00D939DB">
        <w:rPr>
          <w:rFonts w:eastAsia="Times New Roman" w:cs="Times New Roman"/>
          <w:szCs w:val="24"/>
          <w:lang w:val="en-IN" w:eastAsia="en-IN" w:bidi="bn-BD"/>
        </w:rPr>
        <w:t>Initial Investment: £600,000</w:t>
      </w:r>
    </w:p>
    <w:p w14:paraId="2B1AB145" w14:textId="77777777" w:rsidR="00D939DB" w:rsidRPr="00D939DB" w:rsidRDefault="00D939DB" w:rsidP="00D939DB">
      <w:pPr>
        <w:numPr>
          <w:ilvl w:val="0"/>
          <w:numId w:val="26"/>
        </w:numPr>
        <w:spacing w:before="100" w:beforeAutospacing="1" w:after="100" w:afterAutospacing="1" w:line="240" w:lineRule="auto"/>
        <w:jc w:val="left"/>
        <w:rPr>
          <w:rFonts w:eastAsia="Times New Roman" w:cs="Times New Roman"/>
          <w:szCs w:val="24"/>
          <w:lang w:val="en-IN" w:eastAsia="en-IN" w:bidi="bn-BD"/>
        </w:rPr>
      </w:pPr>
      <w:r w:rsidRPr="00D939DB">
        <w:rPr>
          <w:rFonts w:eastAsia="Times New Roman" w:cs="Times New Roman"/>
          <w:szCs w:val="24"/>
          <w:lang w:val="en-IN" w:eastAsia="en-IN" w:bidi="bn-BD"/>
        </w:rPr>
        <w:t>NPV: £394,620</w:t>
      </w:r>
    </w:p>
    <w:p w14:paraId="1A3B0CFC" w14:textId="771BFEFD" w:rsidR="00D939DB" w:rsidRDefault="00D939DB" w:rsidP="00D939DB">
      <w:pPr>
        <w:spacing w:beforeAutospacing="1" w:after="0" w:afterAutospacing="1" w:line="240" w:lineRule="auto"/>
        <w:jc w:val="left"/>
        <w:rPr>
          <w:rFonts w:eastAsiaTheme="minorEastAsia"/>
        </w:rPr>
      </w:pPr>
      <w:r>
        <w:t xml:space="preserve">PI = </w:t>
      </w:r>
      <m:oMath>
        <m:f>
          <m:fPr>
            <m:ctrlPr>
              <w:rPr>
                <w:rFonts w:ascii="Cambria Math" w:hAnsi="Cambria Math"/>
                <w:i/>
              </w:rPr>
            </m:ctrlPr>
          </m:fPr>
          <m:num>
            <m:r>
              <w:rPr>
                <w:rFonts w:ascii="Cambria Math" w:eastAsia="Times New Roman" w:hAnsi="Cambria Math" w:cs="Times New Roman"/>
                <w:szCs w:val="24"/>
                <w:lang w:val="en-IN" w:eastAsia="en-IN" w:bidi="bn-BD"/>
              </w:rPr>
              <m:t>£994,620</m:t>
            </m:r>
          </m:num>
          <m:den>
            <m:r>
              <w:rPr>
                <w:rFonts w:ascii="Cambria Math" w:eastAsia="Times New Roman" w:hAnsi="Cambria Math" w:cs="Times New Roman"/>
                <w:szCs w:val="24"/>
                <w:lang w:val="en-IN" w:eastAsia="en-IN" w:bidi="bn-BD"/>
              </w:rPr>
              <m:t>£600,000</m:t>
            </m:r>
          </m:den>
        </m:f>
      </m:oMath>
      <w:r>
        <w:rPr>
          <w:rFonts w:eastAsiaTheme="minorEastAsia"/>
        </w:rPr>
        <w:t xml:space="preserve"> =1.6577</w:t>
      </w:r>
    </w:p>
    <w:p w14:paraId="008CBFE8" w14:textId="77777777" w:rsidR="00D939DB" w:rsidRDefault="00D939DB" w:rsidP="00D939DB">
      <w:pPr>
        <w:pStyle w:val="NormalWeb"/>
      </w:pPr>
      <w:r>
        <w:rPr>
          <w:rStyle w:val="selected"/>
          <w:rFonts w:eastAsiaTheme="majorEastAsia"/>
          <w:b/>
          <w:bCs/>
        </w:rPr>
        <w:t>Option B (Develop Internet Sales):</w:t>
      </w:r>
    </w:p>
    <w:p w14:paraId="32AAD60A" w14:textId="77777777" w:rsidR="00D939DB" w:rsidRDefault="00D939DB" w:rsidP="00D939DB">
      <w:pPr>
        <w:pStyle w:val="NormalWeb"/>
        <w:numPr>
          <w:ilvl w:val="0"/>
          <w:numId w:val="27"/>
        </w:numPr>
      </w:pPr>
      <w:r>
        <w:rPr>
          <w:rStyle w:val="selected"/>
          <w:rFonts w:eastAsiaTheme="majorEastAsia"/>
        </w:rPr>
        <w:t>Initial Investment: £1,000,000</w:t>
      </w:r>
    </w:p>
    <w:p w14:paraId="5EE1FE4C" w14:textId="5D0E727C" w:rsidR="00D939DB" w:rsidRDefault="00D939DB" w:rsidP="00D939DB">
      <w:pPr>
        <w:pStyle w:val="NormalWeb"/>
        <w:numPr>
          <w:ilvl w:val="0"/>
          <w:numId w:val="27"/>
        </w:numPr>
      </w:pPr>
      <w:r>
        <w:rPr>
          <w:rStyle w:val="selected"/>
          <w:rFonts w:eastAsiaTheme="majorEastAsia"/>
        </w:rPr>
        <w:t>NPV: £</w:t>
      </w:r>
      <w:r w:rsidR="00FC49A9" w:rsidRPr="00FC49A9">
        <w:rPr>
          <w:rStyle w:val="selected"/>
          <w:rFonts w:eastAsiaTheme="majorEastAsia"/>
        </w:rPr>
        <w:t>748.15</w:t>
      </w:r>
      <w:r w:rsidR="00FC49A9">
        <w:rPr>
          <w:rStyle w:val="selected"/>
          <w:rFonts w:eastAsiaTheme="majorEastAsia"/>
        </w:rPr>
        <w:t>0</w:t>
      </w:r>
    </w:p>
    <w:p w14:paraId="77F4325C" w14:textId="66703B65" w:rsidR="00D939DB" w:rsidRDefault="00D939DB" w:rsidP="00D939DB">
      <w:pPr>
        <w:spacing w:beforeAutospacing="1" w:after="0" w:afterAutospacing="1" w:line="240" w:lineRule="auto"/>
        <w:jc w:val="left"/>
        <w:rPr>
          <w:rFonts w:eastAsiaTheme="minorEastAsia"/>
        </w:rPr>
      </w:pPr>
      <w:r>
        <w:t xml:space="preserve">PI = </w:t>
      </w:r>
      <m:oMath>
        <m:f>
          <m:fPr>
            <m:ctrlPr>
              <w:rPr>
                <w:rFonts w:ascii="Cambria Math" w:hAnsi="Cambria Math"/>
                <w:i/>
              </w:rPr>
            </m:ctrlPr>
          </m:fPr>
          <m:num>
            <m:r>
              <w:rPr>
                <w:rFonts w:ascii="Cambria Math" w:eastAsia="Times New Roman" w:hAnsi="Cambria Math" w:cs="Times New Roman"/>
                <w:szCs w:val="24"/>
                <w:lang w:val="en-IN" w:eastAsia="en-IN" w:bidi="bn-BD"/>
              </w:rPr>
              <m:t>£1,748,151.19</m:t>
            </m:r>
          </m:num>
          <m:den>
            <m:r>
              <w:rPr>
                <w:rFonts w:ascii="Cambria Math" w:eastAsia="Times New Roman" w:hAnsi="Cambria Math" w:cs="Times New Roman"/>
                <w:szCs w:val="24"/>
                <w:lang w:val="en-IN" w:eastAsia="en-IN" w:bidi="bn-BD"/>
              </w:rPr>
              <m:t>£1,000,000</m:t>
            </m:r>
          </m:den>
        </m:f>
      </m:oMath>
      <w:r w:rsidRPr="00D939DB">
        <w:rPr>
          <w:rFonts w:eastAsiaTheme="minorEastAsia"/>
        </w:rPr>
        <w:t xml:space="preserve"> =1.</w:t>
      </w:r>
      <w:r w:rsidR="00FC49A9">
        <w:rPr>
          <w:rFonts w:eastAsiaTheme="minorEastAsia"/>
        </w:rPr>
        <w:t>75</w:t>
      </w:r>
    </w:p>
    <w:p w14:paraId="1B85BBC1" w14:textId="77777777" w:rsidR="00FC49A9" w:rsidRDefault="00FC49A9" w:rsidP="00FC49A9">
      <w:pPr>
        <w:pStyle w:val="NormalWeb"/>
      </w:pPr>
      <w:r>
        <w:rPr>
          <w:rStyle w:val="selected"/>
          <w:rFonts w:eastAsiaTheme="majorEastAsia"/>
          <w:b/>
          <w:bCs/>
        </w:rPr>
        <w:t>Option C (Produce Curtains and Roman Blinds):</w:t>
      </w:r>
    </w:p>
    <w:p w14:paraId="74808AFD" w14:textId="77777777" w:rsidR="00FC49A9" w:rsidRDefault="00FC49A9" w:rsidP="00FC49A9">
      <w:pPr>
        <w:pStyle w:val="NormalWeb"/>
        <w:numPr>
          <w:ilvl w:val="0"/>
          <w:numId w:val="28"/>
        </w:numPr>
      </w:pPr>
      <w:r>
        <w:rPr>
          <w:rStyle w:val="selected"/>
          <w:rFonts w:eastAsiaTheme="majorEastAsia"/>
        </w:rPr>
        <w:t>Initial Investment: £1,600,000</w:t>
      </w:r>
    </w:p>
    <w:p w14:paraId="2E9CE682" w14:textId="7D1A0E28" w:rsidR="00FC49A9" w:rsidRPr="00FC49A9" w:rsidRDefault="00FC49A9" w:rsidP="00FC49A9">
      <w:pPr>
        <w:pStyle w:val="NormalWeb"/>
        <w:numPr>
          <w:ilvl w:val="0"/>
          <w:numId w:val="28"/>
        </w:numPr>
        <w:rPr>
          <w:rFonts w:eastAsiaTheme="majorEastAsia"/>
          <w:b/>
          <w:bCs/>
        </w:rPr>
      </w:pPr>
      <w:r>
        <w:rPr>
          <w:rStyle w:val="selected"/>
          <w:rFonts w:eastAsiaTheme="majorEastAsia"/>
        </w:rPr>
        <w:t>NPV: £</w:t>
      </w:r>
      <w:r w:rsidRPr="00FC49A9">
        <w:rPr>
          <w:rFonts w:eastAsiaTheme="majorEastAsia"/>
          <w:b/>
          <w:bCs/>
          <w:lang w:val="en-GB"/>
        </w:rPr>
        <w:t>616.2</w:t>
      </w:r>
      <w:r>
        <w:rPr>
          <w:rFonts w:eastAsiaTheme="majorEastAsia"/>
          <w:b/>
          <w:bCs/>
          <w:lang w:val="en-GB"/>
        </w:rPr>
        <w:t>1</w:t>
      </w:r>
    </w:p>
    <w:p w14:paraId="53C1DDF1" w14:textId="6F36C5A4" w:rsidR="00FC49A9" w:rsidRPr="00FC49A9" w:rsidRDefault="00FC49A9" w:rsidP="00FC49A9">
      <w:pPr>
        <w:spacing w:beforeAutospacing="1" w:after="0" w:afterAutospacing="1" w:line="240" w:lineRule="auto"/>
        <w:jc w:val="left"/>
        <w:rPr>
          <w:rFonts w:eastAsiaTheme="minorEastAsia"/>
        </w:rPr>
      </w:pPr>
      <w:r>
        <w:t xml:space="preserve">PI = </w:t>
      </w:r>
      <m:oMath>
        <m:f>
          <m:fPr>
            <m:ctrlPr>
              <w:rPr>
                <w:rFonts w:ascii="Cambria Math" w:hAnsi="Cambria Math"/>
                <w:i/>
              </w:rPr>
            </m:ctrlPr>
          </m:fPr>
          <m:num>
            <m:r>
              <w:rPr>
                <w:rFonts w:ascii="Cambria Math" w:eastAsia="Times New Roman" w:hAnsi="Cambria Math" w:cs="Times New Roman"/>
                <w:szCs w:val="24"/>
                <w:lang w:val="en-IN" w:eastAsia="en-IN" w:bidi="bn-BD"/>
              </w:rPr>
              <m:t>£2,216,210.01</m:t>
            </m:r>
          </m:num>
          <m:den>
            <m:r>
              <w:rPr>
                <w:rFonts w:ascii="Cambria Math" w:eastAsia="Times New Roman" w:hAnsi="Cambria Math" w:cs="Times New Roman"/>
                <w:szCs w:val="24"/>
                <w:lang w:val="en-IN" w:eastAsia="en-IN" w:bidi="bn-BD"/>
              </w:rPr>
              <m:t>£1,600,000</m:t>
            </m:r>
          </m:den>
        </m:f>
      </m:oMath>
      <w:r w:rsidRPr="00FC49A9">
        <w:rPr>
          <w:rFonts w:eastAsiaTheme="minorEastAsia"/>
        </w:rPr>
        <w:t xml:space="preserve"> =1.</w:t>
      </w:r>
      <w:r>
        <w:rPr>
          <w:rFonts w:eastAsiaTheme="minorEastAsia"/>
        </w:rPr>
        <w:t>36</w:t>
      </w:r>
    </w:p>
    <w:p w14:paraId="02610EBD" w14:textId="2A7C820B" w:rsidR="00FC49A9" w:rsidRDefault="00FC49A9" w:rsidP="00FC49A9">
      <w:pPr>
        <w:pStyle w:val="NormalWeb"/>
      </w:pPr>
    </w:p>
    <w:tbl>
      <w:tblPr>
        <w:tblStyle w:val="TableGrid"/>
        <w:tblW w:w="0" w:type="auto"/>
        <w:tblLook w:val="04A0" w:firstRow="1" w:lastRow="0" w:firstColumn="1" w:lastColumn="0" w:noHBand="0" w:noVBand="1"/>
      </w:tblPr>
      <w:tblGrid>
        <w:gridCol w:w="4508"/>
        <w:gridCol w:w="4508"/>
      </w:tblGrid>
      <w:tr w:rsidR="00FC49A9" w14:paraId="18DB9F8D" w14:textId="77777777" w:rsidTr="00B27B95">
        <w:tc>
          <w:tcPr>
            <w:tcW w:w="4508" w:type="dxa"/>
          </w:tcPr>
          <w:p w14:paraId="484CFC33" w14:textId="77777777" w:rsidR="00FC49A9" w:rsidRDefault="00FC49A9" w:rsidP="00B27B95">
            <w:pPr>
              <w:rPr>
                <w:b/>
                <w:bCs/>
              </w:rPr>
            </w:pPr>
            <w:r w:rsidRPr="00AA71E7">
              <w:rPr>
                <w:b/>
                <w:bCs/>
              </w:rPr>
              <w:t>Option A (Expand Retail Outlet)</w:t>
            </w:r>
          </w:p>
        </w:tc>
        <w:tc>
          <w:tcPr>
            <w:tcW w:w="4508" w:type="dxa"/>
          </w:tcPr>
          <w:p w14:paraId="4C73FDC7" w14:textId="17F74199" w:rsidR="00FC49A9" w:rsidRDefault="00FC49A9" w:rsidP="00B27B95">
            <w:pPr>
              <w:rPr>
                <w:b/>
                <w:bCs/>
              </w:rPr>
            </w:pPr>
            <w:r>
              <w:rPr>
                <w:rStyle w:val="selected"/>
              </w:rPr>
              <w:t>1.66</w:t>
            </w:r>
          </w:p>
        </w:tc>
      </w:tr>
      <w:tr w:rsidR="00FC49A9" w14:paraId="2C6F4173" w14:textId="77777777" w:rsidTr="00B27B95">
        <w:tc>
          <w:tcPr>
            <w:tcW w:w="4508" w:type="dxa"/>
          </w:tcPr>
          <w:p w14:paraId="3C84990C" w14:textId="77777777" w:rsidR="00FC49A9" w:rsidRDefault="00FC49A9" w:rsidP="00B27B95">
            <w:pPr>
              <w:rPr>
                <w:b/>
                <w:bCs/>
              </w:rPr>
            </w:pPr>
            <w:r w:rsidRPr="00CD3CA8">
              <w:rPr>
                <w:b/>
                <w:bCs/>
              </w:rPr>
              <w:t>Option B (Develop Internet Sales)</w:t>
            </w:r>
          </w:p>
        </w:tc>
        <w:tc>
          <w:tcPr>
            <w:tcW w:w="4508" w:type="dxa"/>
          </w:tcPr>
          <w:p w14:paraId="45F03D5F" w14:textId="407327D2" w:rsidR="00FC49A9" w:rsidRPr="00CD3CA8" w:rsidRDefault="00FC49A9" w:rsidP="00B27B95">
            <w:r>
              <w:t>1.75</w:t>
            </w:r>
          </w:p>
        </w:tc>
      </w:tr>
      <w:tr w:rsidR="00FC49A9" w14:paraId="695E8E09" w14:textId="77777777" w:rsidTr="00B27B95">
        <w:tc>
          <w:tcPr>
            <w:tcW w:w="4508" w:type="dxa"/>
          </w:tcPr>
          <w:p w14:paraId="432EADBF" w14:textId="77777777" w:rsidR="00FC49A9" w:rsidRDefault="00FC49A9" w:rsidP="00B27B95">
            <w:pPr>
              <w:rPr>
                <w:b/>
                <w:bCs/>
              </w:rPr>
            </w:pPr>
            <w:r w:rsidRPr="00CD3CA8">
              <w:rPr>
                <w:b/>
                <w:bCs/>
              </w:rPr>
              <w:t>Option C (Produce Curtains and Roman Blinds)</w:t>
            </w:r>
          </w:p>
        </w:tc>
        <w:tc>
          <w:tcPr>
            <w:tcW w:w="4508" w:type="dxa"/>
          </w:tcPr>
          <w:p w14:paraId="70CC5179" w14:textId="71C7908A" w:rsidR="00FC49A9" w:rsidRPr="00CD3CA8" w:rsidRDefault="00FC49A9" w:rsidP="00B27B95">
            <w:r>
              <w:t>1.36</w:t>
            </w:r>
          </w:p>
        </w:tc>
      </w:tr>
    </w:tbl>
    <w:p w14:paraId="3D985E41" w14:textId="77777777" w:rsidR="00FC49A9" w:rsidRPr="00FC49A9" w:rsidRDefault="00FC49A9" w:rsidP="00321F0D">
      <w:pPr>
        <w:rPr>
          <w:lang w:val="en-IN"/>
        </w:rPr>
      </w:pPr>
      <w:r w:rsidRPr="00FC49A9">
        <w:rPr>
          <w:lang w:val="en-IN"/>
        </w:rPr>
        <w:lastRenderedPageBreak/>
        <w:t xml:space="preserve">With a limited capital budget of £2,000,000 and the assumption that projects are divisible, </w:t>
      </w:r>
      <w:proofErr w:type="spellStart"/>
      <w:r w:rsidRPr="00FC49A9">
        <w:rPr>
          <w:lang w:val="en-IN"/>
        </w:rPr>
        <w:t>Jordons</w:t>
      </w:r>
      <w:proofErr w:type="spellEnd"/>
      <w:r w:rsidRPr="00FC49A9">
        <w:rPr>
          <w:lang w:val="en-IN"/>
        </w:rPr>
        <w:t xml:space="preserve"> Plc should invest in projects in descending order of their Profitability Index until the capital budget is exhausted.</w:t>
      </w:r>
    </w:p>
    <w:p w14:paraId="1964B86F" w14:textId="77777777" w:rsidR="00FC49A9" w:rsidRPr="00FC49A9" w:rsidRDefault="00FC49A9" w:rsidP="00FC49A9">
      <w:pPr>
        <w:numPr>
          <w:ilvl w:val="0"/>
          <w:numId w:val="29"/>
        </w:numPr>
        <w:spacing w:beforeAutospacing="1" w:after="0" w:afterAutospacing="1"/>
        <w:rPr>
          <w:rFonts w:eastAsiaTheme="minorEastAsia"/>
          <w:lang w:val="en-IN"/>
        </w:rPr>
      </w:pPr>
      <w:r w:rsidRPr="00FC49A9">
        <w:rPr>
          <w:rFonts w:eastAsiaTheme="minorEastAsia"/>
          <w:b/>
          <w:bCs/>
          <w:lang w:val="en-IN"/>
        </w:rPr>
        <w:t>Invest in Option B:</w:t>
      </w:r>
    </w:p>
    <w:p w14:paraId="4804457A" w14:textId="77777777" w:rsidR="00FC49A9" w:rsidRPr="00FC49A9" w:rsidRDefault="00FC49A9" w:rsidP="00FC49A9">
      <w:pPr>
        <w:numPr>
          <w:ilvl w:val="1"/>
          <w:numId w:val="29"/>
        </w:numPr>
        <w:spacing w:beforeAutospacing="1" w:after="0" w:afterAutospacing="1"/>
        <w:rPr>
          <w:rFonts w:eastAsiaTheme="minorEastAsia"/>
          <w:lang w:val="en-IN"/>
        </w:rPr>
      </w:pPr>
      <w:r w:rsidRPr="00FC49A9">
        <w:rPr>
          <w:rFonts w:eastAsiaTheme="minorEastAsia"/>
          <w:lang w:val="en-IN"/>
        </w:rPr>
        <w:t>Investment: £1,000,000</w:t>
      </w:r>
    </w:p>
    <w:p w14:paraId="3AE55588" w14:textId="77777777" w:rsidR="00FC49A9" w:rsidRDefault="00FC49A9" w:rsidP="00FC49A9">
      <w:pPr>
        <w:numPr>
          <w:ilvl w:val="1"/>
          <w:numId w:val="29"/>
        </w:numPr>
        <w:spacing w:beforeAutospacing="1" w:after="0" w:afterAutospacing="1"/>
        <w:rPr>
          <w:rFonts w:eastAsiaTheme="minorEastAsia"/>
          <w:lang w:val="en-IN"/>
        </w:rPr>
      </w:pPr>
      <w:r w:rsidRPr="00FC49A9">
        <w:rPr>
          <w:rFonts w:eastAsiaTheme="minorEastAsia"/>
          <w:lang w:val="en-IN"/>
        </w:rPr>
        <w:t xml:space="preserve">Remaining Capital: </w:t>
      </w:r>
    </w:p>
    <w:p w14:paraId="66EA3A47" w14:textId="0B0F0B3D" w:rsidR="00FC49A9" w:rsidRPr="00FC49A9" w:rsidRDefault="00FC49A9" w:rsidP="00FC49A9">
      <w:pPr>
        <w:numPr>
          <w:ilvl w:val="1"/>
          <w:numId w:val="29"/>
        </w:numPr>
        <w:spacing w:beforeAutospacing="1" w:after="0" w:afterAutospacing="1"/>
        <w:rPr>
          <w:rFonts w:eastAsiaTheme="minorEastAsia"/>
          <w:lang w:val="en-IN"/>
        </w:rPr>
      </w:pPr>
      <w:r w:rsidRPr="00FC49A9">
        <w:rPr>
          <w:rFonts w:eastAsiaTheme="minorEastAsia"/>
          <w:lang w:val="en-IN"/>
        </w:rPr>
        <w:t>£2,000,000−£1,000,000=£1,000,000</w:t>
      </w:r>
    </w:p>
    <w:p w14:paraId="42CA9148" w14:textId="77777777" w:rsidR="00FC49A9" w:rsidRPr="00FC49A9" w:rsidRDefault="00FC49A9" w:rsidP="00FC49A9">
      <w:pPr>
        <w:numPr>
          <w:ilvl w:val="1"/>
          <w:numId w:val="29"/>
        </w:numPr>
        <w:spacing w:beforeAutospacing="1" w:after="0" w:afterAutospacing="1"/>
        <w:rPr>
          <w:rFonts w:eastAsiaTheme="minorEastAsia"/>
          <w:lang w:val="en-IN"/>
        </w:rPr>
      </w:pPr>
      <w:r w:rsidRPr="00FC49A9">
        <w:rPr>
          <w:rFonts w:eastAsiaTheme="minorEastAsia"/>
          <w:lang w:val="en-IN"/>
        </w:rPr>
        <w:t>NPV from Option B: £747,250</w:t>
      </w:r>
    </w:p>
    <w:p w14:paraId="703448AD" w14:textId="77777777" w:rsidR="00FC49A9" w:rsidRPr="00FC49A9" w:rsidRDefault="00FC49A9" w:rsidP="00FC49A9">
      <w:pPr>
        <w:numPr>
          <w:ilvl w:val="0"/>
          <w:numId w:val="29"/>
        </w:numPr>
        <w:spacing w:beforeAutospacing="1" w:after="0" w:afterAutospacing="1"/>
        <w:rPr>
          <w:rFonts w:eastAsiaTheme="minorEastAsia"/>
          <w:lang w:val="en-IN"/>
        </w:rPr>
      </w:pPr>
      <w:r w:rsidRPr="00FC49A9">
        <w:rPr>
          <w:rFonts w:eastAsiaTheme="minorEastAsia"/>
          <w:b/>
          <w:bCs/>
          <w:lang w:val="en-IN"/>
        </w:rPr>
        <w:t>Invest in Option A:</w:t>
      </w:r>
    </w:p>
    <w:p w14:paraId="20D506AA" w14:textId="77777777" w:rsidR="00FC49A9" w:rsidRPr="00FC49A9" w:rsidRDefault="00FC49A9" w:rsidP="00FC49A9">
      <w:pPr>
        <w:numPr>
          <w:ilvl w:val="1"/>
          <w:numId w:val="29"/>
        </w:numPr>
        <w:spacing w:beforeAutospacing="1" w:after="0" w:afterAutospacing="1"/>
        <w:rPr>
          <w:rFonts w:eastAsiaTheme="minorEastAsia"/>
          <w:lang w:val="en-IN"/>
        </w:rPr>
      </w:pPr>
      <w:r w:rsidRPr="00FC49A9">
        <w:rPr>
          <w:rFonts w:eastAsiaTheme="minorEastAsia"/>
          <w:lang w:val="en-IN"/>
        </w:rPr>
        <w:t>Investment: £600,000</w:t>
      </w:r>
    </w:p>
    <w:p w14:paraId="5AF9EE26" w14:textId="77777777" w:rsidR="00FC49A9" w:rsidRDefault="00FC49A9" w:rsidP="00FC49A9">
      <w:pPr>
        <w:numPr>
          <w:ilvl w:val="1"/>
          <w:numId w:val="29"/>
        </w:numPr>
        <w:spacing w:beforeAutospacing="1" w:after="0" w:afterAutospacing="1"/>
        <w:rPr>
          <w:rFonts w:eastAsiaTheme="minorEastAsia"/>
          <w:lang w:val="en-IN"/>
        </w:rPr>
      </w:pPr>
      <w:r w:rsidRPr="00FC49A9">
        <w:rPr>
          <w:rFonts w:eastAsiaTheme="minorEastAsia"/>
          <w:lang w:val="en-IN"/>
        </w:rPr>
        <w:t>Remaining Capital:</w:t>
      </w:r>
      <w:r>
        <w:rPr>
          <w:rFonts w:eastAsiaTheme="minorEastAsia"/>
          <w:lang w:val="en-IN"/>
        </w:rPr>
        <w:t xml:space="preserve"> </w:t>
      </w:r>
    </w:p>
    <w:p w14:paraId="276D7E4D" w14:textId="09BB225B" w:rsidR="00FC49A9" w:rsidRPr="00FC49A9" w:rsidRDefault="00FC49A9" w:rsidP="00FC49A9">
      <w:pPr>
        <w:numPr>
          <w:ilvl w:val="1"/>
          <w:numId w:val="29"/>
        </w:numPr>
        <w:spacing w:beforeAutospacing="1" w:after="0" w:afterAutospacing="1"/>
        <w:rPr>
          <w:rFonts w:eastAsiaTheme="minorEastAsia"/>
          <w:lang w:val="en-IN"/>
        </w:rPr>
      </w:pPr>
      <w:r w:rsidRPr="00FC49A9">
        <w:rPr>
          <w:rFonts w:eastAsiaTheme="minorEastAsia"/>
          <w:lang w:val="en-IN"/>
        </w:rPr>
        <w:t>£1,000,000−£600,000=£400,000</w:t>
      </w:r>
    </w:p>
    <w:p w14:paraId="2E9321F2" w14:textId="77777777" w:rsidR="00FC49A9" w:rsidRPr="00FC49A9" w:rsidRDefault="00FC49A9" w:rsidP="00FC49A9">
      <w:pPr>
        <w:numPr>
          <w:ilvl w:val="1"/>
          <w:numId w:val="29"/>
        </w:numPr>
        <w:spacing w:beforeAutospacing="1" w:after="0" w:afterAutospacing="1"/>
        <w:rPr>
          <w:rFonts w:eastAsiaTheme="minorEastAsia"/>
          <w:lang w:val="en-IN"/>
        </w:rPr>
      </w:pPr>
      <w:r w:rsidRPr="00FC49A9">
        <w:rPr>
          <w:rFonts w:eastAsiaTheme="minorEastAsia"/>
          <w:lang w:val="en-IN"/>
        </w:rPr>
        <w:t>NPV from Option A: £394,620</w:t>
      </w:r>
    </w:p>
    <w:p w14:paraId="5D8A0FD0" w14:textId="77777777" w:rsidR="00FC49A9" w:rsidRPr="00FC49A9" w:rsidRDefault="00FC49A9" w:rsidP="00FC49A9">
      <w:pPr>
        <w:numPr>
          <w:ilvl w:val="0"/>
          <w:numId w:val="29"/>
        </w:numPr>
        <w:spacing w:beforeAutospacing="1" w:after="0" w:afterAutospacing="1"/>
        <w:rPr>
          <w:rFonts w:eastAsiaTheme="minorEastAsia"/>
          <w:lang w:val="en-IN"/>
        </w:rPr>
      </w:pPr>
      <w:r w:rsidRPr="00FC49A9">
        <w:rPr>
          <w:rFonts w:eastAsiaTheme="minorEastAsia"/>
          <w:b/>
          <w:bCs/>
          <w:lang w:val="en-IN"/>
        </w:rPr>
        <w:t>Invest in a fraction of Option C:</w:t>
      </w:r>
    </w:p>
    <w:p w14:paraId="148D82AB" w14:textId="77777777" w:rsidR="00FC49A9" w:rsidRPr="00FC49A9" w:rsidRDefault="00FC49A9" w:rsidP="00FC49A9">
      <w:pPr>
        <w:numPr>
          <w:ilvl w:val="1"/>
          <w:numId w:val="29"/>
        </w:numPr>
        <w:spacing w:beforeAutospacing="1" w:after="0" w:afterAutospacing="1"/>
        <w:rPr>
          <w:rFonts w:eastAsiaTheme="minorEastAsia"/>
          <w:lang w:val="en-IN"/>
        </w:rPr>
      </w:pPr>
      <w:r w:rsidRPr="00FC49A9">
        <w:rPr>
          <w:rFonts w:eastAsiaTheme="minorEastAsia"/>
          <w:lang w:val="en-IN"/>
        </w:rPr>
        <w:t>Remaining Capital: £400,000</w:t>
      </w:r>
    </w:p>
    <w:p w14:paraId="13DAA760" w14:textId="77777777" w:rsidR="00FC49A9" w:rsidRPr="00FC49A9" w:rsidRDefault="00FC49A9" w:rsidP="00FC49A9">
      <w:pPr>
        <w:numPr>
          <w:ilvl w:val="1"/>
          <w:numId w:val="29"/>
        </w:numPr>
        <w:spacing w:beforeAutospacing="1" w:after="0" w:afterAutospacing="1"/>
        <w:rPr>
          <w:rFonts w:eastAsiaTheme="minorEastAsia"/>
          <w:lang w:val="en-IN"/>
        </w:rPr>
      </w:pPr>
      <w:r w:rsidRPr="00FC49A9">
        <w:rPr>
          <w:rFonts w:eastAsiaTheme="minorEastAsia"/>
          <w:lang w:val="en-IN"/>
        </w:rPr>
        <w:t>Total Investment for Option C: £1,600,000</w:t>
      </w:r>
    </w:p>
    <w:p w14:paraId="4653CBC4" w14:textId="321517D0" w:rsidR="00FC49A9" w:rsidRPr="00FC49A9" w:rsidRDefault="00FC49A9" w:rsidP="00FC49A9">
      <w:pPr>
        <w:numPr>
          <w:ilvl w:val="1"/>
          <w:numId w:val="29"/>
        </w:numPr>
        <w:spacing w:beforeAutospacing="1" w:after="0" w:afterAutospacing="1"/>
        <w:rPr>
          <w:rFonts w:eastAsiaTheme="minorEastAsia"/>
          <w:lang w:val="en-IN"/>
        </w:rPr>
      </w:pPr>
      <w:r w:rsidRPr="00FC49A9">
        <w:rPr>
          <w:rFonts w:eastAsiaTheme="minorEastAsia"/>
          <w:lang w:val="en-IN"/>
        </w:rPr>
        <w:t>Fraction of Option C to undertake: £400,000</w:t>
      </w:r>
      <w:r>
        <w:rPr>
          <w:rFonts w:eastAsiaTheme="minorEastAsia"/>
          <w:lang w:val="en-IN"/>
        </w:rPr>
        <w:t>/</w:t>
      </w:r>
      <w:r w:rsidRPr="00FC49A9">
        <w:rPr>
          <w:rFonts w:eastAsiaTheme="minorEastAsia"/>
          <w:lang w:val="en-IN"/>
        </w:rPr>
        <w:t>£1,600,000​=0.25 (or 25%)</w:t>
      </w:r>
    </w:p>
    <w:p w14:paraId="17BCF965" w14:textId="77777777" w:rsidR="00FC49A9" w:rsidRPr="00FC49A9" w:rsidRDefault="00FC49A9" w:rsidP="00FC49A9">
      <w:pPr>
        <w:numPr>
          <w:ilvl w:val="1"/>
          <w:numId w:val="29"/>
        </w:numPr>
        <w:spacing w:beforeAutospacing="1" w:after="0" w:afterAutospacing="1"/>
        <w:rPr>
          <w:rFonts w:eastAsiaTheme="minorEastAsia"/>
          <w:lang w:val="en-IN"/>
        </w:rPr>
      </w:pPr>
      <w:r w:rsidRPr="00FC49A9">
        <w:rPr>
          <w:rFonts w:eastAsiaTheme="minorEastAsia"/>
          <w:lang w:val="en-IN"/>
        </w:rPr>
        <w:t>NPV from 25% of Option C: 0.25×£615,870=£153,967.50</w:t>
      </w:r>
    </w:p>
    <w:p w14:paraId="67FBE70A" w14:textId="77777777" w:rsidR="00FC49A9" w:rsidRPr="00FC49A9" w:rsidRDefault="00FC49A9" w:rsidP="00FC49A9">
      <w:pPr>
        <w:rPr>
          <w:lang w:val="en-IN"/>
        </w:rPr>
      </w:pPr>
      <w:r w:rsidRPr="00FC49A9">
        <w:rPr>
          <w:lang w:val="en-IN"/>
        </w:rPr>
        <w:t>The total NPV generated from this optimal investment policy will be the sum of the NPVs from the chosen projects:</w:t>
      </w:r>
    </w:p>
    <w:p w14:paraId="0DEA9AEB" w14:textId="7C45E7A2" w:rsidR="00FC49A9" w:rsidRDefault="00FC49A9" w:rsidP="00FC49A9">
      <w:pPr>
        <w:jc w:val="center"/>
        <w:rPr>
          <w:lang w:val="en-IN"/>
        </w:rPr>
      </w:pPr>
      <w:r w:rsidRPr="00FC49A9">
        <w:rPr>
          <w:lang w:val="en-IN"/>
        </w:rPr>
        <w:t>Total NPV = NPV (Option B) + NPV (Option A) + NPV (25% of Option C) Total NPV = £747,250+£394,620+£153,967.50</w:t>
      </w:r>
    </w:p>
    <w:p w14:paraId="45DB4645" w14:textId="790D4A5C" w:rsidR="00FC49A9" w:rsidRPr="00FC49A9" w:rsidRDefault="00FC49A9" w:rsidP="00FC49A9">
      <w:pPr>
        <w:rPr>
          <w:lang w:val="en-IN"/>
        </w:rPr>
      </w:pPr>
      <w:r w:rsidRPr="00FC49A9">
        <w:rPr>
          <w:b/>
          <w:bCs/>
          <w:lang w:val="en-IN"/>
        </w:rPr>
        <w:t>Total NPV = £1,295,837.50</w:t>
      </w:r>
    </w:p>
    <w:p w14:paraId="6D64DF50" w14:textId="1D4C9337" w:rsidR="00FC49A9" w:rsidRPr="00D939DB" w:rsidRDefault="00FC49A9" w:rsidP="00FC49A9">
      <w:pPr>
        <w:spacing w:beforeAutospacing="1" w:after="0" w:afterAutospacing="1"/>
        <w:rPr>
          <w:rFonts w:eastAsiaTheme="minorEastAsia"/>
        </w:rPr>
      </w:pPr>
      <w:r w:rsidRPr="00FC49A9">
        <w:rPr>
          <w:rFonts w:eastAsiaTheme="minorEastAsia"/>
        </w:rPr>
        <w:t xml:space="preserve">This policy ensures that </w:t>
      </w:r>
      <w:proofErr w:type="spellStart"/>
      <w:r w:rsidRPr="00FC49A9">
        <w:rPr>
          <w:rFonts w:eastAsiaTheme="minorEastAsia"/>
        </w:rPr>
        <w:t>Jordons</w:t>
      </w:r>
      <w:proofErr w:type="spellEnd"/>
      <w:r w:rsidRPr="00FC49A9">
        <w:rPr>
          <w:rFonts w:eastAsiaTheme="minorEastAsia"/>
        </w:rPr>
        <w:t xml:space="preserve"> Plc maximizes the value generated from its limited capital budget by prioritizing projects that offer the highest return per unit of investment.</w:t>
      </w:r>
    </w:p>
    <w:p w14:paraId="390C857A" w14:textId="77777777" w:rsidR="00D939DB" w:rsidRPr="00D939DB" w:rsidRDefault="00D939DB" w:rsidP="00D939DB">
      <w:pPr>
        <w:spacing w:beforeAutospacing="1" w:after="0" w:afterAutospacing="1" w:line="240" w:lineRule="auto"/>
        <w:jc w:val="left"/>
        <w:rPr>
          <w:rFonts w:eastAsia="Times New Roman" w:cs="Times New Roman"/>
          <w:szCs w:val="24"/>
          <w:lang w:val="en-IN" w:eastAsia="en-IN" w:bidi="bn-BD"/>
        </w:rPr>
      </w:pPr>
    </w:p>
    <w:p w14:paraId="12481C40" w14:textId="77777777" w:rsidR="005C5EB8" w:rsidRDefault="005C5EB8">
      <w:pPr>
        <w:spacing w:line="259" w:lineRule="auto"/>
        <w:jc w:val="left"/>
        <w:rPr>
          <w:rFonts w:asciiTheme="majorHAnsi" w:eastAsiaTheme="majorEastAsia" w:hAnsiTheme="majorHAnsi" w:cstheme="majorBidi"/>
          <w:b/>
          <w:color w:val="0F4761" w:themeColor="accent1" w:themeShade="BF"/>
          <w:sz w:val="26"/>
          <w:szCs w:val="32"/>
        </w:rPr>
      </w:pPr>
      <w:r>
        <w:br w:type="page"/>
      </w:r>
    </w:p>
    <w:p w14:paraId="33AEA379" w14:textId="6CC9BC42" w:rsidR="00D939DB" w:rsidRDefault="00FC49A9" w:rsidP="00FC49A9">
      <w:pPr>
        <w:pStyle w:val="Heading2"/>
      </w:pPr>
      <w:bookmarkStart w:id="9" w:name="_Toc203885438"/>
      <w:r w:rsidRPr="00FC49A9">
        <w:lastRenderedPageBreak/>
        <w:t>Financing the Proposed Investment Programme</w:t>
      </w:r>
      <w:bookmarkEnd w:id="9"/>
    </w:p>
    <w:p w14:paraId="1C096461" w14:textId="3FD06B2E" w:rsidR="00CD1339" w:rsidRPr="00CD1339" w:rsidRDefault="00CD1339" w:rsidP="00CD1339">
      <w:pPr>
        <w:rPr>
          <w:lang w:val="en-IN"/>
        </w:rPr>
      </w:pPr>
      <w:proofErr w:type="spellStart"/>
      <w:r w:rsidRPr="00CD1339">
        <w:rPr>
          <w:lang w:val="en-IN"/>
        </w:rPr>
        <w:t>Jordons</w:t>
      </w:r>
      <w:proofErr w:type="spellEnd"/>
      <w:r w:rsidRPr="00CD1339">
        <w:rPr>
          <w:lang w:val="en-IN"/>
        </w:rPr>
        <w:t xml:space="preserve"> Plc’s proposed investment programme, which requires £</w:t>
      </w:r>
      <w:r w:rsidR="00C91730">
        <w:rPr>
          <w:lang w:val="en-IN"/>
        </w:rPr>
        <w:t>2</w:t>
      </w:r>
      <w:r w:rsidRPr="00CD1339">
        <w:rPr>
          <w:lang w:val="en-IN"/>
        </w:rPr>
        <w:t xml:space="preserve"> million (£1,000,000 for Option B + £600,000 for Option A + £400,000 for 25% of Option C), needs careful consideration of financing sources. The company has several internal and external funding options, each with pros and cons.</w:t>
      </w:r>
    </w:p>
    <w:p w14:paraId="2F5C9210" w14:textId="43F12914" w:rsidR="00CD1339" w:rsidRPr="00CD1339" w:rsidRDefault="00CD1339" w:rsidP="00CD1339">
      <w:pPr>
        <w:rPr>
          <w:b/>
          <w:bCs/>
          <w:lang w:val="en-IN"/>
        </w:rPr>
      </w:pPr>
      <w:r w:rsidRPr="00CD1339">
        <w:rPr>
          <w:b/>
          <w:bCs/>
          <w:lang w:val="en-IN"/>
        </w:rPr>
        <w:t>Internal Sources of Finance</w:t>
      </w:r>
    </w:p>
    <w:p w14:paraId="0D5C4BD4" w14:textId="30478CCC" w:rsidR="00CD1339" w:rsidRPr="00CD1339" w:rsidRDefault="00CD1339" w:rsidP="00CD1339">
      <w:pPr>
        <w:rPr>
          <w:b/>
          <w:bCs/>
          <w:lang w:val="en-IN"/>
        </w:rPr>
      </w:pPr>
      <w:r w:rsidRPr="00CD1339">
        <w:rPr>
          <w:b/>
          <w:bCs/>
          <w:lang w:val="en-IN"/>
        </w:rPr>
        <w:t>Retained Earnings</w:t>
      </w:r>
    </w:p>
    <w:p w14:paraId="28D5B997" w14:textId="58988E5B" w:rsidR="00CD1339" w:rsidRPr="00CD1339" w:rsidRDefault="00CD1339" w:rsidP="00CD1339">
      <w:pPr>
        <w:rPr>
          <w:lang w:val="en-IN"/>
        </w:rPr>
      </w:pPr>
      <w:r w:rsidRPr="00CD1339">
        <w:rPr>
          <w:lang w:val="en-IN"/>
        </w:rPr>
        <w:t>Retained earnings are profits that are reinvested in the business instead of being paid out as dividends</w:t>
      </w:r>
      <w:r w:rsidR="005C5EB8" w:rsidRPr="005C5EB8">
        <w:t xml:space="preserve"> </w:t>
      </w:r>
      <w:r w:rsidR="005C5EB8" w:rsidRPr="005C5EB8">
        <w:rPr>
          <w:lang w:val="en-IN"/>
        </w:rPr>
        <w:t>(CFI Team, 2022)</w:t>
      </w:r>
      <w:r w:rsidRPr="00CD1339">
        <w:rPr>
          <w:lang w:val="en-IN"/>
        </w:rPr>
        <w:t>.</w:t>
      </w:r>
    </w:p>
    <w:p w14:paraId="2A3DAAD3" w14:textId="77777777" w:rsidR="00CD1339" w:rsidRPr="00CD1339" w:rsidRDefault="00CD1339" w:rsidP="00CD1339">
      <w:pPr>
        <w:rPr>
          <w:lang w:val="en-IN"/>
        </w:rPr>
      </w:pPr>
      <w:r w:rsidRPr="00CD1339">
        <w:rPr>
          <w:b/>
          <w:bCs/>
          <w:lang w:val="en-IN"/>
        </w:rPr>
        <w:t>Advantages</w:t>
      </w:r>
      <w:r w:rsidRPr="00CD1339">
        <w:rPr>
          <w:lang w:val="en-IN"/>
        </w:rPr>
        <w:t>:</w:t>
      </w:r>
    </w:p>
    <w:p w14:paraId="1ACF39BF" w14:textId="77777777" w:rsidR="00CD1339" w:rsidRPr="00CD1339" w:rsidRDefault="00CD1339" w:rsidP="00CD1339">
      <w:pPr>
        <w:numPr>
          <w:ilvl w:val="0"/>
          <w:numId w:val="30"/>
        </w:numPr>
        <w:rPr>
          <w:lang w:val="en-IN"/>
        </w:rPr>
      </w:pPr>
      <w:r w:rsidRPr="00CD1339">
        <w:rPr>
          <w:b/>
          <w:bCs/>
          <w:lang w:val="en-IN"/>
        </w:rPr>
        <w:t>Cost-Effective</w:t>
      </w:r>
      <w:r w:rsidRPr="00CD1339">
        <w:rPr>
          <w:lang w:val="en-IN"/>
        </w:rPr>
        <w:t>: No flotation costs or fees involved.</w:t>
      </w:r>
    </w:p>
    <w:p w14:paraId="1AE706BE" w14:textId="77777777" w:rsidR="00CD1339" w:rsidRPr="00CD1339" w:rsidRDefault="00CD1339" w:rsidP="00CD1339">
      <w:pPr>
        <w:numPr>
          <w:ilvl w:val="0"/>
          <w:numId w:val="30"/>
        </w:numPr>
        <w:rPr>
          <w:lang w:val="en-IN"/>
        </w:rPr>
      </w:pPr>
      <w:r w:rsidRPr="00CD1339">
        <w:rPr>
          <w:b/>
          <w:bCs/>
          <w:lang w:val="en-IN"/>
        </w:rPr>
        <w:t>No Ownership Dilution</w:t>
      </w:r>
      <w:r w:rsidRPr="00CD1339">
        <w:rPr>
          <w:lang w:val="en-IN"/>
        </w:rPr>
        <w:t>: Shareholders retain full control.</w:t>
      </w:r>
    </w:p>
    <w:p w14:paraId="2BFA5CE6" w14:textId="77777777" w:rsidR="00CD1339" w:rsidRPr="00CD1339" w:rsidRDefault="00CD1339" w:rsidP="00CD1339">
      <w:pPr>
        <w:numPr>
          <w:ilvl w:val="0"/>
          <w:numId w:val="30"/>
        </w:numPr>
        <w:rPr>
          <w:lang w:val="en-IN"/>
        </w:rPr>
      </w:pPr>
      <w:r w:rsidRPr="00CD1339">
        <w:rPr>
          <w:b/>
          <w:bCs/>
          <w:lang w:val="en-IN"/>
        </w:rPr>
        <w:t>Flexibility</w:t>
      </w:r>
      <w:r w:rsidRPr="00CD1339">
        <w:rPr>
          <w:lang w:val="en-IN"/>
        </w:rPr>
        <w:t>: No fixed repayment or interest obligations.</w:t>
      </w:r>
    </w:p>
    <w:p w14:paraId="3ECAAE09" w14:textId="77777777" w:rsidR="00CD1339" w:rsidRPr="00CD1339" w:rsidRDefault="00CD1339" w:rsidP="00CD1339">
      <w:pPr>
        <w:numPr>
          <w:ilvl w:val="0"/>
          <w:numId w:val="30"/>
        </w:numPr>
        <w:rPr>
          <w:lang w:val="en-IN"/>
        </w:rPr>
      </w:pPr>
      <w:r w:rsidRPr="00CD1339">
        <w:rPr>
          <w:b/>
          <w:bCs/>
          <w:lang w:val="en-IN"/>
        </w:rPr>
        <w:t>Positive Signal</w:t>
      </w:r>
      <w:r w:rsidRPr="00CD1339">
        <w:rPr>
          <w:lang w:val="en-IN"/>
        </w:rPr>
        <w:t>: Indicates strong financial health to investors.</w:t>
      </w:r>
    </w:p>
    <w:p w14:paraId="008357E1" w14:textId="77777777" w:rsidR="00CD1339" w:rsidRPr="00CD1339" w:rsidRDefault="00CD1339" w:rsidP="00CD1339">
      <w:pPr>
        <w:rPr>
          <w:lang w:val="en-IN"/>
        </w:rPr>
      </w:pPr>
      <w:r w:rsidRPr="00CD1339">
        <w:rPr>
          <w:b/>
          <w:bCs/>
          <w:lang w:val="en-IN"/>
        </w:rPr>
        <w:t>Disadvantages</w:t>
      </w:r>
      <w:r w:rsidRPr="00CD1339">
        <w:rPr>
          <w:lang w:val="en-IN"/>
        </w:rPr>
        <w:t>:</w:t>
      </w:r>
    </w:p>
    <w:p w14:paraId="49CF0697" w14:textId="77777777" w:rsidR="00CD1339" w:rsidRPr="00CD1339" w:rsidRDefault="00CD1339" w:rsidP="00CD1339">
      <w:pPr>
        <w:numPr>
          <w:ilvl w:val="0"/>
          <w:numId w:val="31"/>
        </w:numPr>
        <w:rPr>
          <w:lang w:val="en-IN"/>
        </w:rPr>
      </w:pPr>
      <w:r w:rsidRPr="00CD1339">
        <w:rPr>
          <w:b/>
          <w:bCs/>
          <w:lang w:val="en-IN"/>
        </w:rPr>
        <w:t>Opportunity Cost</w:t>
      </w:r>
      <w:r w:rsidRPr="00CD1339">
        <w:rPr>
          <w:lang w:val="en-IN"/>
        </w:rPr>
        <w:t>: Shareholders miss immediate dividends.</w:t>
      </w:r>
    </w:p>
    <w:p w14:paraId="263C9D02" w14:textId="77777777" w:rsidR="00CD1339" w:rsidRPr="00CD1339" w:rsidRDefault="00CD1339" w:rsidP="00CD1339">
      <w:pPr>
        <w:numPr>
          <w:ilvl w:val="0"/>
          <w:numId w:val="31"/>
        </w:numPr>
        <w:rPr>
          <w:lang w:val="en-IN"/>
        </w:rPr>
      </w:pPr>
      <w:r w:rsidRPr="00CD1339">
        <w:rPr>
          <w:b/>
          <w:bCs/>
          <w:lang w:val="en-IN"/>
        </w:rPr>
        <w:t>Limited Availability</w:t>
      </w:r>
      <w:r w:rsidRPr="00CD1339">
        <w:rPr>
          <w:lang w:val="en-IN"/>
        </w:rPr>
        <w:t>: Dependent on the company’s profitability.</w:t>
      </w:r>
    </w:p>
    <w:p w14:paraId="7E6025F9" w14:textId="77777777" w:rsidR="00CD1339" w:rsidRPr="00CD1339" w:rsidRDefault="00CD1339" w:rsidP="00CD1339">
      <w:pPr>
        <w:numPr>
          <w:ilvl w:val="0"/>
          <w:numId w:val="31"/>
        </w:numPr>
        <w:rPr>
          <w:lang w:val="en-IN"/>
        </w:rPr>
      </w:pPr>
      <w:r w:rsidRPr="00CD1339">
        <w:rPr>
          <w:b/>
          <w:bCs/>
          <w:lang w:val="en-IN"/>
        </w:rPr>
        <w:t>Potential for Suboptimal Investment</w:t>
      </w:r>
      <w:r w:rsidRPr="00CD1339">
        <w:rPr>
          <w:lang w:val="en-IN"/>
        </w:rPr>
        <w:t>: Funds may be used inefficiently, just to avoid leaving them unused.</w:t>
      </w:r>
    </w:p>
    <w:p w14:paraId="499DAFE7" w14:textId="7431A9AF" w:rsidR="00CD1339" w:rsidRPr="00CD1339" w:rsidRDefault="00CD1339" w:rsidP="00CD1339">
      <w:pPr>
        <w:rPr>
          <w:b/>
          <w:bCs/>
          <w:lang w:val="en-IN"/>
        </w:rPr>
      </w:pPr>
      <w:r w:rsidRPr="00CD1339">
        <w:rPr>
          <w:b/>
          <w:bCs/>
          <w:lang w:val="en-IN"/>
        </w:rPr>
        <w:t>Sale of Assets</w:t>
      </w:r>
    </w:p>
    <w:p w14:paraId="417200DE" w14:textId="3D10D8DC" w:rsidR="00CD1339" w:rsidRPr="00CD1339" w:rsidRDefault="00CD1339" w:rsidP="00CD1339">
      <w:pPr>
        <w:rPr>
          <w:lang w:val="en-IN"/>
        </w:rPr>
      </w:pPr>
      <w:r w:rsidRPr="00CD1339">
        <w:rPr>
          <w:lang w:val="en-IN"/>
        </w:rPr>
        <w:t>Selling non-core or underutilized assets can provide quick funds</w:t>
      </w:r>
      <w:r w:rsidR="005C5EB8" w:rsidRPr="005C5EB8">
        <w:t xml:space="preserve"> </w:t>
      </w:r>
      <w:r w:rsidR="005C5EB8" w:rsidRPr="005C5EB8">
        <w:rPr>
          <w:lang w:val="en-IN"/>
        </w:rPr>
        <w:t>(CFI Team, 2022)</w:t>
      </w:r>
      <w:r w:rsidRPr="00CD1339">
        <w:rPr>
          <w:lang w:val="en-IN"/>
        </w:rPr>
        <w:t>.</w:t>
      </w:r>
    </w:p>
    <w:p w14:paraId="4D981738" w14:textId="77777777" w:rsidR="00CD1339" w:rsidRPr="00CD1339" w:rsidRDefault="00CD1339" w:rsidP="00CD1339">
      <w:pPr>
        <w:rPr>
          <w:lang w:val="en-IN"/>
        </w:rPr>
      </w:pPr>
      <w:r w:rsidRPr="00CD1339">
        <w:rPr>
          <w:b/>
          <w:bCs/>
          <w:lang w:val="en-IN"/>
        </w:rPr>
        <w:t>Advantages</w:t>
      </w:r>
      <w:r w:rsidRPr="00CD1339">
        <w:rPr>
          <w:lang w:val="en-IN"/>
        </w:rPr>
        <w:t>:</w:t>
      </w:r>
    </w:p>
    <w:p w14:paraId="5EBF9FA0" w14:textId="77777777" w:rsidR="00CD1339" w:rsidRPr="00CD1339" w:rsidRDefault="00CD1339" w:rsidP="00CD1339">
      <w:pPr>
        <w:numPr>
          <w:ilvl w:val="0"/>
          <w:numId w:val="32"/>
        </w:numPr>
        <w:rPr>
          <w:lang w:val="en-IN"/>
        </w:rPr>
      </w:pPr>
      <w:r w:rsidRPr="00CD1339">
        <w:rPr>
          <w:b/>
          <w:bCs/>
          <w:lang w:val="en-IN"/>
        </w:rPr>
        <w:t>Immediate Cash</w:t>
      </w:r>
      <w:r w:rsidRPr="00CD1339">
        <w:rPr>
          <w:lang w:val="en-IN"/>
        </w:rPr>
        <w:t>: Quick access to funds.</w:t>
      </w:r>
    </w:p>
    <w:p w14:paraId="785BA69F" w14:textId="77777777" w:rsidR="00CD1339" w:rsidRPr="00CD1339" w:rsidRDefault="00CD1339" w:rsidP="00CD1339">
      <w:pPr>
        <w:numPr>
          <w:ilvl w:val="0"/>
          <w:numId w:val="32"/>
        </w:numPr>
        <w:rPr>
          <w:lang w:val="en-IN"/>
        </w:rPr>
      </w:pPr>
      <w:r w:rsidRPr="00CD1339">
        <w:rPr>
          <w:b/>
          <w:bCs/>
          <w:lang w:val="en-IN"/>
        </w:rPr>
        <w:t>Efficiency</w:t>
      </w:r>
      <w:r w:rsidRPr="00CD1339">
        <w:rPr>
          <w:lang w:val="en-IN"/>
        </w:rPr>
        <w:t>: Reduces costs like maintenance and insurance.</w:t>
      </w:r>
    </w:p>
    <w:p w14:paraId="6F14185F" w14:textId="77777777" w:rsidR="00CD1339" w:rsidRPr="00CD1339" w:rsidRDefault="00CD1339" w:rsidP="00CD1339">
      <w:pPr>
        <w:numPr>
          <w:ilvl w:val="0"/>
          <w:numId w:val="32"/>
        </w:numPr>
        <w:rPr>
          <w:lang w:val="en-IN"/>
        </w:rPr>
      </w:pPr>
      <w:r w:rsidRPr="00CD1339">
        <w:rPr>
          <w:b/>
          <w:bCs/>
          <w:lang w:val="en-IN"/>
        </w:rPr>
        <w:t>Streamlined Operations</w:t>
      </w:r>
      <w:r w:rsidRPr="00CD1339">
        <w:rPr>
          <w:lang w:val="en-IN"/>
        </w:rPr>
        <w:t>: Removes unnecessary assets.</w:t>
      </w:r>
    </w:p>
    <w:p w14:paraId="70F7E307" w14:textId="77777777" w:rsidR="00CD1339" w:rsidRPr="00CD1339" w:rsidRDefault="00CD1339" w:rsidP="00CD1339">
      <w:pPr>
        <w:rPr>
          <w:lang w:val="en-IN"/>
        </w:rPr>
      </w:pPr>
      <w:r w:rsidRPr="00CD1339">
        <w:rPr>
          <w:b/>
          <w:bCs/>
          <w:lang w:val="en-IN"/>
        </w:rPr>
        <w:t>Disadvantages</w:t>
      </w:r>
      <w:r w:rsidRPr="00CD1339">
        <w:rPr>
          <w:lang w:val="en-IN"/>
        </w:rPr>
        <w:t>:</w:t>
      </w:r>
    </w:p>
    <w:p w14:paraId="70CD80BF" w14:textId="77777777" w:rsidR="00CD1339" w:rsidRPr="00CD1339" w:rsidRDefault="00CD1339" w:rsidP="00CD1339">
      <w:pPr>
        <w:numPr>
          <w:ilvl w:val="0"/>
          <w:numId w:val="33"/>
        </w:numPr>
        <w:rPr>
          <w:lang w:val="en-IN"/>
        </w:rPr>
      </w:pPr>
      <w:r w:rsidRPr="00CD1339">
        <w:rPr>
          <w:b/>
          <w:bCs/>
          <w:lang w:val="en-IN"/>
        </w:rPr>
        <w:lastRenderedPageBreak/>
        <w:t>One-Off Source</w:t>
      </w:r>
      <w:r w:rsidRPr="00CD1339">
        <w:rPr>
          <w:lang w:val="en-IN"/>
        </w:rPr>
        <w:t>: This is not a sustainable funding method.</w:t>
      </w:r>
    </w:p>
    <w:p w14:paraId="16D10D4F" w14:textId="77777777" w:rsidR="00CD1339" w:rsidRPr="00CD1339" w:rsidRDefault="00CD1339" w:rsidP="00CD1339">
      <w:pPr>
        <w:numPr>
          <w:ilvl w:val="0"/>
          <w:numId w:val="33"/>
        </w:numPr>
        <w:rPr>
          <w:lang w:val="en-IN"/>
        </w:rPr>
      </w:pPr>
      <w:r w:rsidRPr="00CD1339">
        <w:rPr>
          <w:b/>
          <w:bCs/>
          <w:lang w:val="en-IN"/>
        </w:rPr>
        <w:t>Loss of Future Potential</w:t>
      </w:r>
      <w:r w:rsidRPr="00CD1339">
        <w:rPr>
          <w:lang w:val="en-IN"/>
        </w:rPr>
        <w:t>: Some assets may become valuable later.</w:t>
      </w:r>
    </w:p>
    <w:p w14:paraId="6CF85528" w14:textId="77777777" w:rsidR="00CD1339" w:rsidRPr="00CD1339" w:rsidRDefault="00CD1339" w:rsidP="00CD1339">
      <w:pPr>
        <w:numPr>
          <w:ilvl w:val="0"/>
          <w:numId w:val="33"/>
        </w:numPr>
        <w:rPr>
          <w:lang w:val="en-IN"/>
        </w:rPr>
      </w:pPr>
      <w:r w:rsidRPr="00CD1339">
        <w:rPr>
          <w:b/>
          <w:bCs/>
          <w:lang w:val="en-IN"/>
        </w:rPr>
        <w:t>Sign of Financial Trouble</w:t>
      </w:r>
      <w:r w:rsidRPr="00CD1339">
        <w:rPr>
          <w:lang w:val="en-IN"/>
        </w:rPr>
        <w:t>: Frequent asset sales may raise concerns.</w:t>
      </w:r>
    </w:p>
    <w:p w14:paraId="0DE7C7FC" w14:textId="77777777" w:rsidR="00CD1339" w:rsidRPr="00CD1339" w:rsidRDefault="00CD1339" w:rsidP="00CD1339">
      <w:pPr>
        <w:numPr>
          <w:ilvl w:val="0"/>
          <w:numId w:val="33"/>
        </w:numPr>
        <w:rPr>
          <w:lang w:val="en-IN"/>
        </w:rPr>
      </w:pPr>
      <w:r w:rsidRPr="00CD1339">
        <w:rPr>
          <w:b/>
          <w:bCs/>
          <w:lang w:val="en-IN"/>
        </w:rPr>
        <w:t>Valuation Challenges</w:t>
      </w:r>
      <w:r w:rsidRPr="00CD1339">
        <w:rPr>
          <w:lang w:val="en-IN"/>
        </w:rPr>
        <w:t>: Assets might be sold at a discount.</w:t>
      </w:r>
    </w:p>
    <w:p w14:paraId="0FEFCA1E" w14:textId="21EBF563" w:rsidR="00CD1339" w:rsidRPr="00CD1339" w:rsidRDefault="00CD1339" w:rsidP="00CD1339">
      <w:pPr>
        <w:rPr>
          <w:b/>
          <w:bCs/>
          <w:lang w:val="en-IN"/>
        </w:rPr>
      </w:pPr>
      <w:r w:rsidRPr="00CD1339">
        <w:rPr>
          <w:b/>
          <w:bCs/>
          <w:lang w:val="en-IN"/>
        </w:rPr>
        <w:t>External Sources of Finance</w:t>
      </w:r>
    </w:p>
    <w:p w14:paraId="7D29A3E2" w14:textId="34A4660E" w:rsidR="00CD1339" w:rsidRPr="00CD1339" w:rsidRDefault="00CD1339" w:rsidP="00CD1339">
      <w:pPr>
        <w:rPr>
          <w:b/>
          <w:bCs/>
          <w:lang w:val="en-IN"/>
        </w:rPr>
      </w:pPr>
      <w:r w:rsidRPr="00CD1339">
        <w:rPr>
          <w:b/>
          <w:bCs/>
          <w:lang w:val="en-IN"/>
        </w:rPr>
        <w:t>Equity Finance (Issuing New Shares)</w:t>
      </w:r>
    </w:p>
    <w:p w14:paraId="4180FDC7" w14:textId="4A7FD49F" w:rsidR="00CD1339" w:rsidRPr="00CD1339" w:rsidRDefault="00CD1339" w:rsidP="00CD1339">
      <w:pPr>
        <w:rPr>
          <w:lang w:val="en-IN"/>
        </w:rPr>
      </w:pPr>
      <w:r w:rsidRPr="00CD1339">
        <w:rPr>
          <w:lang w:val="en-IN"/>
        </w:rPr>
        <w:t>Issuing new shares allows the company to raise capital by selling ownership stakes</w:t>
      </w:r>
      <w:r w:rsidR="005C5EB8" w:rsidRPr="005C5EB8">
        <w:t xml:space="preserve"> </w:t>
      </w:r>
      <w:r w:rsidR="005C5EB8" w:rsidRPr="005C5EB8">
        <w:rPr>
          <w:lang w:val="en-IN"/>
        </w:rPr>
        <w:t>(CFI Team, 2022)</w:t>
      </w:r>
      <w:r w:rsidRPr="00CD1339">
        <w:rPr>
          <w:lang w:val="en-IN"/>
        </w:rPr>
        <w:t>.</w:t>
      </w:r>
    </w:p>
    <w:p w14:paraId="0C948BB2" w14:textId="77777777" w:rsidR="00CD1339" w:rsidRPr="00CD1339" w:rsidRDefault="00CD1339" w:rsidP="00CD1339">
      <w:pPr>
        <w:rPr>
          <w:lang w:val="en-IN"/>
        </w:rPr>
      </w:pPr>
      <w:r w:rsidRPr="00CD1339">
        <w:rPr>
          <w:b/>
          <w:bCs/>
          <w:lang w:val="en-IN"/>
        </w:rPr>
        <w:t>Advantages</w:t>
      </w:r>
      <w:r w:rsidRPr="00CD1339">
        <w:rPr>
          <w:lang w:val="en-IN"/>
        </w:rPr>
        <w:t>:</w:t>
      </w:r>
    </w:p>
    <w:p w14:paraId="39BFDB52" w14:textId="77777777" w:rsidR="00CD1339" w:rsidRPr="00CD1339" w:rsidRDefault="00CD1339" w:rsidP="00CD1339">
      <w:pPr>
        <w:numPr>
          <w:ilvl w:val="0"/>
          <w:numId w:val="34"/>
        </w:numPr>
        <w:rPr>
          <w:lang w:val="en-IN"/>
        </w:rPr>
      </w:pPr>
      <w:r w:rsidRPr="00CD1339">
        <w:rPr>
          <w:b/>
          <w:bCs/>
          <w:lang w:val="en-IN"/>
        </w:rPr>
        <w:t>No Repayment Obligation</w:t>
      </w:r>
      <w:r w:rsidRPr="00CD1339">
        <w:rPr>
          <w:lang w:val="en-IN"/>
        </w:rPr>
        <w:t>: No need to repay or pay fixed dividends.</w:t>
      </w:r>
    </w:p>
    <w:p w14:paraId="104DA059" w14:textId="77777777" w:rsidR="00CD1339" w:rsidRPr="00CD1339" w:rsidRDefault="00CD1339" w:rsidP="00CD1339">
      <w:pPr>
        <w:numPr>
          <w:ilvl w:val="0"/>
          <w:numId w:val="34"/>
        </w:numPr>
        <w:rPr>
          <w:lang w:val="en-IN"/>
        </w:rPr>
      </w:pPr>
      <w:r w:rsidRPr="00CD1339">
        <w:rPr>
          <w:b/>
          <w:bCs/>
          <w:lang w:val="en-IN"/>
        </w:rPr>
        <w:t>Improved Gearing</w:t>
      </w:r>
      <w:r w:rsidRPr="00CD1339">
        <w:rPr>
          <w:lang w:val="en-IN"/>
        </w:rPr>
        <w:t>: Reduces financial risk by increasing equity.</w:t>
      </w:r>
    </w:p>
    <w:p w14:paraId="0D0D3BB8" w14:textId="77777777" w:rsidR="00CD1339" w:rsidRPr="00CD1339" w:rsidRDefault="00CD1339" w:rsidP="00CD1339">
      <w:pPr>
        <w:numPr>
          <w:ilvl w:val="0"/>
          <w:numId w:val="34"/>
        </w:numPr>
        <w:rPr>
          <w:lang w:val="en-IN"/>
        </w:rPr>
      </w:pPr>
      <w:r w:rsidRPr="00CD1339">
        <w:rPr>
          <w:b/>
          <w:bCs/>
          <w:lang w:val="en-IN"/>
        </w:rPr>
        <w:t>Long-Term Capital</w:t>
      </w:r>
      <w:r w:rsidRPr="00CD1339">
        <w:rPr>
          <w:lang w:val="en-IN"/>
        </w:rPr>
        <w:t>: Equity provides permanent funding.</w:t>
      </w:r>
    </w:p>
    <w:p w14:paraId="4FB8BCF6" w14:textId="77777777" w:rsidR="00CD1339" w:rsidRPr="00CD1339" w:rsidRDefault="00CD1339" w:rsidP="00CD1339">
      <w:pPr>
        <w:rPr>
          <w:lang w:val="en-IN"/>
        </w:rPr>
      </w:pPr>
      <w:r w:rsidRPr="00CD1339">
        <w:rPr>
          <w:b/>
          <w:bCs/>
          <w:lang w:val="en-IN"/>
        </w:rPr>
        <w:t>Disadvantages</w:t>
      </w:r>
      <w:r w:rsidRPr="00CD1339">
        <w:rPr>
          <w:lang w:val="en-IN"/>
        </w:rPr>
        <w:t>:</w:t>
      </w:r>
    </w:p>
    <w:p w14:paraId="7D360F44" w14:textId="77777777" w:rsidR="00CD1339" w:rsidRPr="00CD1339" w:rsidRDefault="00CD1339" w:rsidP="00CD1339">
      <w:pPr>
        <w:numPr>
          <w:ilvl w:val="0"/>
          <w:numId w:val="35"/>
        </w:numPr>
        <w:rPr>
          <w:lang w:val="en-IN"/>
        </w:rPr>
      </w:pPr>
      <w:r w:rsidRPr="00CD1339">
        <w:rPr>
          <w:b/>
          <w:bCs/>
          <w:lang w:val="en-IN"/>
        </w:rPr>
        <w:t>Dilution of Ownership</w:t>
      </w:r>
      <w:r w:rsidRPr="00CD1339">
        <w:rPr>
          <w:lang w:val="en-IN"/>
        </w:rPr>
        <w:t>: Existing shareholders lose control.</w:t>
      </w:r>
    </w:p>
    <w:p w14:paraId="1DF4A51B" w14:textId="77777777" w:rsidR="00CD1339" w:rsidRPr="00CD1339" w:rsidRDefault="00CD1339" w:rsidP="00CD1339">
      <w:pPr>
        <w:numPr>
          <w:ilvl w:val="0"/>
          <w:numId w:val="35"/>
        </w:numPr>
        <w:rPr>
          <w:lang w:val="en-IN"/>
        </w:rPr>
      </w:pPr>
      <w:r w:rsidRPr="00CD1339">
        <w:rPr>
          <w:b/>
          <w:bCs/>
          <w:lang w:val="en-IN"/>
        </w:rPr>
        <w:t>High Flotation Costs</w:t>
      </w:r>
      <w:r w:rsidRPr="00CD1339">
        <w:rPr>
          <w:lang w:val="en-IN"/>
        </w:rPr>
        <w:t>: Significant costs in issuing new shares.</w:t>
      </w:r>
    </w:p>
    <w:p w14:paraId="4D6ECAF5" w14:textId="77777777" w:rsidR="00CD1339" w:rsidRPr="00CD1339" w:rsidRDefault="00CD1339" w:rsidP="00CD1339">
      <w:pPr>
        <w:numPr>
          <w:ilvl w:val="0"/>
          <w:numId w:val="35"/>
        </w:numPr>
        <w:rPr>
          <w:lang w:val="en-IN"/>
        </w:rPr>
      </w:pPr>
      <w:r w:rsidRPr="00CD1339">
        <w:rPr>
          <w:b/>
          <w:bCs/>
          <w:lang w:val="en-IN"/>
        </w:rPr>
        <w:t>No Tax Shield</w:t>
      </w:r>
      <w:r w:rsidRPr="00CD1339">
        <w:rPr>
          <w:lang w:val="en-IN"/>
        </w:rPr>
        <w:t>: Dividends are paid from after-tax profits.</w:t>
      </w:r>
    </w:p>
    <w:p w14:paraId="350C51A1" w14:textId="77777777" w:rsidR="00CD1339" w:rsidRDefault="00CD1339" w:rsidP="00CD1339">
      <w:pPr>
        <w:numPr>
          <w:ilvl w:val="0"/>
          <w:numId w:val="35"/>
        </w:numPr>
        <w:rPr>
          <w:lang w:val="en-IN"/>
        </w:rPr>
      </w:pPr>
      <w:r w:rsidRPr="00CD1339">
        <w:rPr>
          <w:b/>
          <w:bCs/>
          <w:lang w:val="en-IN"/>
        </w:rPr>
        <w:t>Market Sensitivity</w:t>
      </w:r>
      <w:r w:rsidRPr="00CD1339">
        <w:rPr>
          <w:lang w:val="en-IN"/>
        </w:rPr>
        <w:t>: Share prices depend on market conditions.</w:t>
      </w:r>
    </w:p>
    <w:p w14:paraId="27451C45" w14:textId="55839C34" w:rsidR="00CD1339" w:rsidRPr="00CD1339" w:rsidRDefault="00CD1339" w:rsidP="00CD1339">
      <w:pPr>
        <w:rPr>
          <w:lang w:val="en-IN"/>
        </w:rPr>
      </w:pPr>
      <w:r w:rsidRPr="00CD1339">
        <w:rPr>
          <w:b/>
          <w:bCs/>
          <w:lang w:val="en-IN"/>
        </w:rPr>
        <w:t>Debt Finance (Loans, Bonds, Debentures)</w:t>
      </w:r>
    </w:p>
    <w:p w14:paraId="215A3D37" w14:textId="77777777" w:rsidR="00CD1339" w:rsidRPr="00CD1339" w:rsidRDefault="00CD1339" w:rsidP="00CD1339">
      <w:pPr>
        <w:rPr>
          <w:lang w:val="en-IN"/>
        </w:rPr>
      </w:pPr>
      <w:r w:rsidRPr="00CD1339">
        <w:rPr>
          <w:lang w:val="en-IN"/>
        </w:rPr>
        <w:t>Debt involves borrowing money from banks or issuing bonds.</w:t>
      </w:r>
    </w:p>
    <w:p w14:paraId="1DEB18A9" w14:textId="77777777" w:rsidR="00CD1339" w:rsidRPr="00CD1339" w:rsidRDefault="00CD1339" w:rsidP="00CD1339">
      <w:pPr>
        <w:rPr>
          <w:lang w:val="en-IN"/>
        </w:rPr>
      </w:pPr>
      <w:r w:rsidRPr="00CD1339">
        <w:rPr>
          <w:b/>
          <w:bCs/>
          <w:lang w:val="en-IN"/>
        </w:rPr>
        <w:t>Advantages</w:t>
      </w:r>
      <w:r w:rsidRPr="00CD1339">
        <w:rPr>
          <w:lang w:val="en-IN"/>
        </w:rPr>
        <w:t>:</w:t>
      </w:r>
    </w:p>
    <w:p w14:paraId="5F1DCF47" w14:textId="77777777" w:rsidR="00CD1339" w:rsidRPr="00CD1339" w:rsidRDefault="00CD1339" w:rsidP="00CD1339">
      <w:pPr>
        <w:numPr>
          <w:ilvl w:val="0"/>
          <w:numId w:val="36"/>
        </w:numPr>
        <w:rPr>
          <w:lang w:val="en-IN"/>
        </w:rPr>
      </w:pPr>
      <w:r w:rsidRPr="00CD1339">
        <w:rPr>
          <w:b/>
          <w:bCs/>
          <w:lang w:val="en-IN"/>
        </w:rPr>
        <w:t>Tax Deductibility</w:t>
      </w:r>
      <w:r w:rsidRPr="00CD1339">
        <w:rPr>
          <w:lang w:val="en-IN"/>
        </w:rPr>
        <w:t>: Interest payments are tax-deductible.</w:t>
      </w:r>
    </w:p>
    <w:p w14:paraId="15A5C65D" w14:textId="77777777" w:rsidR="00CD1339" w:rsidRPr="00CD1339" w:rsidRDefault="00CD1339" w:rsidP="00CD1339">
      <w:pPr>
        <w:numPr>
          <w:ilvl w:val="0"/>
          <w:numId w:val="36"/>
        </w:numPr>
        <w:rPr>
          <w:lang w:val="en-IN"/>
        </w:rPr>
      </w:pPr>
      <w:r w:rsidRPr="00CD1339">
        <w:rPr>
          <w:b/>
          <w:bCs/>
          <w:lang w:val="en-IN"/>
        </w:rPr>
        <w:t>No Ownership Dilution</w:t>
      </w:r>
      <w:r w:rsidRPr="00CD1339">
        <w:rPr>
          <w:lang w:val="en-IN"/>
        </w:rPr>
        <w:t>: Debt holders don’t gain control.</w:t>
      </w:r>
    </w:p>
    <w:p w14:paraId="13B7A306" w14:textId="77777777" w:rsidR="00CD1339" w:rsidRPr="00CD1339" w:rsidRDefault="00CD1339" w:rsidP="00CD1339">
      <w:pPr>
        <w:numPr>
          <w:ilvl w:val="0"/>
          <w:numId w:val="36"/>
        </w:numPr>
        <w:rPr>
          <w:lang w:val="en-IN"/>
        </w:rPr>
      </w:pPr>
      <w:r w:rsidRPr="00CD1339">
        <w:rPr>
          <w:b/>
          <w:bCs/>
          <w:lang w:val="en-IN"/>
        </w:rPr>
        <w:t>Lower Cost</w:t>
      </w:r>
      <w:r w:rsidRPr="00CD1339">
        <w:rPr>
          <w:lang w:val="en-IN"/>
        </w:rPr>
        <w:t>: Debt is usually cheaper than equity.</w:t>
      </w:r>
    </w:p>
    <w:p w14:paraId="06F5CA5E" w14:textId="77777777" w:rsidR="00CD1339" w:rsidRPr="00CD1339" w:rsidRDefault="00CD1339" w:rsidP="00CD1339">
      <w:pPr>
        <w:numPr>
          <w:ilvl w:val="0"/>
          <w:numId w:val="36"/>
        </w:numPr>
        <w:rPr>
          <w:lang w:val="en-IN"/>
        </w:rPr>
      </w:pPr>
      <w:r w:rsidRPr="00CD1339">
        <w:rPr>
          <w:b/>
          <w:bCs/>
          <w:lang w:val="en-IN"/>
        </w:rPr>
        <w:t>Financial Leverage</w:t>
      </w:r>
      <w:r w:rsidRPr="00CD1339">
        <w:rPr>
          <w:lang w:val="en-IN"/>
        </w:rPr>
        <w:t>: Can increase returns if the project generates higher returns than the cost of debt.</w:t>
      </w:r>
    </w:p>
    <w:p w14:paraId="1E611992" w14:textId="77777777" w:rsidR="00CD1339" w:rsidRPr="00CD1339" w:rsidRDefault="00CD1339" w:rsidP="00CD1339">
      <w:pPr>
        <w:rPr>
          <w:lang w:val="en-IN"/>
        </w:rPr>
      </w:pPr>
      <w:r w:rsidRPr="00CD1339">
        <w:rPr>
          <w:b/>
          <w:bCs/>
          <w:lang w:val="en-IN"/>
        </w:rPr>
        <w:lastRenderedPageBreak/>
        <w:t>Disadvantages</w:t>
      </w:r>
      <w:r w:rsidRPr="00CD1339">
        <w:rPr>
          <w:lang w:val="en-IN"/>
        </w:rPr>
        <w:t>:</w:t>
      </w:r>
    </w:p>
    <w:p w14:paraId="0E1EA9F8" w14:textId="77777777" w:rsidR="00CD1339" w:rsidRPr="00CD1339" w:rsidRDefault="00CD1339" w:rsidP="00CD1339">
      <w:pPr>
        <w:numPr>
          <w:ilvl w:val="0"/>
          <w:numId w:val="37"/>
        </w:numPr>
        <w:rPr>
          <w:lang w:val="en-IN"/>
        </w:rPr>
      </w:pPr>
      <w:r w:rsidRPr="00CD1339">
        <w:rPr>
          <w:b/>
          <w:bCs/>
          <w:lang w:val="en-IN"/>
        </w:rPr>
        <w:t>Fixed Repayment</w:t>
      </w:r>
      <w:r w:rsidRPr="00CD1339">
        <w:rPr>
          <w:lang w:val="en-IN"/>
        </w:rPr>
        <w:t>: Debt must be repaid regardless of company performance.</w:t>
      </w:r>
    </w:p>
    <w:p w14:paraId="496B3DD9" w14:textId="77777777" w:rsidR="00CD1339" w:rsidRPr="00CD1339" w:rsidRDefault="00CD1339" w:rsidP="00CD1339">
      <w:pPr>
        <w:numPr>
          <w:ilvl w:val="0"/>
          <w:numId w:val="37"/>
        </w:numPr>
        <w:rPr>
          <w:lang w:val="en-IN"/>
        </w:rPr>
      </w:pPr>
      <w:r w:rsidRPr="00CD1339">
        <w:rPr>
          <w:b/>
          <w:bCs/>
          <w:lang w:val="en-IN"/>
        </w:rPr>
        <w:t>Increased Financial Risk</w:t>
      </w:r>
      <w:r w:rsidRPr="00CD1339">
        <w:rPr>
          <w:lang w:val="en-IN"/>
        </w:rPr>
        <w:t>: More debt increases financial risk.</w:t>
      </w:r>
    </w:p>
    <w:p w14:paraId="323094DC" w14:textId="77777777" w:rsidR="00CD1339" w:rsidRPr="00CD1339" w:rsidRDefault="00CD1339" w:rsidP="00CD1339">
      <w:pPr>
        <w:numPr>
          <w:ilvl w:val="0"/>
          <w:numId w:val="37"/>
        </w:numPr>
        <w:rPr>
          <w:lang w:val="en-IN"/>
        </w:rPr>
      </w:pPr>
      <w:r w:rsidRPr="00CD1339">
        <w:rPr>
          <w:b/>
          <w:bCs/>
          <w:lang w:val="en-IN"/>
        </w:rPr>
        <w:t>Covenants and Collateral</w:t>
      </w:r>
      <w:r w:rsidRPr="00CD1339">
        <w:rPr>
          <w:lang w:val="en-IN"/>
        </w:rPr>
        <w:t>: Lenders may impose restrictions and require collateral.</w:t>
      </w:r>
    </w:p>
    <w:p w14:paraId="0CCB8C66" w14:textId="59166517" w:rsidR="00CD1339" w:rsidRPr="00CD1339" w:rsidRDefault="00CD1339" w:rsidP="00CD1339">
      <w:pPr>
        <w:rPr>
          <w:b/>
          <w:bCs/>
          <w:lang w:val="en-IN"/>
        </w:rPr>
      </w:pPr>
      <w:r w:rsidRPr="00CD1339">
        <w:rPr>
          <w:b/>
          <w:bCs/>
          <w:lang w:val="en-IN"/>
        </w:rPr>
        <w:t>Venture Capital/Private Equity</w:t>
      </w:r>
    </w:p>
    <w:p w14:paraId="77D5DBAD" w14:textId="495F304A" w:rsidR="00CD1339" w:rsidRPr="00CD1339" w:rsidRDefault="00CD1339" w:rsidP="00CD1339">
      <w:pPr>
        <w:rPr>
          <w:lang w:val="en-IN"/>
        </w:rPr>
      </w:pPr>
      <w:r w:rsidRPr="00CD1339">
        <w:rPr>
          <w:lang w:val="en-IN"/>
        </w:rPr>
        <w:t>Venture capital firms provide funds to high-growth companies in exchange for equity</w:t>
      </w:r>
      <w:r w:rsidR="005C5EB8" w:rsidRPr="005C5EB8">
        <w:t xml:space="preserve"> </w:t>
      </w:r>
      <w:r w:rsidR="005C5EB8" w:rsidRPr="005C5EB8">
        <w:rPr>
          <w:lang w:val="en-IN"/>
        </w:rPr>
        <w:t>(CFI Team, 2022)</w:t>
      </w:r>
      <w:r w:rsidRPr="00CD1339">
        <w:rPr>
          <w:lang w:val="en-IN"/>
        </w:rPr>
        <w:t>.</w:t>
      </w:r>
    </w:p>
    <w:p w14:paraId="625965A5" w14:textId="77777777" w:rsidR="00CD1339" w:rsidRPr="00CD1339" w:rsidRDefault="00CD1339" w:rsidP="00CD1339">
      <w:pPr>
        <w:rPr>
          <w:lang w:val="en-IN"/>
        </w:rPr>
      </w:pPr>
      <w:r w:rsidRPr="00CD1339">
        <w:rPr>
          <w:b/>
          <w:bCs/>
          <w:lang w:val="en-IN"/>
        </w:rPr>
        <w:t>Advantages</w:t>
      </w:r>
      <w:r w:rsidRPr="00CD1339">
        <w:rPr>
          <w:lang w:val="en-IN"/>
        </w:rPr>
        <w:t>:</w:t>
      </w:r>
    </w:p>
    <w:p w14:paraId="1A9D5711" w14:textId="77777777" w:rsidR="00CD1339" w:rsidRPr="00CD1339" w:rsidRDefault="00CD1339" w:rsidP="00CD1339">
      <w:pPr>
        <w:numPr>
          <w:ilvl w:val="0"/>
          <w:numId w:val="38"/>
        </w:numPr>
        <w:rPr>
          <w:lang w:val="en-IN"/>
        </w:rPr>
      </w:pPr>
      <w:r w:rsidRPr="00CD1339">
        <w:rPr>
          <w:b/>
          <w:bCs/>
          <w:lang w:val="en-IN"/>
        </w:rPr>
        <w:t>Significant Capital</w:t>
      </w:r>
      <w:r w:rsidRPr="00CD1339">
        <w:rPr>
          <w:lang w:val="en-IN"/>
        </w:rPr>
        <w:t>: Provides funding for high-risk projects.</w:t>
      </w:r>
    </w:p>
    <w:p w14:paraId="2121DEC6" w14:textId="77777777" w:rsidR="00CD1339" w:rsidRPr="00CD1339" w:rsidRDefault="00CD1339" w:rsidP="00CD1339">
      <w:pPr>
        <w:numPr>
          <w:ilvl w:val="0"/>
          <w:numId w:val="38"/>
        </w:numPr>
        <w:rPr>
          <w:lang w:val="en-IN"/>
        </w:rPr>
      </w:pPr>
      <w:r w:rsidRPr="00CD1339">
        <w:rPr>
          <w:b/>
          <w:bCs/>
          <w:lang w:val="en-IN"/>
        </w:rPr>
        <w:t>Expertise and Networks</w:t>
      </w:r>
      <w:r w:rsidRPr="00CD1339">
        <w:rPr>
          <w:lang w:val="en-IN"/>
        </w:rPr>
        <w:t>: Provides valuable strategic guidance.</w:t>
      </w:r>
    </w:p>
    <w:p w14:paraId="2B6C233A" w14:textId="77777777" w:rsidR="00CD1339" w:rsidRPr="00CD1339" w:rsidRDefault="00CD1339" w:rsidP="00CD1339">
      <w:pPr>
        <w:numPr>
          <w:ilvl w:val="0"/>
          <w:numId w:val="38"/>
        </w:numPr>
        <w:rPr>
          <w:lang w:val="en-IN"/>
        </w:rPr>
      </w:pPr>
      <w:r w:rsidRPr="00CD1339">
        <w:rPr>
          <w:b/>
          <w:bCs/>
          <w:lang w:val="en-IN"/>
        </w:rPr>
        <w:t>No Fixed Payments</w:t>
      </w:r>
      <w:r w:rsidRPr="00CD1339">
        <w:rPr>
          <w:lang w:val="en-IN"/>
        </w:rPr>
        <w:t>: Like equity, no interest or repayment schedules.</w:t>
      </w:r>
    </w:p>
    <w:p w14:paraId="6E9044FB" w14:textId="77777777" w:rsidR="00CD1339" w:rsidRPr="00CD1339" w:rsidRDefault="00CD1339" w:rsidP="00CD1339">
      <w:pPr>
        <w:rPr>
          <w:lang w:val="en-IN"/>
        </w:rPr>
      </w:pPr>
      <w:r w:rsidRPr="00CD1339">
        <w:rPr>
          <w:b/>
          <w:bCs/>
          <w:lang w:val="en-IN"/>
        </w:rPr>
        <w:t>Disadvantages</w:t>
      </w:r>
      <w:r w:rsidRPr="00CD1339">
        <w:rPr>
          <w:lang w:val="en-IN"/>
        </w:rPr>
        <w:t>:</w:t>
      </w:r>
    </w:p>
    <w:p w14:paraId="2FB33404" w14:textId="77777777" w:rsidR="00CD1339" w:rsidRPr="00CD1339" w:rsidRDefault="00CD1339" w:rsidP="00CD1339">
      <w:pPr>
        <w:numPr>
          <w:ilvl w:val="0"/>
          <w:numId w:val="39"/>
        </w:numPr>
        <w:rPr>
          <w:lang w:val="en-IN"/>
        </w:rPr>
      </w:pPr>
      <w:r w:rsidRPr="00CD1339">
        <w:rPr>
          <w:b/>
          <w:bCs/>
          <w:lang w:val="en-IN"/>
        </w:rPr>
        <w:t>Loss of Control</w:t>
      </w:r>
      <w:r w:rsidRPr="00CD1339">
        <w:rPr>
          <w:lang w:val="en-IN"/>
        </w:rPr>
        <w:t>: Venture capitalists demand substantial equity.</w:t>
      </w:r>
    </w:p>
    <w:p w14:paraId="08DF4769" w14:textId="77777777" w:rsidR="00CD1339" w:rsidRPr="00CD1339" w:rsidRDefault="00CD1339" w:rsidP="00CD1339">
      <w:pPr>
        <w:numPr>
          <w:ilvl w:val="0"/>
          <w:numId w:val="39"/>
        </w:numPr>
        <w:rPr>
          <w:lang w:val="en-IN"/>
        </w:rPr>
      </w:pPr>
      <w:r w:rsidRPr="00CD1339">
        <w:rPr>
          <w:b/>
          <w:bCs/>
          <w:lang w:val="en-IN"/>
        </w:rPr>
        <w:t>High Cost</w:t>
      </w:r>
      <w:r w:rsidRPr="00CD1339">
        <w:rPr>
          <w:lang w:val="en-IN"/>
        </w:rPr>
        <w:t>: Expected returns are often high due to risk.</w:t>
      </w:r>
    </w:p>
    <w:p w14:paraId="78C34555" w14:textId="77777777" w:rsidR="00CD1339" w:rsidRPr="00CD1339" w:rsidRDefault="00CD1339" w:rsidP="00CD1339">
      <w:pPr>
        <w:numPr>
          <w:ilvl w:val="0"/>
          <w:numId w:val="39"/>
        </w:numPr>
        <w:rPr>
          <w:lang w:val="en-IN"/>
        </w:rPr>
      </w:pPr>
      <w:r w:rsidRPr="00CD1339">
        <w:rPr>
          <w:b/>
          <w:bCs/>
          <w:lang w:val="en-IN"/>
        </w:rPr>
        <w:t>Demanding Investors</w:t>
      </w:r>
      <w:r w:rsidRPr="00CD1339">
        <w:rPr>
          <w:lang w:val="en-IN"/>
        </w:rPr>
        <w:t>: They seek high returns and a clear exit strategy.</w:t>
      </w:r>
    </w:p>
    <w:p w14:paraId="7647C4F0" w14:textId="1088F77F" w:rsidR="00CD1339" w:rsidRPr="00CD1339" w:rsidRDefault="00CD1339" w:rsidP="00CD1339">
      <w:pPr>
        <w:rPr>
          <w:b/>
          <w:bCs/>
          <w:lang w:val="en-IN"/>
        </w:rPr>
      </w:pPr>
      <w:r w:rsidRPr="00CD1339">
        <w:rPr>
          <w:b/>
          <w:bCs/>
          <w:lang w:val="en-IN"/>
        </w:rPr>
        <w:t>Financing Recommendation</w:t>
      </w:r>
    </w:p>
    <w:p w14:paraId="3A5B1D27" w14:textId="77777777" w:rsidR="00CD1339" w:rsidRPr="00CD1339" w:rsidRDefault="00CD1339" w:rsidP="00CD1339">
      <w:pPr>
        <w:rPr>
          <w:lang w:val="en-IN"/>
        </w:rPr>
      </w:pPr>
      <w:r w:rsidRPr="00CD1339">
        <w:rPr>
          <w:lang w:val="en-IN"/>
        </w:rPr>
        <w:t xml:space="preserve">For </w:t>
      </w:r>
      <w:proofErr w:type="spellStart"/>
      <w:r w:rsidRPr="00CD1339">
        <w:rPr>
          <w:lang w:val="en-IN"/>
        </w:rPr>
        <w:t>Jordons</w:t>
      </w:r>
      <w:proofErr w:type="spellEnd"/>
      <w:r w:rsidRPr="00CD1339">
        <w:rPr>
          <w:lang w:val="en-IN"/>
        </w:rPr>
        <w:t xml:space="preserve"> Plc’s £1.4 million investment programme, a balanced approach combining internal and external financing is advisable.</w:t>
      </w:r>
    </w:p>
    <w:p w14:paraId="547A45A5" w14:textId="77777777" w:rsidR="00CD1339" w:rsidRPr="00CD1339" w:rsidRDefault="00CD1339" w:rsidP="00CD1339">
      <w:pPr>
        <w:rPr>
          <w:lang w:val="en-IN"/>
        </w:rPr>
      </w:pPr>
      <w:r w:rsidRPr="00CD1339">
        <w:rPr>
          <w:b/>
          <w:bCs/>
          <w:lang w:val="en-IN"/>
        </w:rPr>
        <w:t>Start with Retained Earnings</w:t>
      </w:r>
      <w:r w:rsidRPr="00CD1339">
        <w:rPr>
          <w:lang w:val="en-IN"/>
        </w:rPr>
        <w:t>: If available, retained earnings should be used as they are cost-effective and don’t dilute ownership.</w:t>
      </w:r>
    </w:p>
    <w:p w14:paraId="71CEBB08" w14:textId="77777777" w:rsidR="00CD1339" w:rsidRPr="00CD1339" w:rsidRDefault="00CD1339" w:rsidP="00CD1339">
      <w:pPr>
        <w:rPr>
          <w:lang w:val="en-IN"/>
        </w:rPr>
      </w:pPr>
      <w:r w:rsidRPr="00CD1339">
        <w:rPr>
          <w:b/>
          <w:bCs/>
          <w:lang w:val="en-IN"/>
        </w:rPr>
        <w:t>Debt and Equity Mix</w:t>
      </w:r>
      <w:r w:rsidRPr="00CD1339">
        <w:rPr>
          <w:lang w:val="en-IN"/>
        </w:rPr>
        <w:t>: If retained earnings are insufficient, a mix of debt and equity financing is recommended:</w:t>
      </w:r>
    </w:p>
    <w:p w14:paraId="22EA17EC" w14:textId="538F6134" w:rsidR="00CD1339" w:rsidRPr="00CD1339" w:rsidRDefault="00CD1339" w:rsidP="00CD1339">
      <w:pPr>
        <w:numPr>
          <w:ilvl w:val="0"/>
          <w:numId w:val="40"/>
        </w:numPr>
        <w:rPr>
          <w:lang w:val="en-IN"/>
        </w:rPr>
      </w:pPr>
      <w:r w:rsidRPr="00CD1339">
        <w:rPr>
          <w:b/>
          <w:bCs/>
          <w:lang w:val="en-IN"/>
        </w:rPr>
        <w:t>Debt</w:t>
      </w:r>
      <w:r w:rsidRPr="00CD1339">
        <w:rPr>
          <w:lang w:val="en-IN"/>
        </w:rPr>
        <w:t>: A term loan or issuing private placement bonds could provide a significant portion of the required funds. Interest payments are tax-deductible, making debt attractive</w:t>
      </w:r>
      <w:r w:rsidR="005C5EB8" w:rsidRPr="005C5EB8">
        <w:t xml:space="preserve"> </w:t>
      </w:r>
      <w:r w:rsidR="005C5EB8" w:rsidRPr="005C5EB8">
        <w:rPr>
          <w:lang w:val="en-IN"/>
        </w:rPr>
        <w:t>(CFI Team, 2022)</w:t>
      </w:r>
      <w:r w:rsidRPr="00CD1339">
        <w:rPr>
          <w:lang w:val="en-IN"/>
        </w:rPr>
        <w:t>.</w:t>
      </w:r>
    </w:p>
    <w:p w14:paraId="09A46F83" w14:textId="77777777" w:rsidR="00CD1339" w:rsidRPr="00CD1339" w:rsidRDefault="00CD1339" w:rsidP="00CD1339">
      <w:pPr>
        <w:numPr>
          <w:ilvl w:val="0"/>
          <w:numId w:val="40"/>
        </w:numPr>
        <w:rPr>
          <w:lang w:val="en-IN"/>
        </w:rPr>
      </w:pPr>
      <w:r w:rsidRPr="00CD1339">
        <w:rPr>
          <w:b/>
          <w:bCs/>
          <w:lang w:val="en-IN"/>
        </w:rPr>
        <w:lastRenderedPageBreak/>
        <w:t>Equity</w:t>
      </w:r>
      <w:r w:rsidRPr="00CD1339">
        <w:rPr>
          <w:lang w:val="en-IN"/>
        </w:rPr>
        <w:t>: A rights issue or private placement could raise additional equity. While it dilutes ownership, it reduces financial risk and strengthens the balance sheet.</w:t>
      </w:r>
    </w:p>
    <w:p w14:paraId="04569F9A" w14:textId="77777777" w:rsidR="00CD1339" w:rsidRPr="00CD1339" w:rsidRDefault="00CD1339" w:rsidP="00CD1339">
      <w:pPr>
        <w:rPr>
          <w:lang w:val="en-IN"/>
        </w:rPr>
      </w:pPr>
      <w:r w:rsidRPr="00CD1339">
        <w:rPr>
          <w:b/>
          <w:bCs/>
          <w:lang w:val="en-IN"/>
        </w:rPr>
        <w:t>Other Sources for Specific Needs</w:t>
      </w:r>
      <w:r w:rsidRPr="00CD1339">
        <w:rPr>
          <w:lang w:val="en-IN"/>
        </w:rPr>
        <w:t>:</w:t>
      </w:r>
    </w:p>
    <w:p w14:paraId="0A359477" w14:textId="77777777" w:rsidR="00CD1339" w:rsidRPr="00CD1339" w:rsidRDefault="00CD1339" w:rsidP="00CD1339">
      <w:pPr>
        <w:numPr>
          <w:ilvl w:val="0"/>
          <w:numId w:val="41"/>
        </w:numPr>
        <w:rPr>
          <w:lang w:val="en-IN"/>
        </w:rPr>
      </w:pPr>
      <w:r w:rsidRPr="00CD1339">
        <w:rPr>
          <w:b/>
          <w:bCs/>
          <w:lang w:val="en-IN"/>
        </w:rPr>
        <w:t>Leasing</w:t>
      </w:r>
      <w:r w:rsidRPr="00CD1339">
        <w:rPr>
          <w:lang w:val="en-IN"/>
        </w:rPr>
        <w:t>: If specific new assets are needed, leasing could be an option to preserve capital.</w:t>
      </w:r>
    </w:p>
    <w:p w14:paraId="448D5194" w14:textId="752EC399" w:rsidR="00CD1339" w:rsidRPr="00CD1339" w:rsidRDefault="00CD1339" w:rsidP="00CD1339">
      <w:pPr>
        <w:numPr>
          <w:ilvl w:val="0"/>
          <w:numId w:val="41"/>
        </w:numPr>
        <w:rPr>
          <w:lang w:val="en-IN"/>
        </w:rPr>
      </w:pPr>
      <w:r w:rsidRPr="00CD1339">
        <w:rPr>
          <w:b/>
          <w:bCs/>
          <w:lang w:val="en-IN"/>
        </w:rPr>
        <w:t>Government Grants</w:t>
      </w:r>
      <w:r w:rsidRPr="00CD1339">
        <w:rPr>
          <w:lang w:val="en-IN"/>
        </w:rPr>
        <w:t xml:space="preserve">: </w:t>
      </w:r>
      <w:proofErr w:type="spellStart"/>
      <w:r w:rsidRPr="00CD1339">
        <w:rPr>
          <w:lang w:val="en-IN"/>
        </w:rPr>
        <w:t>Jordons</w:t>
      </w:r>
      <w:proofErr w:type="spellEnd"/>
      <w:r w:rsidRPr="00CD1339">
        <w:rPr>
          <w:lang w:val="en-IN"/>
        </w:rPr>
        <w:t xml:space="preserve"> Plc should explore any available grants, especially for expansion projects in line with regional or innovation initiatives</w:t>
      </w:r>
      <w:r w:rsidR="005C5EB8" w:rsidRPr="005C5EB8">
        <w:t xml:space="preserve"> </w:t>
      </w:r>
      <w:r w:rsidR="005C5EB8" w:rsidRPr="005C5EB8">
        <w:rPr>
          <w:lang w:val="en-IN"/>
        </w:rPr>
        <w:t>(CFI Team, 2022)</w:t>
      </w:r>
      <w:r w:rsidRPr="00CD1339">
        <w:rPr>
          <w:lang w:val="en-IN"/>
        </w:rPr>
        <w:t>.</w:t>
      </w:r>
    </w:p>
    <w:p w14:paraId="6186798F" w14:textId="006FC731" w:rsidR="00CD1339" w:rsidRDefault="00CD1339">
      <w:pPr>
        <w:spacing w:line="259" w:lineRule="auto"/>
        <w:jc w:val="left"/>
      </w:pPr>
      <w:r>
        <w:br w:type="page"/>
      </w:r>
    </w:p>
    <w:p w14:paraId="5B394365" w14:textId="5FBD6036" w:rsidR="00FC49A9" w:rsidRDefault="00CD1339" w:rsidP="00CD1339">
      <w:pPr>
        <w:pStyle w:val="Heading1"/>
      </w:pPr>
      <w:bookmarkStart w:id="10" w:name="_Toc203885439"/>
      <w:r>
        <w:lastRenderedPageBreak/>
        <w:t>References</w:t>
      </w:r>
      <w:bookmarkEnd w:id="10"/>
      <w:r>
        <w:t xml:space="preserve"> </w:t>
      </w:r>
    </w:p>
    <w:p w14:paraId="08602FFB" w14:textId="4F60D63B" w:rsidR="007D0795" w:rsidRPr="007D0795" w:rsidRDefault="007D0795" w:rsidP="007D0795">
      <w:r>
        <w:t>Kindly open the attached PDF to view the reference list.</w:t>
      </w:r>
    </w:p>
    <w:p w14:paraId="250E737D" w14:textId="3357A018" w:rsidR="00185C77" w:rsidRDefault="00185C77" w:rsidP="00321F0D">
      <w:r>
        <w:object w:dxaOrig="1520" w:dyaOrig="987" w14:anchorId="2A886C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pt;height:1in" o:ole="">
            <v:imagedata r:id="rId11" o:title=""/>
          </v:shape>
          <o:OLEObject Type="Embed" ProgID="Acrobat.Document.DC" ShapeID="_x0000_i1025" DrawAspect="Icon" ObjectID="_1814531553" r:id="rId12"/>
        </w:object>
      </w:r>
    </w:p>
    <w:p w14:paraId="31FBE251" w14:textId="77777777" w:rsidR="00185C77" w:rsidRDefault="00185C77" w:rsidP="00321F0D"/>
    <w:p w14:paraId="799411AD" w14:textId="77777777" w:rsidR="00185C77" w:rsidRDefault="00185C77" w:rsidP="00321F0D"/>
    <w:p w14:paraId="51255F27" w14:textId="27260B81" w:rsidR="005C5EB8" w:rsidRPr="00321F0D" w:rsidRDefault="005C5EB8" w:rsidP="00321F0D">
      <w:pPr>
        <w:rPr>
          <w:rFonts w:cs="Times New Roman"/>
        </w:rPr>
      </w:pPr>
      <w:r w:rsidRPr="00321F0D">
        <w:rPr>
          <w:rFonts w:cs="Times New Roman"/>
        </w:rPr>
        <w:br w:type="page"/>
      </w:r>
    </w:p>
    <w:p w14:paraId="443651A4" w14:textId="310ABD70" w:rsidR="00CD1339" w:rsidRDefault="005C5EB8" w:rsidP="005C5EB8">
      <w:pPr>
        <w:pStyle w:val="Heading1"/>
      </w:pPr>
      <w:bookmarkStart w:id="11" w:name="_Toc203885440"/>
      <w:r>
        <w:lastRenderedPageBreak/>
        <w:t>Appendix</w:t>
      </w:r>
      <w:bookmarkEnd w:id="11"/>
      <w:r>
        <w:t xml:space="preserve"> </w:t>
      </w:r>
    </w:p>
    <w:p w14:paraId="1BBA1545" w14:textId="76BC05A6" w:rsidR="005C5EB8" w:rsidRDefault="005C5EB8" w:rsidP="005C5EB8">
      <w:pPr>
        <w:pStyle w:val="Heading2"/>
      </w:pPr>
      <w:bookmarkStart w:id="12" w:name="_Toc203885441"/>
      <w:r>
        <w:t>Financial Statement</w:t>
      </w:r>
      <w:bookmarkEnd w:id="12"/>
    </w:p>
    <w:p w14:paraId="6B0B7FDE" w14:textId="16044328" w:rsidR="005C5EB8" w:rsidRDefault="00D932AD" w:rsidP="005C5EB8">
      <w:r>
        <w:object w:dxaOrig="1520" w:dyaOrig="987" w14:anchorId="0885F492">
          <v:shape id="_x0000_i1026" type="#_x0000_t75" style="width:76.5pt;height:49.5pt" o:ole="">
            <v:imagedata r:id="rId13" o:title=""/>
          </v:shape>
          <o:OLEObject Type="Embed" ProgID="Acrobat.Document.DC" ShapeID="_x0000_i1026" DrawAspect="Icon" ObjectID="_1814531554" r:id="rId14"/>
        </w:object>
      </w:r>
    </w:p>
    <w:p w14:paraId="42E5049E" w14:textId="77777777" w:rsidR="00354176" w:rsidRDefault="00354176" w:rsidP="00354176">
      <w:pPr>
        <w:keepNext/>
        <w:jc w:val="center"/>
      </w:pPr>
      <w:r w:rsidRPr="00354176">
        <w:rPr>
          <w:noProof/>
        </w:rPr>
        <w:drawing>
          <wp:inline distT="0" distB="0" distL="0" distR="0" wp14:anchorId="49073308" wp14:editId="2E1A3ECB">
            <wp:extent cx="5731510" cy="2971800"/>
            <wp:effectExtent l="0" t="0" r="2540" b="0"/>
            <wp:docPr id="1013627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27971" name=""/>
                    <pic:cNvPicPr/>
                  </pic:nvPicPr>
                  <pic:blipFill>
                    <a:blip r:embed="rId15"/>
                    <a:stretch>
                      <a:fillRect/>
                    </a:stretch>
                  </pic:blipFill>
                  <pic:spPr>
                    <a:xfrm>
                      <a:off x="0" y="0"/>
                      <a:ext cx="5731510" cy="2971800"/>
                    </a:xfrm>
                    <a:prstGeom prst="rect">
                      <a:avLst/>
                    </a:prstGeom>
                  </pic:spPr>
                </pic:pic>
              </a:graphicData>
            </a:graphic>
          </wp:inline>
        </w:drawing>
      </w:r>
    </w:p>
    <w:p w14:paraId="0315DB95" w14:textId="0AC9A435" w:rsidR="00354176" w:rsidRDefault="00354176" w:rsidP="00354176">
      <w:pPr>
        <w:pStyle w:val="Caption"/>
        <w:rPr>
          <w:lang w:val="en-US"/>
        </w:rPr>
      </w:pPr>
      <w:r>
        <w:t xml:space="preserve">Figure </w:t>
      </w:r>
      <w:r>
        <w:fldChar w:fldCharType="begin"/>
      </w:r>
      <w:r>
        <w:instrText xml:space="preserve"> SEQ Figure \* ARABIC </w:instrText>
      </w:r>
      <w:r>
        <w:fldChar w:fldCharType="separate"/>
      </w:r>
      <w:r w:rsidR="0021196D">
        <w:rPr>
          <w:noProof/>
        </w:rPr>
        <w:t>2</w:t>
      </w:r>
      <w:r>
        <w:fldChar w:fldCharType="end"/>
      </w:r>
      <w:r>
        <w:rPr>
          <w:lang w:val="en-US"/>
        </w:rPr>
        <w:t>: Consolidated Income Statement</w:t>
      </w:r>
    </w:p>
    <w:p w14:paraId="5EFA4771" w14:textId="77777777" w:rsidR="00354176" w:rsidRDefault="00354176" w:rsidP="00354176">
      <w:pPr>
        <w:keepNext/>
        <w:jc w:val="center"/>
      </w:pPr>
      <w:r w:rsidRPr="00354176">
        <w:rPr>
          <w:noProof/>
          <w:lang w:val="en-US"/>
        </w:rPr>
        <w:drawing>
          <wp:inline distT="0" distB="0" distL="0" distR="0" wp14:anchorId="26F73DAB" wp14:editId="249F4F46">
            <wp:extent cx="5731510" cy="2999740"/>
            <wp:effectExtent l="0" t="0" r="2540" b="0"/>
            <wp:docPr id="324219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219137" name=""/>
                    <pic:cNvPicPr/>
                  </pic:nvPicPr>
                  <pic:blipFill>
                    <a:blip r:embed="rId16"/>
                    <a:stretch>
                      <a:fillRect/>
                    </a:stretch>
                  </pic:blipFill>
                  <pic:spPr>
                    <a:xfrm>
                      <a:off x="0" y="0"/>
                      <a:ext cx="5731510" cy="2999740"/>
                    </a:xfrm>
                    <a:prstGeom prst="rect">
                      <a:avLst/>
                    </a:prstGeom>
                  </pic:spPr>
                </pic:pic>
              </a:graphicData>
            </a:graphic>
          </wp:inline>
        </w:drawing>
      </w:r>
    </w:p>
    <w:p w14:paraId="7701898B" w14:textId="2F4E11DF" w:rsidR="00354176" w:rsidRDefault="00354176" w:rsidP="00354176">
      <w:pPr>
        <w:pStyle w:val="Caption"/>
        <w:rPr>
          <w:lang w:val="en-US"/>
        </w:rPr>
      </w:pPr>
      <w:r>
        <w:t xml:space="preserve">Figure </w:t>
      </w:r>
      <w:r>
        <w:fldChar w:fldCharType="begin"/>
      </w:r>
      <w:r>
        <w:instrText xml:space="preserve"> SEQ Figure \* ARABIC </w:instrText>
      </w:r>
      <w:r>
        <w:fldChar w:fldCharType="separate"/>
      </w:r>
      <w:r w:rsidR="0021196D">
        <w:rPr>
          <w:noProof/>
        </w:rPr>
        <w:t>3</w:t>
      </w:r>
      <w:r>
        <w:fldChar w:fldCharType="end"/>
      </w:r>
      <w:r>
        <w:rPr>
          <w:lang w:val="en-US"/>
        </w:rPr>
        <w:t>: Consolidated Statement of Comprehensive Income</w:t>
      </w:r>
    </w:p>
    <w:p w14:paraId="30E524AA" w14:textId="77777777" w:rsidR="00354176" w:rsidRDefault="00354176" w:rsidP="00354176">
      <w:pPr>
        <w:keepNext/>
        <w:jc w:val="center"/>
      </w:pPr>
      <w:r w:rsidRPr="00354176">
        <w:rPr>
          <w:noProof/>
          <w:lang w:val="en-US"/>
        </w:rPr>
        <w:lastRenderedPageBreak/>
        <w:drawing>
          <wp:inline distT="0" distB="0" distL="0" distR="0" wp14:anchorId="10221903" wp14:editId="4E41AF04">
            <wp:extent cx="5731510" cy="4005580"/>
            <wp:effectExtent l="0" t="0" r="2540" b="0"/>
            <wp:docPr id="2101787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787486" name=""/>
                    <pic:cNvPicPr/>
                  </pic:nvPicPr>
                  <pic:blipFill>
                    <a:blip r:embed="rId17"/>
                    <a:stretch>
                      <a:fillRect/>
                    </a:stretch>
                  </pic:blipFill>
                  <pic:spPr>
                    <a:xfrm>
                      <a:off x="0" y="0"/>
                      <a:ext cx="5731510" cy="4005580"/>
                    </a:xfrm>
                    <a:prstGeom prst="rect">
                      <a:avLst/>
                    </a:prstGeom>
                  </pic:spPr>
                </pic:pic>
              </a:graphicData>
            </a:graphic>
          </wp:inline>
        </w:drawing>
      </w:r>
    </w:p>
    <w:p w14:paraId="0D02BCF9" w14:textId="307C3E55" w:rsidR="00354176" w:rsidRDefault="00354176" w:rsidP="00354176">
      <w:pPr>
        <w:pStyle w:val="Caption"/>
        <w:rPr>
          <w:lang w:val="en-US"/>
        </w:rPr>
      </w:pPr>
      <w:r>
        <w:t xml:space="preserve">Figure </w:t>
      </w:r>
      <w:r>
        <w:fldChar w:fldCharType="begin"/>
      </w:r>
      <w:r>
        <w:instrText xml:space="preserve"> SEQ Figure \* ARABIC </w:instrText>
      </w:r>
      <w:r>
        <w:fldChar w:fldCharType="separate"/>
      </w:r>
      <w:r w:rsidR="0021196D">
        <w:rPr>
          <w:noProof/>
        </w:rPr>
        <w:t>4</w:t>
      </w:r>
      <w:r>
        <w:fldChar w:fldCharType="end"/>
      </w:r>
      <w:r>
        <w:rPr>
          <w:lang w:val="en-US"/>
        </w:rPr>
        <w:t>: Consolidated Balance Sheet</w:t>
      </w:r>
    </w:p>
    <w:p w14:paraId="01F502F1" w14:textId="77777777" w:rsidR="00354176" w:rsidRDefault="00354176" w:rsidP="00354176">
      <w:pPr>
        <w:keepNext/>
        <w:jc w:val="center"/>
      </w:pPr>
      <w:r w:rsidRPr="00354176">
        <w:rPr>
          <w:noProof/>
          <w:lang w:val="en-US"/>
        </w:rPr>
        <w:drawing>
          <wp:inline distT="0" distB="0" distL="0" distR="0" wp14:anchorId="7D607F90" wp14:editId="41C90FAB">
            <wp:extent cx="5273842" cy="3726630"/>
            <wp:effectExtent l="0" t="0" r="3175" b="7620"/>
            <wp:docPr id="2032130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130091" name=""/>
                    <pic:cNvPicPr/>
                  </pic:nvPicPr>
                  <pic:blipFill>
                    <a:blip r:embed="rId18"/>
                    <a:stretch>
                      <a:fillRect/>
                    </a:stretch>
                  </pic:blipFill>
                  <pic:spPr>
                    <a:xfrm>
                      <a:off x="0" y="0"/>
                      <a:ext cx="5276851" cy="3728756"/>
                    </a:xfrm>
                    <a:prstGeom prst="rect">
                      <a:avLst/>
                    </a:prstGeom>
                  </pic:spPr>
                </pic:pic>
              </a:graphicData>
            </a:graphic>
          </wp:inline>
        </w:drawing>
      </w:r>
    </w:p>
    <w:p w14:paraId="79AFE5AE" w14:textId="04C972E7" w:rsidR="00354176" w:rsidRPr="00354176" w:rsidRDefault="00354176" w:rsidP="00354176">
      <w:pPr>
        <w:pStyle w:val="Caption"/>
        <w:rPr>
          <w:lang w:val="en-US"/>
        </w:rPr>
      </w:pPr>
      <w:r>
        <w:t xml:space="preserve">Figure </w:t>
      </w:r>
      <w:r>
        <w:fldChar w:fldCharType="begin"/>
      </w:r>
      <w:r>
        <w:instrText xml:space="preserve"> SEQ Figure \* ARABIC </w:instrText>
      </w:r>
      <w:r>
        <w:fldChar w:fldCharType="separate"/>
      </w:r>
      <w:r w:rsidR="0021196D">
        <w:rPr>
          <w:noProof/>
        </w:rPr>
        <w:t>5</w:t>
      </w:r>
      <w:r>
        <w:fldChar w:fldCharType="end"/>
      </w:r>
      <w:r>
        <w:rPr>
          <w:lang w:val="en-US"/>
        </w:rPr>
        <w:t>: Consolidated Cashflow Statement</w:t>
      </w:r>
    </w:p>
    <w:p w14:paraId="2706F25B" w14:textId="672C41D4" w:rsidR="00354176" w:rsidRDefault="00354176" w:rsidP="00354176">
      <w:pPr>
        <w:pStyle w:val="Heading2"/>
      </w:pPr>
      <w:bookmarkStart w:id="13" w:name="_Toc203885442"/>
      <w:r>
        <w:lastRenderedPageBreak/>
        <w:t>Ratio Calculations</w:t>
      </w:r>
      <w:bookmarkEnd w:id="13"/>
    </w:p>
    <w:tbl>
      <w:tblPr>
        <w:tblStyle w:val="GridTable4-Accent4"/>
        <w:tblW w:w="6560" w:type="dxa"/>
        <w:jc w:val="center"/>
        <w:tblLook w:val="04A0" w:firstRow="1" w:lastRow="0" w:firstColumn="1" w:lastColumn="0" w:noHBand="0" w:noVBand="1"/>
      </w:tblPr>
      <w:tblGrid>
        <w:gridCol w:w="3876"/>
        <w:gridCol w:w="996"/>
        <w:gridCol w:w="996"/>
        <w:gridCol w:w="960"/>
      </w:tblGrid>
      <w:tr w:rsidR="00354176" w:rsidRPr="00354176" w14:paraId="16E8F6E3" w14:textId="77777777" w:rsidTr="00354176">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5600" w:type="dxa"/>
            <w:gridSpan w:val="3"/>
            <w:noWrap/>
            <w:hideMark/>
          </w:tcPr>
          <w:p w14:paraId="42692180" w14:textId="77777777" w:rsidR="00354176" w:rsidRPr="00354176" w:rsidRDefault="00354176" w:rsidP="00354176">
            <w:pPr>
              <w:rPr>
                <w:lang w:val="en-IN" w:eastAsia="en-IN" w:bidi="bn-BD"/>
              </w:rPr>
            </w:pPr>
            <w:r w:rsidRPr="00354176">
              <w:rPr>
                <w:lang w:val="en-IN" w:eastAsia="en-IN" w:bidi="bn-BD"/>
              </w:rPr>
              <w:t xml:space="preserve">Profitability Ratios </w:t>
            </w:r>
          </w:p>
        </w:tc>
        <w:tc>
          <w:tcPr>
            <w:tcW w:w="960" w:type="dxa"/>
            <w:noWrap/>
            <w:hideMark/>
          </w:tcPr>
          <w:p w14:paraId="5636FF32" w14:textId="77777777" w:rsidR="00354176" w:rsidRPr="00354176" w:rsidRDefault="00354176" w:rsidP="00354176">
            <w:pPr>
              <w:cnfStyle w:val="100000000000" w:firstRow="1" w:lastRow="0" w:firstColumn="0" w:lastColumn="0" w:oddVBand="0" w:evenVBand="0" w:oddHBand="0" w:evenHBand="0" w:firstRowFirstColumn="0" w:firstRowLastColumn="0" w:lastRowFirstColumn="0" w:lastRowLastColumn="0"/>
              <w:rPr>
                <w:lang w:val="en-IN" w:eastAsia="en-IN" w:bidi="bn-BD"/>
              </w:rPr>
            </w:pPr>
          </w:p>
        </w:tc>
      </w:tr>
      <w:tr w:rsidR="00354176" w:rsidRPr="00354176" w14:paraId="7C89295F" w14:textId="77777777" w:rsidTr="00354176">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02540E27" w14:textId="77777777" w:rsidR="00354176" w:rsidRPr="00354176" w:rsidRDefault="00354176" w:rsidP="00354176">
            <w:pPr>
              <w:rPr>
                <w:sz w:val="20"/>
                <w:szCs w:val="20"/>
                <w:lang w:val="en-IN" w:eastAsia="en-IN" w:bidi="bn-BD"/>
              </w:rPr>
            </w:pPr>
          </w:p>
        </w:tc>
        <w:tc>
          <w:tcPr>
            <w:tcW w:w="862" w:type="dxa"/>
            <w:noWrap/>
            <w:hideMark/>
          </w:tcPr>
          <w:p w14:paraId="6DAF9DAC"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2024</w:t>
            </w:r>
          </w:p>
        </w:tc>
        <w:tc>
          <w:tcPr>
            <w:tcW w:w="862" w:type="dxa"/>
            <w:noWrap/>
            <w:hideMark/>
          </w:tcPr>
          <w:p w14:paraId="0540AF79"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2023</w:t>
            </w:r>
          </w:p>
        </w:tc>
        <w:tc>
          <w:tcPr>
            <w:tcW w:w="960" w:type="dxa"/>
            <w:noWrap/>
            <w:hideMark/>
          </w:tcPr>
          <w:p w14:paraId="1D98733A"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p>
        </w:tc>
      </w:tr>
      <w:tr w:rsidR="00354176" w:rsidRPr="00354176" w14:paraId="5932D187" w14:textId="77777777" w:rsidTr="00354176">
        <w:trPr>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35050F48" w14:textId="77777777" w:rsidR="00354176" w:rsidRPr="00354176" w:rsidRDefault="00354176" w:rsidP="00354176">
            <w:pPr>
              <w:rPr>
                <w:lang w:val="en-IN" w:eastAsia="en-IN" w:bidi="bn-BD"/>
              </w:rPr>
            </w:pPr>
            <w:r w:rsidRPr="00354176">
              <w:rPr>
                <w:lang w:val="en-IN" w:eastAsia="en-IN" w:bidi="bn-BD"/>
              </w:rPr>
              <w:t xml:space="preserve">Gross Profit Margin </w:t>
            </w:r>
          </w:p>
        </w:tc>
        <w:tc>
          <w:tcPr>
            <w:tcW w:w="862" w:type="dxa"/>
            <w:noWrap/>
            <w:hideMark/>
          </w:tcPr>
          <w:p w14:paraId="1E281B0B"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p>
        </w:tc>
        <w:tc>
          <w:tcPr>
            <w:tcW w:w="862" w:type="dxa"/>
            <w:noWrap/>
            <w:hideMark/>
          </w:tcPr>
          <w:p w14:paraId="03A23F54"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sz w:val="20"/>
                <w:szCs w:val="20"/>
                <w:lang w:val="en-IN" w:eastAsia="en-IN" w:bidi="bn-BD"/>
              </w:rPr>
            </w:pPr>
          </w:p>
        </w:tc>
        <w:tc>
          <w:tcPr>
            <w:tcW w:w="960" w:type="dxa"/>
            <w:noWrap/>
            <w:hideMark/>
          </w:tcPr>
          <w:p w14:paraId="02643430"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sz w:val="20"/>
                <w:szCs w:val="20"/>
                <w:lang w:val="en-IN" w:eastAsia="en-IN" w:bidi="bn-BD"/>
              </w:rPr>
            </w:pPr>
          </w:p>
        </w:tc>
      </w:tr>
      <w:tr w:rsidR="00354176" w:rsidRPr="00354176" w14:paraId="306C0A21" w14:textId="77777777" w:rsidTr="00354176">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0D9D1BD0" w14:textId="77777777" w:rsidR="00354176" w:rsidRPr="00354176" w:rsidRDefault="00354176" w:rsidP="00354176">
            <w:pPr>
              <w:rPr>
                <w:lang w:val="en-IN" w:eastAsia="en-IN" w:bidi="bn-BD"/>
              </w:rPr>
            </w:pPr>
            <w:r w:rsidRPr="00354176">
              <w:rPr>
                <w:lang w:val="en-IN" w:eastAsia="en-IN" w:bidi="bn-BD"/>
              </w:rPr>
              <w:t xml:space="preserve">Operating Profit Margin </w:t>
            </w:r>
          </w:p>
        </w:tc>
        <w:tc>
          <w:tcPr>
            <w:tcW w:w="862" w:type="dxa"/>
            <w:noWrap/>
            <w:hideMark/>
          </w:tcPr>
          <w:p w14:paraId="5F40B707"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18.96%</w:t>
            </w:r>
          </w:p>
        </w:tc>
        <w:tc>
          <w:tcPr>
            <w:tcW w:w="862" w:type="dxa"/>
            <w:noWrap/>
            <w:hideMark/>
          </w:tcPr>
          <w:p w14:paraId="50BA77C9"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15.75%</w:t>
            </w:r>
          </w:p>
        </w:tc>
        <w:tc>
          <w:tcPr>
            <w:tcW w:w="960" w:type="dxa"/>
            <w:noWrap/>
            <w:hideMark/>
          </w:tcPr>
          <w:p w14:paraId="1C92379C"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p>
        </w:tc>
      </w:tr>
      <w:tr w:rsidR="00354176" w:rsidRPr="00354176" w14:paraId="0B966075" w14:textId="77777777" w:rsidTr="00354176">
        <w:trPr>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3BCD5F24" w14:textId="77777777" w:rsidR="00354176" w:rsidRPr="00354176" w:rsidRDefault="00354176" w:rsidP="00354176">
            <w:pPr>
              <w:rPr>
                <w:lang w:val="en-IN" w:eastAsia="en-IN" w:bidi="bn-BD"/>
              </w:rPr>
            </w:pPr>
            <w:r w:rsidRPr="00354176">
              <w:rPr>
                <w:lang w:val="en-IN" w:eastAsia="en-IN" w:bidi="bn-BD"/>
              </w:rPr>
              <w:t>Net Profit Margin</w:t>
            </w:r>
          </w:p>
        </w:tc>
        <w:tc>
          <w:tcPr>
            <w:tcW w:w="862" w:type="dxa"/>
            <w:noWrap/>
            <w:hideMark/>
          </w:tcPr>
          <w:p w14:paraId="50C7C909"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10.54%</w:t>
            </w:r>
          </w:p>
        </w:tc>
        <w:tc>
          <w:tcPr>
            <w:tcW w:w="862" w:type="dxa"/>
            <w:noWrap/>
            <w:hideMark/>
          </w:tcPr>
          <w:p w14:paraId="1B7839C2"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10.62%</w:t>
            </w:r>
          </w:p>
        </w:tc>
        <w:tc>
          <w:tcPr>
            <w:tcW w:w="960" w:type="dxa"/>
            <w:noWrap/>
            <w:hideMark/>
          </w:tcPr>
          <w:p w14:paraId="6E4C98FF"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p>
        </w:tc>
      </w:tr>
      <w:tr w:rsidR="00354176" w:rsidRPr="00354176" w14:paraId="38171F61" w14:textId="77777777" w:rsidTr="00354176">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22FF18AF" w14:textId="77777777" w:rsidR="00354176" w:rsidRPr="00354176" w:rsidRDefault="00354176" w:rsidP="00354176">
            <w:pPr>
              <w:rPr>
                <w:lang w:val="en-IN" w:eastAsia="en-IN" w:bidi="bn-BD"/>
              </w:rPr>
            </w:pPr>
            <w:r w:rsidRPr="00354176">
              <w:rPr>
                <w:lang w:val="en-IN" w:eastAsia="en-IN" w:bidi="bn-BD"/>
              </w:rPr>
              <w:t>Return on Asset (ROA)</w:t>
            </w:r>
          </w:p>
        </w:tc>
        <w:tc>
          <w:tcPr>
            <w:tcW w:w="862" w:type="dxa"/>
            <w:noWrap/>
            <w:hideMark/>
          </w:tcPr>
          <w:p w14:paraId="2F62C38C"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5.89%</w:t>
            </w:r>
          </w:p>
        </w:tc>
        <w:tc>
          <w:tcPr>
            <w:tcW w:w="862" w:type="dxa"/>
            <w:noWrap/>
            <w:hideMark/>
          </w:tcPr>
          <w:p w14:paraId="7AF4A0C1"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4.16%</w:t>
            </w:r>
          </w:p>
        </w:tc>
        <w:tc>
          <w:tcPr>
            <w:tcW w:w="960" w:type="dxa"/>
            <w:noWrap/>
            <w:hideMark/>
          </w:tcPr>
          <w:p w14:paraId="15C81695"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p>
        </w:tc>
      </w:tr>
      <w:tr w:rsidR="00354176" w:rsidRPr="00354176" w14:paraId="268DE151" w14:textId="77777777" w:rsidTr="00354176">
        <w:trPr>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6A1BB07D" w14:textId="77777777" w:rsidR="00354176" w:rsidRPr="00354176" w:rsidRDefault="00354176" w:rsidP="00354176">
            <w:pPr>
              <w:rPr>
                <w:lang w:val="en-IN" w:eastAsia="en-IN" w:bidi="bn-BD"/>
              </w:rPr>
            </w:pPr>
            <w:r w:rsidRPr="00354176">
              <w:rPr>
                <w:lang w:val="en-IN" w:eastAsia="en-IN" w:bidi="bn-BD"/>
              </w:rPr>
              <w:t>Return on Equity (ROE)</w:t>
            </w:r>
          </w:p>
        </w:tc>
        <w:tc>
          <w:tcPr>
            <w:tcW w:w="862" w:type="dxa"/>
            <w:noWrap/>
            <w:hideMark/>
          </w:tcPr>
          <w:p w14:paraId="434EACF6"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8.87%</w:t>
            </w:r>
          </w:p>
        </w:tc>
        <w:tc>
          <w:tcPr>
            <w:tcW w:w="862" w:type="dxa"/>
            <w:noWrap/>
            <w:hideMark/>
          </w:tcPr>
          <w:p w14:paraId="3C4E3561"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6.78%</w:t>
            </w:r>
          </w:p>
        </w:tc>
        <w:tc>
          <w:tcPr>
            <w:tcW w:w="960" w:type="dxa"/>
            <w:noWrap/>
            <w:hideMark/>
          </w:tcPr>
          <w:p w14:paraId="1F62A62D"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p>
        </w:tc>
      </w:tr>
      <w:tr w:rsidR="00354176" w:rsidRPr="00354176" w14:paraId="066E5287" w14:textId="77777777" w:rsidTr="00354176">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2C09B984" w14:textId="77777777" w:rsidR="00354176" w:rsidRPr="00354176" w:rsidRDefault="00354176" w:rsidP="00354176">
            <w:pPr>
              <w:rPr>
                <w:lang w:val="en-IN" w:eastAsia="en-IN" w:bidi="bn-BD"/>
              </w:rPr>
            </w:pPr>
            <w:r w:rsidRPr="00354176">
              <w:rPr>
                <w:lang w:val="en-IN" w:eastAsia="en-IN" w:bidi="bn-BD"/>
              </w:rPr>
              <w:t>Return on Capital Employed (ROCE)</w:t>
            </w:r>
          </w:p>
        </w:tc>
        <w:tc>
          <w:tcPr>
            <w:tcW w:w="862" w:type="dxa"/>
            <w:noWrap/>
            <w:hideMark/>
          </w:tcPr>
          <w:p w14:paraId="0C1ED5AC"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6.49%</w:t>
            </w:r>
          </w:p>
        </w:tc>
        <w:tc>
          <w:tcPr>
            <w:tcW w:w="862" w:type="dxa"/>
            <w:noWrap/>
            <w:hideMark/>
          </w:tcPr>
          <w:p w14:paraId="15F7DD5C"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4.54%</w:t>
            </w:r>
          </w:p>
        </w:tc>
        <w:tc>
          <w:tcPr>
            <w:tcW w:w="960" w:type="dxa"/>
            <w:noWrap/>
            <w:hideMark/>
          </w:tcPr>
          <w:p w14:paraId="60F3DCE6"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p>
        </w:tc>
      </w:tr>
      <w:tr w:rsidR="00354176" w:rsidRPr="00354176" w14:paraId="66CCAB1F" w14:textId="77777777" w:rsidTr="00354176">
        <w:trPr>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5160B8E5" w14:textId="77777777" w:rsidR="00354176" w:rsidRPr="00354176" w:rsidRDefault="00354176" w:rsidP="00354176">
            <w:pPr>
              <w:rPr>
                <w:sz w:val="20"/>
                <w:szCs w:val="20"/>
                <w:lang w:val="en-IN" w:eastAsia="en-IN" w:bidi="bn-BD"/>
              </w:rPr>
            </w:pPr>
          </w:p>
        </w:tc>
        <w:tc>
          <w:tcPr>
            <w:tcW w:w="862" w:type="dxa"/>
            <w:noWrap/>
            <w:hideMark/>
          </w:tcPr>
          <w:p w14:paraId="06A1F758"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sz w:val="20"/>
                <w:szCs w:val="20"/>
                <w:lang w:val="en-IN" w:eastAsia="en-IN" w:bidi="bn-BD"/>
              </w:rPr>
            </w:pPr>
          </w:p>
        </w:tc>
        <w:tc>
          <w:tcPr>
            <w:tcW w:w="862" w:type="dxa"/>
            <w:noWrap/>
            <w:hideMark/>
          </w:tcPr>
          <w:p w14:paraId="0E9AAFC2"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sz w:val="20"/>
                <w:szCs w:val="20"/>
                <w:lang w:val="en-IN" w:eastAsia="en-IN" w:bidi="bn-BD"/>
              </w:rPr>
            </w:pPr>
          </w:p>
        </w:tc>
        <w:tc>
          <w:tcPr>
            <w:tcW w:w="960" w:type="dxa"/>
            <w:noWrap/>
            <w:hideMark/>
          </w:tcPr>
          <w:p w14:paraId="5F554F36"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sz w:val="20"/>
                <w:szCs w:val="20"/>
                <w:lang w:val="en-IN" w:eastAsia="en-IN" w:bidi="bn-BD"/>
              </w:rPr>
            </w:pPr>
          </w:p>
        </w:tc>
      </w:tr>
      <w:tr w:rsidR="00354176" w:rsidRPr="00354176" w14:paraId="79AC43DD" w14:textId="77777777" w:rsidTr="00354176">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54CDC2AA" w14:textId="77777777" w:rsidR="00354176" w:rsidRPr="00354176" w:rsidRDefault="00354176" w:rsidP="00354176">
            <w:pPr>
              <w:rPr>
                <w:sz w:val="20"/>
                <w:szCs w:val="20"/>
                <w:lang w:val="en-IN" w:eastAsia="en-IN" w:bidi="bn-BD"/>
              </w:rPr>
            </w:pPr>
          </w:p>
        </w:tc>
        <w:tc>
          <w:tcPr>
            <w:tcW w:w="862" w:type="dxa"/>
            <w:noWrap/>
            <w:hideMark/>
          </w:tcPr>
          <w:p w14:paraId="74B1DE01"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sz w:val="20"/>
                <w:szCs w:val="20"/>
                <w:lang w:val="en-IN" w:eastAsia="en-IN" w:bidi="bn-BD"/>
              </w:rPr>
            </w:pPr>
          </w:p>
        </w:tc>
        <w:tc>
          <w:tcPr>
            <w:tcW w:w="862" w:type="dxa"/>
            <w:noWrap/>
            <w:hideMark/>
          </w:tcPr>
          <w:p w14:paraId="669EBBEE"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sz w:val="20"/>
                <w:szCs w:val="20"/>
                <w:lang w:val="en-IN" w:eastAsia="en-IN" w:bidi="bn-BD"/>
              </w:rPr>
            </w:pPr>
          </w:p>
        </w:tc>
        <w:tc>
          <w:tcPr>
            <w:tcW w:w="960" w:type="dxa"/>
            <w:noWrap/>
            <w:hideMark/>
          </w:tcPr>
          <w:p w14:paraId="729C8521"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sz w:val="20"/>
                <w:szCs w:val="20"/>
                <w:lang w:val="en-IN" w:eastAsia="en-IN" w:bidi="bn-BD"/>
              </w:rPr>
            </w:pPr>
          </w:p>
        </w:tc>
      </w:tr>
      <w:tr w:rsidR="00354176" w:rsidRPr="00354176" w14:paraId="161D8541" w14:textId="77777777" w:rsidTr="00354176">
        <w:trPr>
          <w:trHeight w:val="312"/>
          <w:jc w:val="center"/>
        </w:trPr>
        <w:tc>
          <w:tcPr>
            <w:cnfStyle w:val="001000000000" w:firstRow="0" w:lastRow="0" w:firstColumn="1" w:lastColumn="0" w:oddVBand="0" w:evenVBand="0" w:oddHBand="0" w:evenHBand="0" w:firstRowFirstColumn="0" w:firstRowLastColumn="0" w:lastRowFirstColumn="0" w:lastRowLastColumn="0"/>
            <w:tcW w:w="5600" w:type="dxa"/>
            <w:gridSpan w:val="3"/>
            <w:noWrap/>
            <w:hideMark/>
          </w:tcPr>
          <w:p w14:paraId="60B45F4F" w14:textId="77777777" w:rsidR="00354176" w:rsidRPr="00354176" w:rsidRDefault="00354176" w:rsidP="00354176">
            <w:pPr>
              <w:rPr>
                <w:lang w:val="en-IN" w:eastAsia="en-IN" w:bidi="bn-BD"/>
              </w:rPr>
            </w:pPr>
            <w:r w:rsidRPr="00354176">
              <w:rPr>
                <w:lang w:val="en-IN" w:eastAsia="en-IN" w:bidi="bn-BD"/>
              </w:rPr>
              <w:t>Liquidity Ratios</w:t>
            </w:r>
          </w:p>
        </w:tc>
        <w:tc>
          <w:tcPr>
            <w:tcW w:w="960" w:type="dxa"/>
            <w:noWrap/>
            <w:hideMark/>
          </w:tcPr>
          <w:p w14:paraId="02B93471"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p>
        </w:tc>
      </w:tr>
      <w:tr w:rsidR="00354176" w:rsidRPr="00354176" w14:paraId="61F860D3" w14:textId="77777777" w:rsidTr="00354176">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058DDCEB" w14:textId="77777777" w:rsidR="00354176" w:rsidRPr="00354176" w:rsidRDefault="00354176" w:rsidP="00354176">
            <w:pPr>
              <w:rPr>
                <w:sz w:val="20"/>
                <w:szCs w:val="20"/>
                <w:lang w:val="en-IN" w:eastAsia="en-IN" w:bidi="bn-BD"/>
              </w:rPr>
            </w:pPr>
          </w:p>
        </w:tc>
        <w:tc>
          <w:tcPr>
            <w:tcW w:w="862" w:type="dxa"/>
            <w:noWrap/>
            <w:hideMark/>
          </w:tcPr>
          <w:p w14:paraId="2E60E6BC"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2024</w:t>
            </w:r>
          </w:p>
        </w:tc>
        <w:tc>
          <w:tcPr>
            <w:tcW w:w="862" w:type="dxa"/>
            <w:noWrap/>
            <w:hideMark/>
          </w:tcPr>
          <w:p w14:paraId="56807916"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2023</w:t>
            </w:r>
          </w:p>
        </w:tc>
        <w:tc>
          <w:tcPr>
            <w:tcW w:w="960" w:type="dxa"/>
            <w:noWrap/>
            <w:hideMark/>
          </w:tcPr>
          <w:p w14:paraId="19B22313"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p>
        </w:tc>
      </w:tr>
      <w:tr w:rsidR="00354176" w:rsidRPr="00354176" w14:paraId="739B27E8" w14:textId="77777777" w:rsidTr="00354176">
        <w:trPr>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10A75F17" w14:textId="77777777" w:rsidR="00354176" w:rsidRPr="00354176" w:rsidRDefault="00354176" w:rsidP="00354176">
            <w:pPr>
              <w:rPr>
                <w:lang w:val="en-IN" w:eastAsia="en-IN" w:bidi="bn-BD"/>
              </w:rPr>
            </w:pPr>
            <w:r w:rsidRPr="00354176">
              <w:rPr>
                <w:lang w:val="en-IN" w:eastAsia="en-IN" w:bidi="bn-BD"/>
              </w:rPr>
              <w:t xml:space="preserve">Current Ratio </w:t>
            </w:r>
          </w:p>
        </w:tc>
        <w:tc>
          <w:tcPr>
            <w:tcW w:w="862" w:type="dxa"/>
            <w:noWrap/>
            <w:hideMark/>
          </w:tcPr>
          <w:p w14:paraId="7FF7A010"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0.96186</w:t>
            </w:r>
          </w:p>
        </w:tc>
        <w:tc>
          <w:tcPr>
            <w:tcW w:w="862" w:type="dxa"/>
            <w:noWrap/>
            <w:hideMark/>
          </w:tcPr>
          <w:p w14:paraId="59C4742E"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1.57084</w:t>
            </w:r>
          </w:p>
        </w:tc>
        <w:tc>
          <w:tcPr>
            <w:tcW w:w="960" w:type="dxa"/>
            <w:noWrap/>
            <w:hideMark/>
          </w:tcPr>
          <w:p w14:paraId="60A9F7FA"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p>
        </w:tc>
      </w:tr>
      <w:tr w:rsidR="00354176" w:rsidRPr="00354176" w14:paraId="383E7422" w14:textId="77777777" w:rsidTr="00354176">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2256D350" w14:textId="77777777" w:rsidR="00354176" w:rsidRPr="00354176" w:rsidRDefault="00354176" w:rsidP="00354176">
            <w:pPr>
              <w:rPr>
                <w:lang w:val="en-IN" w:eastAsia="en-IN" w:bidi="bn-BD"/>
              </w:rPr>
            </w:pPr>
            <w:r w:rsidRPr="00354176">
              <w:rPr>
                <w:lang w:val="en-IN" w:eastAsia="en-IN" w:bidi="bn-BD"/>
              </w:rPr>
              <w:t>Quick Ratio</w:t>
            </w:r>
          </w:p>
        </w:tc>
        <w:tc>
          <w:tcPr>
            <w:tcW w:w="862" w:type="dxa"/>
            <w:noWrap/>
            <w:hideMark/>
          </w:tcPr>
          <w:p w14:paraId="77F56A6B"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0.9375</w:t>
            </w:r>
          </w:p>
        </w:tc>
        <w:tc>
          <w:tcPr>
            <w:tcW w:w="862" w:type="dxa"/>
            <w:noWrap/>
            <w:hideMark/>
          </w:tcPr>
          <w:p w14:paraId="1D007A38"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1.54518</w:t>
            </w:r>
          </w:p>
        </w:tc>
        <w:tc>
          <w:tcPr>
            <w:tcW w:w="960" w:type="dxa"/>
            <w:noWrap/>
            <w:hideMark/>
          </w:tcPr>
          <w:p w14:paraId="365D66D3"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p>
        </w:tc>
      </w:tr>
      <w:tr w:rsidR="00354176" w:rsidRPr="00354176" w14:paraId="77CBD771" w14:textId="77777777" w:rsidTr="00354176">
        <w:trPr>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4EFA2121" w14:textId="77777777" w:rsidR="00354176" w:rsidRPr="00354176" w:rsidRDefault="00354176" w:rsidP="00354176">
            <w:pPr>
              <w:rPr>
                <w:sz w:val="20"/>
                <w:szCs w:val="20"/>
                <w:lang w:val="en-IN" w:eastAsia="en-IN" w:bidi="bn-BD"/>
              </w:rPr>
            </w:pPr>
          </w:p>
        </w:tc>
        <w:tc>
          <w:tcPr>
            <w:tcW w:w="862" w:type="dxa"/>
            <w:noWrap/>
            <w:hideMark/>
          </w:tcPr>
          <w:p w14:paraId="6CD5D497"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sz w:val="20"/>
                <w:szCs w:val="20"/>
                <w:lang w:val="en-IN" w:eastAsia="en-IN" w:bidi="bn-BD"/>
              </w:rPr>
            </w:pPr>
          </w:p>
        </w:tc>
        <w:tc>
          <w:tcPr>
            <w:tcW w:w="862" w:type="dxa"/>
            <w:noWrap/>
            <w:hideMark/>
          </w:tcPr>
          <w:p w14:paraId="62498A62"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sz w:val="20"/>
                <w:szCs w:val="20"/>
                <w:lang w:val="en-IN" w:eastAsia="en-IN" w:bidi="bn-BD"/>
              </w:rPr>
            </w:pPr>
          </w:p>
        </w:tc>
        <w:tc>
          <w:tcPr>
            <w:tcW w:w="960" w:type="dxa"/>
            <w:noWrap/>
            <w:hideMark/>
          </w:tcPr>
          <w:p w14:paraId="3A4EB03D"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sz w:val="20"/>
                <w:szCs w:val="20"/>
                <w:lang w:val="en-IN" w:eastAsia="en-IN" w:bidi="bn-BD"/>
              </w:rPr>
            </w:pPr>
          </w:p>
        </w:tc>
      </w:tr>
      <w:tr w:rsidR="00354176" w:rsidRPr="00354176" w14:paraId="48617470" w14:textId="77777777" w:rsidTr="00354176">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5600" w:type="dxa"/>
            <w:gridSpan w:val="3"/>
            <w:noWrap/>
            <w:hideMark/>
          </w:tcPr>
          <w:p w14:paraId="62150E99" w14:textId="77777777" w:rsidR="00354176" w:rsidRPr="00354176" w:rsidRDefault="00354176" w:rsidP="00354176">
            <w:pPr>
              <w:rPr>
                <w:lang w:val="en-IN" w:eastAsia="en-IN" w:bidi="bn-BD"/>
              </w:rPr>
            </w:pPr>
            <w:r w:rsidRPr="00354176">
              <w:rPr>
                <w:lang w:val="en-IN" w:eastAsia="en-IN" w:bidi="bn-BD"/>
              </w:rPr>
              <w:t>Gearing Ratios</w:t>
            </w:r>
          </w:p>
        </w:tc>
        <w:tc>
          <w:tcPr>
            <w:tcW w:w="960" w:type="dxa"/>
            <w:noWrap/>
            <w:hideMark/>
          </w:tcPr>
          <w:p w14:paraId="5CDDE9DC"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p>
        </w:tc>
      </w:tr>
      <w:tr w:rsidR="00354176" w:rsidRPr="00354176" w14:paraId="69F6016E" w14:textId="77777777" w:rsidTr="00354176">
        <w:trPr>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5DBCCC85" w14:textId="77777777" w:rsidR="00354176" w:rsidRPr="00354176" w:rsidRDefault="00354176" w:rsidP="00354176">
            <w:pPr>
              <w:rPr>
                <w:sz w:val="20"/>
                <w:szCs w:val="20"/>
                <w:lang w:val="en-IN" w:eastAsia="en-IN" w:bidi="bn-BD"/>
              </w:rPr>
            </w:pPr>
          </w:p>
        </w:tc>
        <w:tc>
          <w:tcPr>
            <w:tcW w:w="862" w:type="dxa"/>
            <w:noWrap/>
            <w:hideMark/>
          </w:tcPr>
          <w:p w14:paraId="2EFEF05F"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2024</w:t>
            </w:r>
          </w:p>
        </w:tc>
        <w:tc>
          <w:tcPr>
            <w:tcW w:w="862" w:type="dxa"/>
            <w:noWrap/>
            <w:hideMark/>
          </w:tcPr>
          <w:p w14:paraId="05582F20"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2023</w:t>
            </w:r>
          </w:p>
        </w:tc>
        <w:tc>
          <w:tcPr>
            <w:tcW w:w="960" w:type="dxa"/>
            <w:noWrap/>
            <w:hideMark/>
          </w:tcPr>
          <w:p w14:paraId="2314A476"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p>
        </w:tc>
      </w:tr>
      <w:tr w:rsidR="00354176" w:rsidRPr="00354176" w14:paraId="39E852A1" w14:textId="77777777" w:rsidTr="00354176">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1DA1CC81" w14:textId="77777777" w:rsidR="00354176" w:rsidRPr="00354176" w:rsidRDefault="00354176" w:rsidP="00354176">
            <w:pPr>
              <w:rPr>
                <w:lang w:val="en-IN" w:eastAsia="en-IN" w:bidi="bn-BD"/>
              </w:rPr>
            </w:pPr>
            <w:r w:rsidRPr="00354176">
              <w:rPr>
                <w:lang w:val="en-IN" w:eastAsia="en-IN" w:bidi="bn-BD"/>
              </w:rPr>
              <w:t>Debt to Equity Ratio</w:t>
            </w:r>
          </w:p>
        </w:tc>
        <w:tc>
          <w:tcPr>
            <w:tcW w:w="862" w:type="dxa"/>
            <w:noWrap/>
            <w:hideMark/>
          </w:tcPr>
          <w:p w14:paraId="632F27C9"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0.28269</w:t>
            </w:r>
          </w:p>
        </w:tc>
        <w:tc>
          <w:tcPr>
            <w:tcW w:w="862" w:type="dxa"/>
            <w:noWrap/>
            <w:hideMark/>
          </w:tcPr>
          <w:p w14:paraId="23162955"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0.24162</w:t>
            </w:r>
          </w:p>
        </w:tc>
        <w:tc>
          <w:tcPr>
            <w:tcW w:w="960" w:type="dxa"/>
            <w:noWrap/>
            <w:hideMark/>
          </w:tcPr>
          <w:p w14:paraId="243C5728"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p>
        </w:tc>
      </w:tr>
      <w:tr w:rsidR="00354176" w:rsidRPr="00354176" w14:paraId="214A51FE" w14:textId="77777777" w:rsidTr="00354176">
        <w:trPr>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20B6ADB4" w14:textId="77777777" w:rsidR="00354176" w:rsidRPr="00354176" w:rsidRDefault="00354176" w:rsidP="00354176">
            <w:pPr>
              <w:rPr>
                <w:lang w:val="en-IN" w:eastAsia="en-IN" w:bidi="bn-BD"/>
              </w:rPr>
            </w:pPr>
            <w:r w:rsidRPr="00354176">
              <w:rPr>
                <w:lang w:val="en-IN" w:eastAsia="en-IN" w:bidi="bn-BD"/>
              </w:rPr>
              <w:t>Gearing Ratio</w:t>
            </w:r>
          </w:p>
        </w:tc>
        <w:tc>
          <w:tcPr>
            <w:tcW w:w="862" w:type="dxa"/>
            <w:noWrap/>
            <w:hideMark/>
          </w:tcPr>
          <w:p w14:paraId="1B32833F"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0.22039</w:t>
            </w:r>
          </w:p>
        </w:tc>
        <w:tc>
          <w:tcPr>
            <w:tcW w:w="862" w:type="dxa"/>
            <w:noWrap/>
            <w:hideMark/>
          </w:tcPr>
          <w:p w14:paraId="7BE1CBD8"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0.1946</w:t>
            </w:r>
          </w:p>
        </w:tc>
        <w:tc>
          <w:tcPr>
            <w:tcW w:w="960" w:type="dxa"/>
            <w:noWrap/>
            <w:hideMark/>
          </w:tcPr>
          <w:p w14:paraId="20561402"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p>
        </w:tc>
      </w:tr>
      <w:tr w:rsidR="00354176" w:rsidRPr="00354176" w14:paraId="520B5FEE" w14:textId="77777777" w:rsidTr="00354176">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3B3838C4" w14:textId="77777777" w:rsidR="00354176" w:rsidRPr="00354176" w:rsidRDefault="00354176" w:rsidP="00354176">
            <w:pPr>
              <w:rPr>
                <w:sz w:val="20"/>
                <w:szCs w:val="20"/>
                <w:lang w:val="en-IN" w:eastAsia="en-IN" w:bidi="bn-BD"/>
              </w:rPr>
            </w:pPr>
          </w:p>
        </w:tc>
        <w:tc>
          <w:tcPr>
            <w:tcW w:w="862" w:type="dxa"/>
            <w:noWrap/>
            <w:hideMark/>
          </w:tcPr>
          <w:p w14:paraId="76E69995"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sz w:val="20"/>
                <w:szCs w:val="20"/>
                <w:lang w:val="en-IN" w:eastAsia="en-IN" w:bidi="bn-BD"/>
              </w:rPr>
            </w:pPr>
          </w:p>
        </w:tc>
        <w:tc>
          <w:tcPr>
            <w:tcW w:w="862" w:type="dxa"/>
            <w:noWrap/>
            <w:hideMark/>
          </w:tcPr>
          <w:p w14:paraId="079ED5EE"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sz w:val="20"/>
                <w:szCs w:val="20"/>
                <w:lang w:val="en-IN" w:eastAsia="en-IN" w:bidi="bn-BD"/>
              </w:rPr>
            </w:pPr>
          </w:p>
        </w:tc>
        <w:tc>
          <w:tcPr>
            <w:tcW w:w="960" w:type="dxa"/>
            <w:noWrap/>
            <w:hideMark/>
          </w:tcPr>
          <w:p w14:paraId="7381B50B"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sz w:val="20"/>
                <w:szCs w:val="20"/>
                <w:lang w:val="en-IN" w:eastAsia="en-IN" w:bidi="bn-BD"/>
              </w:rPr>
            </w:pPr>
          </w:p>
        </w:tc>
      </w:tr>
      <w:tr w:rsidR="00354176" w:rsidRPr="00354176" w14:paraId="68B187B5" w14:textId="77777777" w:rsidTr="00354176">
        <w:trPr>
          <w:trHeight w:val="312"/>
          <w:jc w:val="center"/>
        </w:trPr>
        <w:tc>
          <w:tcPr>
            <w:cnfStyle w:val="001000000000" w:firstRow="0" w:lastRow="0" w:firstColumn="1" w:lastColumn="0" w:oddVBand="0" w:evenVBand="0" w:oddHBand="0" w:evenHBand="0" w:firstRowFirstColumn="0" w:firstRowLastColumn="0" w:lastRowFirstColumn="0" w:lastRowLastColumn="0"/>
            <w:tcW w:w="5600" w:type="dxa"/>
            <w:gridSpan w:val="3"/>
            <w:noWrap/>
            <w:hideMark/>
          </w:tcPr>
          <w:p w14:paraId="196C0DE5" w14:textId="77777777" w:rsidR="00354176" w:rsidRPr="00354176" w:rsidRDefault="00354176" w:rsidP="00354176">
            <w:pPr>
              <w:rPr>
                <w:lang w:val="en-IN" w:eastAsia="en-IN" w:bidi="bn-BD"/>
              </w:rPr>
            </w:pPr>
            <w:r w:rsidRPr="00354176">
              <w:rPr>
                <w:lang w:val="en-IN" w:eastAsia="en-IN" w:bidi="bn-BD"/>
              </w:rPr>
              <w:t>Efficiency Ratios</w:t>
            </w:r>
          </w:p>
        </w:tc>
        <w:tc>
          <w:tcPr>
            <w:tcW w:w="960" w:type="dxa"/>
            <w:noWrap/>
            <w:hideMark/>
          </w:tcPr>
          <w:p w14:paraId="615DDB43"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p>
        </w:tc>
      </w:tr>
      <w:tr w:rsidR="00354176" w:rsidRPr="00354176" w14:paraId="7D3764D8" w14:textId="77777777" w:rsidTr="00354176">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7DB019F2" w14:textId="77777777" w:rsidR="00354176" w:rsidRPr="00354176" w:rsidRDefault="00354176" w:rsidP="00354176">
            <w:pPr>
              <w:rPr>
                <w:sz w:val="20"/>
                <w:szCs w:val="20"/>
                <w:lang w:val="en-IN" w:eastAsia="en-IN" w:bidi="bn-BD"/>
              </w:rPr>
            </w:pPr>
          </w:p>
        </w:tc>
        <w:tc>
          <w:tcPr>
            <w:tcW w:w="862" w:type="dxa"/>
            <w:noWrap/>
            <w:hideMark/>
          </w:tcPr>
          <w:p w14:paraId="67E04808"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2024</w:t>
            </w:r>
          </w:p>
        </w:tc>
        <w:tc>
          <w:tcPr>
            <w:tcW w:w="862" w:type="dxa"/>
            <w:noWrap/>
            <w:hideMark/>
          </w:tcPr>
          <w:p w14:paraId="22384322"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2023</w:t>
            </w:r>
          </w:p>
        </w:tc>
        <w:tc>
          <w:tcPr>
            <w:tcW w:w="960" w:type="dxa"/>
            <w:noWrap/>
            <w:hideMark/>
          </w:tcPr>
          <w:p w14:paraId="63743C3A"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p>
        </w:tc>
      </w:tr>
      <w:tr w:rsidR="00354176" w:rsidRPr="00354176" w14:paraId="43152362" w14:textId="77777777" w:rsidTr="00354176">
        <w:trPr>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5124A243" w14:textId="77777777" w:rsidR="00354176" w:rsidRPr="00354176" w:rsidRDefault="00354176" w:rsidP="00354176">
            <w:pPr>
              <w:rPr>
                <w:lang w:val="en-IN" w:eastAsia="en-IN" w:bidi="bn-BD"/>
              </w:rPr>
            </w:pPr>
            <w:r w:rsidRPr="00354176">
              <w:rPr>
                <w:lang w:val="en-IN" w:eastAsia="en-IN" w:bidi="bn-BD"/>
              </w:rPr>
              <w:t>Inventory Turnover (Days)</w:t>
            </w:r>
          </w:p>
        </w:tc>
        <w:tc>
          <w:tcPr>
            <w:tcW w:w="862" w:type="dxa"/>
            <w:noWrap/>
            <w:hideMark/>
          </w:tcPr>
          <w:p w14:paraId="0571BE7C"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113.151</w:t>
            </w:r>
          </w:p>
        </w:tc>
        <w:tc>
          <w:tcPr>
            <w:tcW w:w="862" w:type="dxa"/>
            <w:noWrap/>
            <w:hideMark/>
          </w:tcPr>
          <w:p w14:paraId="77A53BDD"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101.926</w:t>
            </w:r>
          </w:p>
        </w:tc>
        <w:tc>
          <w:tcPr>
            <w:tcW w:w="960" w:type="dxa"/>
            <w:noWrap/>
            <w:hideMark/>
          </w:tcPr>
          <w:p w14:paraId="18F67C8E"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Days</w:t>
            </w:r>
          </w:p>
        </w:tc>
      </w:tr>
      <w:tr w:rsidR="00354176" w:rsidRPr="00354176" w14:paraId="2CE7C932" w14:textId="77777777" w:rsidTr="00354176">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1CFB519A" w14:textId="77777777" w:rsidR="00354176" w:rsidRPr="00354176" w:rsidRDefault="00354176" w:rsidP="00354176">
            <w:pPr>
              <w:rPr>
                <w:lang w:val="en-IN" w:eastAsia="en-IN" w:bidi="bn-BD"/>
              </w:rPr>
            </w:pPr>
            <w:r w:rsidRPr="00354176">
              <w:rPr>
                <w:lang w:val="en-IN" w:eastAsia="en-IN" w:bidi="bn-BD"/>
              </w:rPr>
              <w:t>Receivables Turnover (Days)</w:t>
            </w:r>
          </w:p>
        </w:tc>
        <w:tc>
          <w:tcPr>
            <w:tcW w:w="862" w:type="dxa"/>
            <w:noWrap/>
            <w:hideMark/>
          </w:tcPr>
          <w:p w14:paraId="7076431B"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14.7115</w:t>
            </w:r>
          </w:p>
        </w:tc>
        <w:tc>
          <w:tcPr>
            <w:tcW w:w="862" w:type="dxa"/>
            <w:noWrap/>
            <w:hideMark/>
          </w:tcPr>
          <w:p w14:paraId="03F94B90"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19.7155</w:t>
            </w:r>
          </w:p>
        </w:tc>
        <w:tc>
          <w:tcPr>
            <w:tcW w:w="960" w:type="dxa"/>
            <w:noWrap/>
            <w:hideMark/>
          </w:tcPr>
          <w:p w14:paraId="0DD48465"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Days</w:t>
            </w:r>
          </w:p>
        </w:tc>
      </w:tr>
      <w:tr w:rsidR="00354176" w:rsidRPr="00354176" w14:paraId="4F724D07" w14:textId="77777777" w:rsidTr="00354176">
        <w:trPr>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531E46F9" w14:textId="77777777" w:rsidR="00354176" w:rsidRPr="00354176" w:rsidRDefault="00354176" w:rsidP="00354176">
            <w:pPr>
              <w:rPr>
                <w:lang w:val="en-IN" w:eastAsia="en-IN" w:bidi="bn-BD"/>
              </w:rPr>
            </w:pPr>
            <w:r w:rsidRPr="00354176">
              <w:rPr>
                <w:lang w:val="en-IN" w:eastAsia="en-IN" w:bidi="bn-BD"/>
              </w:rPr>
              <w:t>Payables Turnover (Days)</w:t>
            </w:r>
          </w:p>
        </w:tc>
        <w:tc>
          <w:tcPr>
            <w:tcW w:w="862" w:type="dxa"/>
            <w:noWrap/>
            <w:hideMark/>
          </w:tcPr>
          <w:p w14:paraId="4B95A70E"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102.023</w:t>
            </w:r>
          </w:p>
        </w:tc>
        <w:tc>
          <w:tcPr>
            <w:tcW w:w="862" w:type="dxa"/>
            <w:noWrap/>
            <w:hideMark/>
          </w:tcPr>
          <w:p w14:paraId="4736B3CE"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111.672</w:t>
            </w:r>
          </w:p>
        </w:tc>
        <w:tc>
          <w:tcPr>
            <w:tcW w:w="960" w:type="dxa"/>
            <w:noWrap/>
            <w:hideMark/>
          </w:tcPr>
          <w:p w14:paraId="189CB902"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Days</w:t>
            </w:r>
          </w:p>
        </w:tc>
      </w:tr>
      <w:tr w:rsidR="00354176" w:rsidRPr="00354176" w14:paraId="03CEEC70" w14:textId="77777777" w:rsidTr="00354176">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6F01F46F" w14:textId="77777777" w:rsidR="00354176" w:rsidRPr="00354176" w:rsidRDefault="00354176" w:rsidP="00354176">
            <w:pPr>
              <w:rPr>
                <w:lang w:val="en-IN" w:eastAsia="en-IN" w:bidi="bn-BD"/>
              </w:rPr>
            </w:pPr>
            <w:r w:rsidRPr="00354176">
              <w:rPr>
                <w:lang w:val="en-IN" w:eastAsia="en-IN" w:bidi="bn-BD"/>
              </w:rPr>
              <w:t>Asset Turnover</w:t>
            </w:r>
          </w:p>
        </w:tc>
        <w:tc>
          <w:tcPr>
            <w:tcW w:w="862" w:type="dxa"/>
            <w:noWrap/>
            <w:hideMark/>
          </w:tcPr>
          <w:p w14:paraId="390B3FEF"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0.31087</w:t>
            </w:r>
          </w:p>
        </w:tc>
        <w:tc>
          <w:tcPr>
            <w:tcW w:w="862" w:type="dxa"/>
            <w:noWrap/>
            <w:hideMark/>
          </w:tcPr>
          <w:p w14:paraId="7FA0862B"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0.26403</w:t>
            </w:r>
          </w:p>
        </w:tc>
        <w:tc>
          <w:tcPr>
            <w:tcW w:w="960" w:type="dxa"/>
            <w:noWrap/>
            <w:hideMark/>
          </w:tcPr>
          <w:p w14:paraId="4C48115D"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Times</w:t>
            </w:r>
          </w:p>
        </w:tc>
      </w:tr>
      <w:tr w:rsidR="00354176" w:rsidRPr="00354176" w14:paraId="2B803BDB" w14:textId="77777777" w:rsidTr="00354176">
        <w:trPr>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34513B63" w14:textId="77777777" w:rsidR="00354176" w:rsidRPr="00354176" w:rsidRDefault="00354176" w:rsidP="00354176">
            <w:pPr>
              <w:rPr>
                <w:lang w:val="en-IN" w:eastAsia="en-IN" w:bidi="bn-BD"/>
              </w:rPr>
            </w:pPr>
            <w:r w:rsidRPr="00354176">
              <w:rPr>
                <w:lang w:val="en-IN" w:eastAsia="en-IN" w:bidi="bn-BD"/>
              </w:rPr>
              <w:t>Fixed Asset Turnover</w:t>
            </w:r>
          </w:p>
        </w:tc>
        <w:tc>
          <w:tcPr>
            <w:tcW w:w="862" w:type="dxa"/>
            <w:noWrap/>
            <w:hideMark/>
          </w:tcPr>
          <w:p w14:paraId="2B600F5F"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0.34299</w:t>
            </w:r>
          </w:p>
        </w:tc>
        <w:tc>
          <w:tcPr>
            <w:tcW w:w="862" w:type="dxa"/>
            <w:noWrap/>
            <w:hideMark/>
          </w:tcPr>
          <w:p w14:paraId="1F3A7127"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0.30486</w:t>
            </w:r>
          </w:p>
        </w:tc>
        <w:tc>
          <w:tcPr>
            <w:tcW w:w="960" w:type="dxa"/>
            <w:noWrap/>
            <w:hideMark/>
          </w:tcPr>
          <w:p w14:paraId="20139D24"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Times</w:t>
            </w:r>
          </w:p>
        </w:tc>
      </w:tr>
      <w:tr w:rsidR="00354176" w:rsidRPr="00354176" w14:paraId="5C5909A0" w14:textId="77777777" w:rsidTr="00354176">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718508DD" w14:textId="77777777" w:rsidR="00354176" w:rsidRPr="00354176" w:rsidRDefault="00354176" w:rsidP="00354176">
            <w:pPr>
              <w:rPr>
                <w:lang w:val="en-IN" w:eastAsia="en-IN" w:bidi="bn-BD"/>
              </w:rPr>
            </w:pPr>
          </w:p>
        </w:tc>
        <w:tc>
          <w:tcPr>
            <w:tcW w:w="862" w:type="dxa"/>
            <w:noWrap/>
            <w:hideMark/>
          </w:tcPr>
          <w:p w14:paraId="17B1EAFE"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sz w:val="20"/>
                <w:szCs w:val="20"/>
                <w:lang w:val="en-IN" w:eastAsia="en-IN" w:bidi="bn-BD"/>
              </w:rPr>
            </w:pPr>
          </w:p>
        </w:tc>
        <w:tc>
          <w:tcPr>
            <w:tcW w:w="862" w:type="dxa"/>
            <w:noWrap/>
            <w:hideMark/>
          </w:tcPr>
          <w:p w14:paraId="1F90CA8C"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sz w:val="20"/>
                <w:szCs w:val="20"/>
                <w:lang w:val="en-IN" w:eastAsia="en-IN" w:bidi="bn-BD"/>
              </w:rPr>
            </w:pPr>
          </w:p>
        </w:tc>
        <w:tc>
          <w:tcPr>
            <w:tcW w:w="960" w:type="dxa"/>
            <w:noWrap/>
            <w:hideMark/>
          </w:tcPr>
          <w:p w14:paraId="10B72026"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sz w:val="20"/>
                <w:szCs w:val="20"/>
                <w:lang w:val="en-IN" w:eastAsia="en-IN" w:bidi="bn-BD"/>
              </w:rPr>
            </w:pPr>
          </w:p>
        </w:tc>
      </w:tr>
      <w:tr w:rsidR="00354176" w:rsidRPr="00354176" w14:paraId="29ACC1C5" w14:textId="77777777" w:rsidTr="00354176">
        <w:trPr>
          <w:trHeight w:val="312"/>
          <w:jc w:val="center"/>
        </w:trPr>
        <w:tc>
          <w:tcPr>
            <w:cnfStyle w:val="001000000000" w:firstRow="0" w:lastRow="0" w:firstColumn="1" w:lastColumn="0" w:oddVBand="0" w:evenVBand="0" w:oddHBand="0" w:evenHBand="0" w:firstRowFirstColumn="0" w:firstRowLastColumn="0" w:lastRowFirstColumn="0" w:lastRowLastColumn="0"/>
            <w:tcW w:w="5600" w:type="dxa"/>
            <w:gridSpan w:val="3"/>
            <w:noWrap/>
            <w:hideMark/>
          </w:tcPr>
          <w:p w14:paraId="5ED32553" w14:textId="77777777" w:rsidR="00354176" w:rsidRPr="00354176" w:rsidRDefault="00354176" w:rsidP="00354176">
            <w:pPr>
              <w:rPr>
                <w:lang w:val="en-IN" w:eastAsia="en-IN" w:bidi="bn-BD"/>
              </w:rPr>
            </w:pPr>
            <w:r w:rsidRPr="00354176">
              <w:rPr>
                <w:lang w:val="en-IN" w:eastAsia="en-IN" w:bidi="bn-BD"/>
              </w:rPr>
              <w:t>Solvency Ratios</w:t>
            </w:r>
          </w:p>
        </w:tc>
        <w:tc>
          <w:tcPr>
            <w:tcW w:w="960" w:type="dxa"/>
            <w:noWrap/>
            <w:hideMark/>
          </w:tcPr>
          <w:p w14:paraId="654BD810"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p>
        </w:tc>
      </w:tr>
      <w:tr w:rsidR="00354176" w:rsidRPr="00354176" w14:paraId="318FFDF9" w14:textId="77777777" w:rsidTr="00354176">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639261E1" w14:textId="77777777" w:rsidR="00354176" w:rsidRPr="00354176" w:rsidRDefault="00354176" w:rsidP="00354176">
            <w:pPr>
              <w:rPr>
                <w:sz w:val="20"/>
                <w:szCs w:val="20"/>
                <w:lang w:val="en-IN" w:eastAsia="en-IN" w:bidi="bn-BD"/>
              </w:rPr>
            </w:pPr>
          </w:p>
        </w:tc>
        <w:tc>
          <w:tcPr>
            <w:tcW w:w="862" w:type="dxa"/>
            <w:noWrap/>
            <w:hideMark/>
          </w:tcPr>
          <w:p w14:paraId="01C1E13D"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2024</w:t>
            </w:r>
          </w:p>
        </w:tc>
        <w:tc>
          <w:tcPr>
            <w:tcW w:w="862" w:type="dxa"/>
            <w:noWrap/>
            <w:hideMark/>
          </w:tcPr>
          <w:p w14:paraId="05EA953D"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2023</w:t>
            </w:r>
          </w:p>
        </w:tc>
        <w:tc>
          <w:tcPr>
            <w:tcW w:w="960" w:type="dxa"/>
            <w:noWrap/>
            <w:hideMark/>
          </w:tcPr>
          <w:p w14:paraId="136C01DC"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p>
        </w:tc>
      </w:tr>
      <w:tr w:rsidR="00354176" w:rsidRPr="00354176" w14:paraId="2EDD40FC" w14:textId="77777777" w:rsidTr="00354176">
        <w:trPr>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7C0F18BA" w14:textId="77777777" w:rsidR="00354176" w:rsidRPr="00354176" w:rsidRDefault="00354176" w:rsidP="00354176">
            <w:pPr>
              <w:rPr>
                <w:lang w:val="en-IN" w:eastAsia="en-IN" w:bidi="bn-BD"/>
              </w:rPr>
            </w:pPr>
            <w:r w:rsidRPr="00354176">
              <w:rPr>
                <w:lang w:val="en-IN" w:eastAsia="en-IN" w:bidi="bn-BD"/>
              </w:rPr>
              <w:t>Interest Coverage Ratio</w:t>
            </w:r>
          </w:p>
        </w:tc>
        <w:tc>
          <w:tcPr>
            <w:tcW w:w="862" w:type="dxa"/>
            <w:noWrap/>
            <w:hideMark/>
          </w:tcPr>
          <w:p w14:paraId="6A3482E7"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3.12939</w:t>
            </w:r>
          </w:p>
        </w:tc>
        <w:tc>
          <w:tcPr>
            <w:tcW w:w="862" w:type="dxa"/>
            <w:noWrap/>
            <w:hideMark/>
          </w:tcPr>
          <w:p w14:paraId="7B8ECCBA"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2.47693</w:t>
            </w:r>
          </w:p>
        </w:tc>
        <w:tc>
          <w:tcPr>
            <w:tcW w:w="960" w:type="dxa"/>
            <w:noWrap/>
            <w:hideMark/>
          </w:tcPr>
          <w:p w14:paraId="30510298"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p>
        </w:tc>
      </w:tr>
      <w:tr w:rsidR="00354176" w:rsidRPr="00354176" w14:paraId="059DBC58" w14:textId="77777777" w:rsidTr="00354176">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7912CD20" w14:textId="77777777" w:rsidR="00354176" w:rsidRPr="00354176" w:rsidRDefault="00354176" w:rsidP="00354176">
            <w:pPr>
              <w:rPr>
                <w:lang w:val="en-IN" w:eastAsia="en-IN" w:bidi="bn-BD"/>
              </w:rPr>
            </w:pPr>
            <w:r w:rsidRPr="00354176">
              <w:rPr>
                <w:lang w:val="en-IN" w:eastAsia="en-IN" w:bidi="bn-BD"/>
              </w:rPr>
              <w:lastRenderedPageBreak/>
              <w:t>Debt-to-asset Ratio</w:t>
            </w:r>
          </w:p>
        </w:tc>
        <w:tc>
          <w:tcPr>
            <w:tcW w:w="862" w:type="dxa"/>
            <w:noWrap/>
            <w:hideMark/>
          </w:tcPr>
          <w:p w14:paraId="61542CB3"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0.10449</w:t>
            </w:r>
          </w:p>
        </w:tc>
        <w:tc>
          <w:tcPr>
            <w:tcW w:w="862" w:type="dxa"/>
            <w:noWrap/>
            <w:hideMark/>
          </w:tcPr>
          <w:p w14:paraId="7543B467"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0.09991</w:t>
            </w:r>
          </w:p>
        </w:tc>
        <w:tc>
          <w:tcPr>
            <w:tcW w:w="960" w:type="dxa"/>
            <w:noWrap/>
            <w:hideMark/>
          </w:tcPr>
          <w:p w14:paraId="416CCA68"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p>
        </w:tc>
      </w:tr>
      <w:tr w:rsidR="00354176" w:rsidRPr="00354176" w14:paraId="7E078FC5" w14:textId="77777777" w:rsidTr="00354176">
        <w:trPr>
          <w:trHeight w:val="288"/>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0F4F372A" w14:textId="77777777" w:rsidR="00354176" w:rsidRPr="00354176" w:rsidRDefault="00354176" w:rsidP="00354176">
            <w:pPr>
              <w:rPr>
                <w:sz w:val="20"/>
                <w:szCs w:val="20"/>
                <w:lang w:val="en-IN" w:eastAsia="en-IN" w:bidi="bn-BD"/>
              </w:rPr>
            </w:pPr>
          </w:p>
        </w:tc>
        <w:tc>
          <w:tcPr>
            <w:tcW w:w="862" w:type="dxa"/>
            <w:noWrap/>
            <w:hideMark/>
          </w:tcPr>
          <w:p w14:paraId="6D040CC3"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sz w:val="20"/>
                <w:szCs w:val="20"/>
                <w:lang w:val="en-IN" w:eastAsia="en-IN" w:bidi="bn-BD"/>
              </w:rPr>
            </w:pPr>
          </w:p>
        </w:tc>
        <w:tc>
          <w:tcPr>
            <w:tcW w:w="862" w:type="dxa"/>
            <w:noWrap/>
            <w:hideMark/>
          </w:tcPr>
          <w:p w14:paraId="4F6A921F"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sz w:val="20"/>
                <w:szCs w:val="20"/>
                <w:lang w:val="en-IN" w:eastAsia="en-IN" w:bidi="bn-BD"/>
              </w:rPr>
            </w:pPr>
          </w:p>
        </w:tc>
        <w:tc>
          <w:tcPr>
            <w:tcW w:w="960" w:type="dxa"/>
            <w:noWrap/>
            <w:hideMark/>
          </w:tcPr>
          <w:p w14:paraId="46747DB6"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sz w:val="20"/>
                <w:szCs w:val="20"/>
                <w:lang w:val="en-IN" w:eastAsia="en-IN" w:bidi="bn-BD"/>
              </w:rPr>
            </w:pPr>
          </w:p>
        </w:tc>
      </w:tr>
      <w:tr w:rsidR="00354176" w:rsidRPr="00354176" w14:paraId="3964B2B6" w14:textId="77777777" w:rsidTr="00354176">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5600" w:type="dxa"/>
            <w:gridSpan w:val="3"/>
            <w:noWrap/>
            <w:hideMark/>
          </w:tcPr>
          <w:p w14:paraId="032384E9" w14:textId="77777777" w:rsidR="00354176" w:rsidRPr="00354176" w:rsidRDefault="00354176" w:rsidP="00354176">
            <w:pPr>
              <w:rPr>
                <w:lang w:val="en-IN" w:eastAsia="en-IN" w:bidi="bn-BD"/>
              </w:rPr>
            </w:pPr>
            <w:r w:rsidRPr="00354176">
              <w:rPr>
                <w:lang w:val="en-IN" w:eastAsia="en-IN" w:bidi="bn-BD"/>
              </w:rPr>
              <w:t>Investment Ratios</w:t>
            </w:r>
          </w:p>
        </w:tc>
        <w:tc>
          <w:tcPr>
            <w:tcW w:w="960" w:type="dxa"/>
            <w:noWrap/>
            <w:hideMark/>
          </w:tcPr>
          <w:p w14:paraId="04AE9A5E"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p>
        </w:tc>
      </w:tr>
      <w:tr w:rsidR="00354176" w:rsidRPr="00354176" w14:paraId="196F9BA0" w14:textId="77777777" w:rsidTr="00354176">
        <w:trPr>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6728C12E" w14:textId="77777777" w:rsidR="00354176" w:rsidRPr="00354176" w:rsidRDefault="00354176" w:rsidP="00354176">
            <w:pPr>
              <w:rPr>
                <w:sz w:val="20"/>
                <w:szCs w:val="20"/>
                <w:lang w:val="en-IN" w:eastAsia="en-IN" w:bidi="bn-BD"/>
              </w:rPr>
            </w:pPr>
          </w:p>
        </w:tc>
        <w:tc>
          <w:tcPr>
            <w:tcW w:w="862" w:type="dxa"/>
            <w:noWrap/>
            <w:hideMark/>
          </w:tcPr>
          <w:p w14:paraId="2187E0CC"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2024</w:t>
            </w:r>
          </w:p>
        </w:tc>
        <w:tc>
          <w:tcPr>
            <w:tcW w:w="862" w:type="dxa"/>
            <w:noWrap/>
            <w:hideMark/>
          </w:tcPr>
          <w:p w14:paraId="74C7B8D7"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2023</w:t>
            </w:r>
          </w:p>
        </w:tc>
        <w:tc>
          <w:tcPr>
            <w:tcW w:w="960" w:type="dxa"/>
            <w:noWrap/>
            <w:hideMark/>
          </w:tcPr>
          <w:p w14:paraId="2D0AFBEE"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p>
        </w:tc>
      </w:tr>
      <w:tr w:rsidR="00354176" w:rsidRPr="00354176" w14:paraId="7E8CE8ED" w14:textId="77777777" w:rsidTr="00354176">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69B20B82" w14:textId="77777777" w:rsidR="00354176" w:rsidRPr="00354176" w:rsidRDefault="00354176" w:rsidP="00354176">
            <w:pPr>
              <w:rPr>
                <w:lang w:val="en-IN" w:eastAsia="en-IN" w:bidi="bn-BD"/>
              </w:rPr>
            </w:pPr>
            <w:r w:rsidRPr="00354176">
              <w:rPr>
                <w:lang w:val="en-IN" w:eastAsia="en-IN" w:bidi="bn-BD"/>
              </w:rPr>
              <w:t>Earnings Per Share (EPS) -Basic</w:t>
            </w:r>
          </w:p>
        </w:tc>
        <w:tc>
          <w:tcPr>
            <w:tcW w:w="862" w:type="dxa"/>
            <w:noWrap/>
            <w:hideMark/>
          </w:tcPr>
          <w:p w14:paraId="6E7077E1"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161</w:t>
            </w:r>
          </w:p>
        </w:tc>
        <w:tc>
          <w:tcPr>
            <w:tcW w:w="862" w:type="dxa"/>
            <w:noWrap/>
            <w:hideMark/>
          </w:tcPr>
          <w:p w14:paraId="6BB3E407"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138.4</w:t>
            </w:r>
          </w:p>
        </w:tc>
        <w:tc>
          <w:tcPr>
            <w:tcW w:w="960" w:type="dxa"/>
            <w:noWrap/>
            <w:hideMark/>
          </w:tcPr>
          <w:p w14:paraId="6F3FD2F5"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p>
        </w:tc>
      </w:tr>
      <w:tr w:rsidR="00354176" w:rsidRPr="00354176" w14:paraId="3095E2D9" w14:textId="77777777" w:rsidTr="00354176">
        <w:trPr>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7ED0C9E6" w14:textId="77777777" w:rsidR="00354176" w:rsidRPr="00354176" w:rsidRDefault="00354176" w:rsidP="00354176">
            <w:pPr>
              <w:rPr>
                <w:lang w:val="en-IN" w:eastAsia="en-IN" w:bidi="bn-BD"/>
              </w:rPr>
            </w:pPr>
            <w:r w:rsidRPr="00354176">
              <w:rPr>
                <w:lang w:val="en-IN" w:eastAsia="en-IN" w:bidi="bn-BD"/>
              </w:rPr>
              <w:t>Earnings Per Share (EPS) - Diluted</w:t>
            </w:r>
          </w:p>
        </w:tc>
        <w:tc>
          <w:tcPr>
            <w:tcW w:w="862" w:type="dxa"/>
            <w:noWrap/>
            <w:hideMark/>
          </w:tcPr>
          <w:p w14:paraId="2ADE7BDC"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159.9</w:t>
            </w:r>
          </w:p>
        </w:tc>
        <w:tc>
          <w:tcPr>
            <w:tcW w:w="862" w:type="dxa"/>
            <w:noWrap/>
            <w:hideMark/>
          </w:tcPr>
          <w:p w14:paraId="344271C7"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r w:rsidRPr="00354176">
              <w:rPr>
                <w:lang w:val="en-IN" w:eastAsia="en-IN" w:bidi="bn-BD"/>
              </w:rPr>
              <w:t>137.5</w:t>
            </w:r>
          </w:p>
        </w:tc>
        <w:tc>
          <w:tcPr>
            <w:tcW w:w="960" w:type="dxa"/>
            <w:noWrap/>
            <w:hideMark/>
          </w:tcPr>
          <w:p w14:paraId="7413A460" w14:textId="77777777" w:rsidR="00354176" w:rsidRPr="00354176" w:rsidRDefault="00354176" w:rsidP="00354176">
            <w:pPr>
              <w:cnfStyle w:val="000000000000" w:firstRow="0" w:lastRow="0" w:firstColumn="0" w:lastColumn="0" w:oddVBand="0" w:evenVBand="0" w:oddHBand="0" w:evenHBand="0" w:firstRowFirstColumn="0" w:firstRowLastColumn="0" w:lastRowFirstColumn="0" w:lastRowLastColumn="0"/>
              <w:rPr>
                <w:lang w:val="en-IN" w:eastAsia="en-IN" w:bidi="bn-BD"/>
              </w:rPr>
            </w:pPr>
          </w:p>
        </w:tc>
      </w:tr>
      <w:tr w:rsidR="00354176" w:rsidRPr="00354176" w14:paraId="29BBE557" w14:textId="77777777" w:rsidTr="00354176">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3876" w:type="dxa"/>
            <w:noWrap/>
            <w:hideMark/>
          </w:tcPr>
          <w:p w14:paraId="012C6EEF" w14:textId="77777777" w:rsidR="00354176" w:rsidRPr="00354176" w:rsidRDefault="00354176" w:rsidP="00354176">
            <w:pPr>
              <w:rPr>
                <w:lang w:val="en-IN" w:eastAsia="en-IN" w:bidi="bn-BD"/>
              </w:rPr>
            </w:pPr>
            <w:r w:rsidRPr="00354176">
              <w:rPr>
                <w:lang w:val="en-IN" w:eastAsia="en-IN" w:bidi="bn-BD"/>
              </w:rPr>
              <w:t>Price per Earnings ratio (P/E)</w:t>
            </w:r>
          </w:p>
        </w:tc>
        <w:tc>
          <w:tcPr>
            <w:tcW w:w="862" w:type="dxa"/>
            <w:noWrap/>
            <w:hideMark/>
          </w:tcPr>
          <w:p w14:paraId="20A880F9"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20.6567</w:t>
            </w:r>
          </w:p>
        </w:tc>
        <w:tc>
          <w:tcPr>
            <w:tcW w:w="862" w:type="dxa"/>
            <w:noWrap/>
            <w:hideMark/>
          </w:tcPr>
          <w:p w14:paraId="7B688222"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r w:rsidRPr="00354176">
              <w:rPr>
                <w:lang w:val="en-IN" w:eastAsia="en-IN" w:bidi="bn-BD"/>
              </w:rPr>
              <w:t>22.3636</w:t>
            </w:r>
          </w:p>
        </w:tc>
        <w:tc>
          <w:tcPr>
            <w:tcW w:w="960" w:type="dxa"/>
            <w:noWrap/>
            <w:hideMark/>
          </w:tcPr>
          <w:p w14:paraId="73554819" w14:textId="77777777" w:rsidR="00354176" w:rsidRPr="00354176" w:rsidRDefault="00354176" w:rsidP="00354176">
            <w:pPr>
              <w:cnfStyle w:val="000000100000" w:firstRow="0" w:lastRow="0" w:firstColumn="0" w:lastColumn="0" w:oddVBand="0" w:evenVBand="0" w:oddHBand="1" w:evenHBand="0" w:firstRowFirstColumn="0" w:firstRowLastColumn="0" w:lastRowFirstColumn="0" w:lastRowLastColumn="0"/>
              <w:rPr>
                <w:lang w:val="en-IN" w:eastAsia="en-IN" w:bidi="bn-BD"/>
              </w:rPr>
            </w:pPr>
          </w:p>
        </w:tc>
      </w:tr>
    </w:tbl>
    <w:p w14:paraId="4E9DEB48" w14:textId="77777777" w:rsidR="00354176" w:rsidRPr="00354176" w:rsidRDefault="00354176" w:rsidP="00354176"/>
    <w:sectPr w:rsidR="00354176" w:rsidRPr="00354176">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B5316" w14:textId="77777777" w:rsidR="00E5352A" w:rsidRDefault="00E5352A" w:rsidP="00D932AD">
      <w:pPr>
        <w:spacing w:after="0" w:line="240" w:lineRule="auto"/>
      </w:pPr>
      <w:r>
        <w:separator/>
      </w:r>
    </w:p>
  </w:endnote>
  <w:endnote w:type="continuationSeparator" w:id="0">
    <w:p w14:paraId="3547D551" w14:textId="77777777" w:rsidR="00E5352A" w:rsidRDefault="00E5352A" w:rsidP="00D93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6318310"/>
      <w:docPartObj>
        <w:docPartGallery w:val="Page Numbers (Bottom of Page)"/>
        <w:docPartUnique/>
      </w:docPartObj>
    </w:sdtPr>
    <w:sdtEndPr>
      <w:rPr>
        <w:noProof/>
      </w:rPr>
    </w:sdtEndPr>
    <w:sdtContent>
      <w:p w14:paraId="5B7ED0BE" w14:textId="41220E18" w:rsidR="00D932AD" w:rsidRDefault="00D932AD">
        <w:pPr>
          <w:pStyle w:val="Footer"/>
        </w:pPr>
        <w:r>
          <w:fldChar w:fldCharType="begin"/>
        </w:r>
        <w:r>
          <w:instrText xml:space="preserve"> PAGE   \* MERGEFORMAT </w:instrText>
        </w:r>
        <w:r>
          <w:fldChar w:fldCharType="separate"/>
        </w:r>
        <w:r>
          <w:rPr>
            <w:noProof/>
          </w:rPr>
          <w:t>2</w:t>
        </w:r>
        <w:r>
          <w:rPr>
            <w:noProof/>
          </w:rPr>
          <w:fldChar w:fldCharType="end"/>
        </w:r>
      </w:p>
    </w:sdtContent>
  </w:sdt>
  <w:p w14:paraId="7AEEA4D8" w14:textId="77777777" w:rsidR="00D932AD" w:rsidRDefault="00D932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5D7E3" w14:textId="77777777" w:rsidR="00E5352A" w:rsidRDefault="00E5352A" w:rsidP="00D932AD">
      <w:pPr>
        <w:spacing w:after="0" w:line="240" w:lineRule="auto"/>
      </w:pPr>
      <w:r>
        <w:separator/>
      </w:r>
    </w:p>
  </w:footnote>
  <w:footnote w:type="continuationSeparator" w:id="0">
    <w:p w14:paraId="56F89CE2" w14:textId="77777777" w:rsidR="00E5352A" w:rsidRDefault="00E5352A" w:rsidP="00D932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683"/>
    <w:multiLevelType w:val="multilevel"/>
    <w:tmpl w:val="A3C2B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83668"/>
    <w:multiLevelType w:val="multilevel"/>
    <w:tmpl w:val="E2D24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664CD9"/>
    <w:multiLevelType w:val="hybridMultilevel"/>
    <w:tmpl w:val="656432BC"/>
    <w:lvl w:ilvl="0" w:tplc="799CBAF8">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23E0828"/>
    <w:multiLevelType w:val="multilevel"/>
    <w:tmpl w:val="1C4E3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455DF6"/>
    <w:multiLevelType w:val="multilevel"/>
    <w:tmpl w:val="E1EA4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CE44E9"/>
    <w:multiLevelType w:val="hybridMultilevel"/>
    <w:tmpl w:val="BAFE575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0550716"/>
    <w:multiLevelType w:val="multilevel"/>
    <w:tmpl w:val="00E01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78618E"/>
    <w:multiLevelType w:val="multilevel"/>
    <w:tmpl w:val="7EAE6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44718D"/>
    <w:multiLevelType w:val="multilevel"/>
    <w:tmpl w:val="EC3E8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FA36B8"/>
    <w:multiLevelType w:val="multilevel"/>
    <w:tmpl w:val="F66C1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4B748C"/>
    <w:multiLevelType w:val="multilevel"/>
    <w:tmpl w:val="EA6CB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1A5DAD"/>
    <w:multiLevelType w:val="multilevel"/>
    <w:tmpl w:val="012EC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390C1C"/>
    <w:multiLevelType w:val="multilevel"/>
    <w:tmpl w:val="75D27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969CA"/>
    <w:multiLevelType w:val="multilevel"/>
    <w:tmpl w:val="84541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B75CAB"/>
    <w:multiLevelType w:val="multilevel"/>
    <w:tmpl w:val="AE64B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4F389A"/>
    <w:multiLevelType w:val="multilevel"/>
    <w:tmpl w:val="6BAAF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0E4BD4"/>
    <w:multiLevelType w:val="multilevel"/>
    <w:tmpl w:val="7840C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5B3681"/>
    <w:multiLevelType w:val="multilevel"/>
    <w:tmpl w:val="878200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BC2164"/>
    <w:multiLevelType w:val="multilevel"/>
    <w:tmpl w:val="6D0A8F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EB267C"/>
    <w:multiLevelType w:val="multilevel"/>
    <w:tmpl w:val="207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E107A0"/>
    <w:multiLevelType w:val="multilevel"/>
    <w:tmpl w:val="716CC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F84847"/>
    <w:multiLevelType w:val="hybridMultilevel"/>
    <w:tmpl w:val="42D2F086"/>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40CE553B"/>
    <w:multiLevelType w:val="multilevel"/>
    <w:tmpl w:val="E370F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9073ED"/>
    <w:multiLevelType w:val="multilevel"/>
    <w:tmpl w:val="24926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7A5963"/>
    <w:multiLevelType w:val="multilevel"/>
    <w:tmpl w:val="CA9A0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FA7CE6"/>
    <w:multiLevelType w:val="multilevel"/>
    <w:tmpl w:val="A5B47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2A6366"/>
    <w:multiLevelType w:val="multilevel"/>
    <w:tmpl w:val="09C4E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CF4E27"/>
    <w:multiLevelType w:val="multilevel"/>
    <w:tmpl w:val="D72AE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3D1CB2"/>
    <w:multiLevelType w:val="multilevel"/>
    <w:tmpl w:val="2D1CD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B63A88"/>
    <w:multiLevelType w:val="multilevel"/>
    <w:tmpl w:val="643827C8"/>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2305E4"/>
    <w:multiLevelType w:val="multilevel"/>
    <w:tmpl w:val="5C349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F158D6"/>
    <w:multiLevelType w:val="multilevel"/>
    <w:tmpl w:val="A7922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48030D"/>
    <w:multiLevelType w:val="multilevel"/>
    <w:tmpl w:val="52063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FA2F66"/>
    <w:multiLevelType w:val="multilevel"/>
    <w:tmpl w:val="4A6C8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740CC2"/>
    <w:multiLevelType w:val="multilevel"/>
    <w:tmpl w:val="5706E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D65CDB"/>
    <w:multiLevelType w:val="multilevel"/>
    <w:tmpl w:val="1A5803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B96E9A"/>
    <w:multiLevelType w:val="multilevel"/>
    <w:tmpl w:val="BAD04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E701F8"/>
    <w:multiLevelType w:val="multilevel"/>
    <w:tmpl w:val="7C681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AA19C1"/>
    <w:multiLevelType w:val="multilevel"/>
    <w:tmpl w:val="6D14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B50BEF"/>
    <w:multiLevelType w:val="multilevel"/>
    <w:tmpl w:val="20A6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E777A7"/>
    <w:multiLevelType w:val="multilevel"/>
    <w:tmpl w:val="3D86D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5578121">
    <w:abstractNumId w:val="2"/>
  </w:num>
  <w:num w:numId="2" w16cid:durableId="1996714826">
    <w:abstractNumId w:val="38"/>
  </w:num>
  <w:num w:numId="3" w16cid:durableId="1502087558">
    <w:abstractNumId w:val="29"/>
  </w:num>
  <w:num w:numId="4" w16cid:durableId="797797175">
    <w:abstractNumId w:val="28"/>
  </w:num>
  <w:num w:numId="5" w16cid:durableId="1342929554">
    <w:abstractNumId w:val="33"/>
  </w:num>
  <w:num w:numId="6" w16cid:durableId="1399859277">
    <w:abstractNumId w:val="20"/>
  </w:num>
  <w:num w:numId="7" w16cid:durableId="1164786062">
    <w:abstractNumId w:val="12"/>
  </w:num>
  <w:num w:numId="8" w16cid:durableId="411702374">
    <w:abstractNumId w:val="37"/>
  </w:num>
  <w:num w:numId="9" w16cid:durableId="1243180143">
    <w:abstractNumId w:val="8"/>
  </w:num>
  <w:num w:numId="10" w16cid:durableId="566309999">
    <w:abstractNumId w:val="0"/>
  </w:num>
  <w:num w:numId="11" w16cid:durableId="1952010848">
    <w:abstractNumId w:val="15"/>
  </w:num>
  <w:num w:numId="12" w16cid:durableId="516504025">
    <w:abstractNumId w:val="27"/>
  </w:num>
  <w:num w:numId="13" w16cid:durableId="1874070093">
    <w:abstractNumId w:val="11"/>
  </w:num>
  <w:num w:numId="14" w16cid:durableId="1122260809">
    <w:abstractNumId w:val="39"/>
  </w:num>
  <w:num w:numId="15" w16cid:durableId="620384504">
    <w:abstractNumId w:val="25"/>
  </w:num>
  <w:num w:numId="16" w16cid:durableId="1722828762">
    <w:abstractNumId w:val="14"/>
  </w:num>
  <w:num w:numId="17" w16cid:durableId="1121652307">
    <w:abstractNumId w:val="22"/>
  </w:num>
  <w:num w:numId="18" w16cid:durableId="639774379">
    <w:abstractNumId w:val="5"/>
  </w:num>
  <w:num w:numId="19" w16cid:durableId="248806431">
    <w:abstractNumId w:val="35"/>
  </w:num>
  <w:num w:numId="20" w16cid:durableId="1551846468">
    <w:abstractNumId w:val="9"/>
  </w:num>
  <w:num w:numId="21" w16cid:durableId="56635589">
    <w:abstractNumId w:val="21"/>
  </w:num>
  <w:num w:numId="22" w16cid:durableId="656498702">
    <w:abstractNumId w:val="7"/>
  </w:num>
  <w:num w:numId="23" w16cid:durableId="688945188">
    <w:abstractNumId w:val="19"/>
  </w:num>
  <w:num w:numId="24" w16cid:durableId="426778576">
    <w:abstractNumId w:val="18"/>
  </w:num>
  <w:num w:numId="25" w16cid:durableId="1869292507">
    <w:abstractNumId w:val="1"/>
  </w:num>
  <w:num w:numId="26" w16cid:durableId="1187018191">
    <w:abstractNumId w:val="24"/>
  </w:num>
  <w:num w:numId="27" w16cid:durableId="867566070">
    <w:abstractNumId w:val="3"/>
  </w:num>
  <w:num w:numId="28" w16cid:durableId="1933587508">
    <w:abstractNumId w:val="26"/>
  </w:num>
  <w:num w:numId="29" w16cid:durableId="549196188">
    <w:abstractNumId w:val="17"/>
  </w:num>
  <w:num w:numId="30" w16cid:durableId="865676664">
    <w:abstractNumId w:val="4"/>
  </w:num>
  <w:num w:numId="31" w16cid:durableId="687634991">
    <w:abstractNumId w:val="6"/>
  </w:num>
  <w:num w:numId="32" w16cid:durableId="456333839">
    <w:abstractNumId w:val="10"/>
  </w:num>
  <w:num w:numId="33" w16cid:durableId="1920433519">
    <w:abstractNumId w:val="32"/>
  </w:num>
  <w:num w:numId="34" w16cid:durableId="1822231413">
    <w:abstractNumId w:val="34"/>
  </w:num>
  <w:num w:numId="35" w16cid:durableId="1220440844">
    <w:abstractNumId w:val="16"/>
  </w:num>
  <w:num w:numId="36" w16cid:durableId="1920940657">
    <w:abstractNumId w:val="36"/>
  </w:num>
  <w:num w:numId="37" w16cid:durableId="1396389589">
    <w:abstractNumId w:val="13"/>
  </w:num>
  <w:num w:numId="38" w16cid:durableId="1876766988">
    <w:abstractNumId w:val="23"/>
  </w:num>
  <w:num w:numId="39" w16cid:durableId="1503155731">
    <w:abstractNumId w:val="30"/>
  </w:num>
  <w:num w:numId="40" w16cid:durableId="1719160800">
    <w:abstractNumId w:val="31"/>
  </w:num>
  <w:num w:numId="41" w16cid:durableId="210556946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MytTCxNDQxNjQ2NDNQ0lEKTi0uzszPAymwqAUARQDW6iwAAAA="/>
  </w:docVars>
  <w:rsids>
    <w:rsidRoot w:val="004678EA"/>
    <w:rsid w:val="0000474C"/>
    <w:rsid w:val="00022614"/>
    <w:rsid w:val="0005407A"/>
    <w:rsid w:val="000666C3"/>
    <w:rsid w:val="000859E1"/>
    <w:rsid w:val="000D124C"/>
    <w:rsid w:val="00113EFD"/>
    <w:rsid w:val="0015726F"/>
    <w:rsid w:val="00185C77"/>
    <w:rsid w:val="001D1E8E"/>
    <w:rsid w:val="001F4028"/>
    <w:rsid w:val="0021196D"/>
    <w:rsid w:val="00214E1D"/>
    <w:rsid w:val="00250EB7"/>
    <w:rsid w:val="002B1971"/>
    <w:rsid w:val="002B1DAE"/>
    <w:rsid w:val="002C7C05"/>
    <w:rsid w:val="00321F0D"/>
    <w:rsid w:val="003362DB"/>
    <w:rsid w:val="00354176"/>
    <w:rsid w:val="00423885"/>
    <w:rsid w:val="00443471"/>
    <w:rsid w:val="004678EA"/>
    <w:rsid w:val="00477B5B"/>
    <w:rsid w:val="00482C19"/>
    <w:rsid w:val="005A6B3E"/>
    <w:rsid w:val="005A7C8F"/>
    <w:rsid w:val="005C5EB8"/>
    <w:rsid w:val="005F4096"/>
    <w:rsid w:val="0061000F"/>
    <w:rsid w:val="00633324"/>
    <w:rsid w:val="0065315F"/>
    <w:rsid w:val="00757067"/>
    <w:rsid w:val="00764216"/>
    <w:rsid w:val="0077024B"/>
    <w:rsid w:val="007D0795"/>
    <w:rsid w:val="007D43F0"/>
    <w:rsid w:val="007D4845"/>
    <w:rsid w:val="008319B2"/>
    <w:rsid w:val="008360DE"/>
    <w:rsid w:val="00925F9D"/>
    <w:rsid w:val="00933962"/>
    <w:rsid w:val="009361D4"/>
    <w:rsid w:val="00982688"/>
    <w:rsid w:val="009C7290"/>
    <w:rsid w:val="00A001A5"/>
    <w:rsid w:val="00A317B5"/>
    <w:rsid w:val="00A74C20"/>
    <w:rsid w:val="00AA71E7"/>
    <w:rsid w:val="00AC2482"/>
    <w:rsid w:val="00AF2555"/>
    <w:rsid w:val="00B1113F"/>
    <w:rsid w:val="00B43A22"/>
    <w:rsid w:val="00B5375D"/>
    <w:rsid w:val="00B82DF9"/>
    <w:rsid w:val="00BF50FD"/>
    <w:rsid w:val="00C911DF"/>
    <w:rsid w:val="00C91730"/>
    <w:rsid w:val="00CD1339"/>
    <w:rsid w:val="00CD3CA8"/>
    <w:rsid w:val="00D04BAA"/>
    <w:rsid w:val="00D33519"/>
    <w:rsid w:val="00D579B9"/>
    <w:rsid w:val="00D932AD"/>
    <w:rsid w:val="00D939DB"/>
    <w:rsid w:val="00DF7E4D"/>
    <w:rsid w:val="00E12710"/>
    <w:rsid w:val="00E5352A"/>
    <w:rsid w:val="00E6019A"/>
    <w:rsid w:val="00ED2927"/>
    <w:rsid w:val="00F15AA3"/>
    <w:rsid w:val="00F9277C"/>
    <w:rsid w:val="00FC49A9"/>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202C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9A9"/>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F9277C"/>
    <w:pPr>
      <w:keepNext/>
      <w:keepLines/>
      <w:spacing w:before="240" w:after="0"/>
      <w:outlineLvl w:val="0"/>
    </w:pPr>
    <w:rPr>
      <w:rFonts w:ascii="Cambria" w:eastAsiaTheme="majorEastAsia" w:hAnsi="Cambria" w:cstheme="majorBidi"/>
      <w:b/>
      <w:color w:val="0F4761" w:themeColor="accent1" w:themeShade="BF"/>
      <w:sz w:val="28"/>
      <w:szCs w:val="32"/>
    </w:rPr>
  </w:style>
  <w:style w:type="paragraph" w:styleId="Heading2">
    <w:name w:val="heading 2"/>
    <w:basedOn w:val="Normal"/>
    <w:next w:val="Normal"/>
    <w:link w:val="Heading2Char"/>
    <w:uiPriority w:val="9"/>
    <w:unhideWhenUsed/>
    <w:qFormat/>
    <w:rsid w:val="003362DB"/>
    <w:pPr>
      <w:keepNext/>
      <w:keepLines/>
      <w:spacing w:before="160" w:after="80"/>
      <w:outlineLvl w:val="1"/>
    </w:pPr>
    <w:rPr>
      <w:rFonts w:asciiTheme="majorHAnsi" w:eastAsiaTheme="majorEastAsia" w:hAnsiTheme="majorHAnsi" w:cstheme="majorBidi"/>
      <w:b/>
      <w:color w:val="0F4761" w:themeColor="accent1" w:themeShade="BF"/>
      <w:sz w:val="26"/>
      <w:szCs w:val="32"/>
    </w:rPr>
  </w:style>
  <w:style w:type="paragraph" w:styleId="Heading3">
    <w:name w:val="heading 3"/>
    <w:basedOn w:val="Normal"/>
    <w:next w:val="Normal"/>
    <w:link w:val="Heading3Char"/>
    <w:uiPriority w:val="9"/>
    <w:semiHidden/>
    <w:unhideWhenUsed/>
    <w:qFormat/>
    <w:rsid w:val="004678E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78E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678E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678E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678E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678E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678E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77C"/>
    <w:rPr>
      <w:rFonts w:ascii="Cambria" w:eastAsiaTheme="majorEastAsia" w:hAnsi="Cambria" w:cstheme="majorBidi"/>
      <w:b/>
      <w:color w:val="0F4761" w:themeColor="accent1" w:themeShade="BF"/>
      <w:sz w:val="28"/>
      <w:szCs w:val="32"/>
      <w:lang w:val="en-GB"/>
    </w:rPr>
  </w:style>
  <w:style w:type="character" w:customStyle="1" w:styleId="Heading2Char">
    <w:name w:val="Heading 2 Char"/>
    <w:basedOn w:val="DefaultParagraphFont"/>
    <w:link w:val="Heading2"/>
    <w:uiPriority w:val="9"/>
    <w:rsid w:val="003362DB"/>
    <w:rPr>
      <w:rFonts w:asciiTheme="majorHAnsi" w:eastAsiaTheme="majorEastAsia" w:hAnsiTheme="majorHAnsi" w:cstheme="majorBidi"/>
      <w:b/>
      <w:color w:val="0F4761" w:themeColor="accent1" w:themeShade="BF"/>
      <w:kern w:val="0"/>
      <w:sz w:val="26"/>
      <w:szCs w:val="32"/>
      <w:lang w:val="en-GB"/>
      <w14:ligatures w14:val="none"/>
    </w:rPr>
  </w:style>
  <w:style w:type="character" w:customStyle="1" w:styleId="Heading3Char">
    <w:name w:val="Heading 3 Char"/>
    <w:basedOn w:val="DefaultParagraphFont"/>
    <w:link w:val="Heading3"/>
    <w:uiPriority w:val="9"/>
    <w:semiHidden/>
    <w:rsid w:val="004678EA"/>
    <w:rPr>
      <w:rFonts w:eastAsiaTheme="majorEastAsia" w:cstheme="majorBidi"/>
      <w:color w:val="0F4761" w:themeColor="accent1" w:themeShade="BF"/>
      <w:kern w:val="0"/>
      <w:sz w:val="28"/>
      <w:szCs w:val="28"/>
      <w:lang w:val="en-GB"/>
      <w14:ligatures w14:val="none"/>
    </w:rPr>
  </w:style>
  <w:style w:type="character" w:customStyle="1" w:styleId="Heading4Char">
    <w:name w:val="Heading 4 Char"/>
    <w:basedOn w:val="DefaultParagraphFont"/>
    <w:link w:val="Heading4"/>
    <w:uiPriority w:val="9"/>
    <w:semiHidden/>
    <w:rsid w:val="004678EA"/>
    <w:rPr>
      <w:rFonts w:eastAsiaTheme="majorEastAsia" w:cstheme="majorBidi"/>
      <w:i/>
      <w:iCs/>
      <w:color w:val="0F476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4678EA"/>
    <w:rPr>
      <w:rFonts w:eastAsiaTheme="majorEastAsia" w:cstheme="majorBidi"/>
      <w:color w:val="0F476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4678EA"/>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4678EA"/>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4678EA"/>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4678EA"/>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4678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78EA"/>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4678E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78EA"/>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4678EA"/>
    <w:pPr>
      <w:spacing w:before="160"/>
      <w:jc w:val="center"/>
    </w:pPr>
    <w:rPr>
      <w:i/>
      <w:iCs/>
      <w:color w:val="404040" w:themeColor="text1" w:themeTint="BF"/>
    </w:rPr>
  </w:style>
  <w:style w:type="character" w:customStyle="1" w:styleId="QuoteChar">
    <w:name w:val="Quote Char"/>
    <w:basedOn w:val="DefaultParagraphFont"/>
    <w:link w:val="Quote"/>
    <w:uiPriority w:val="29"/>
    <w:rsid w:val="004678EA"/>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4678EA"/>
    <w:pPr>
      <w:ind w:left="720"/>
      <w:contextualSpacing/>
    </w:pPr>
  </w:style>
  <w:style w:type="character" w:styleId="IntenseEmphasis">
    <w:name w:val="Intense Emphasis"/>
    <w:basedOn w:val="DefaultParagraphFont"/>
    <w:uiPriority w:val="21"/>
    <w:qFormat/>
    <w:rsid w:val="004678EA"/>
    <w:rPr>
      <w:i/>
      <w:iCs/>
      <w:color w:val="0F4761" w:themeColor="accent1" w:themeShade="BF"/>
    </w:rPr>
  </w:style>
  <w:style w:type="paragraph" w:styleId="IntenseQuote">
    <w:name w:val="Intense Quote"/>
    <w:basedOn w:val="Normal"/>
    <w:next w:val="Normal"/>
    <w:link w:val="IntenseQuoteChar"/>
    <w:uiPriority w:val="30"/>
    <w:qFormat/>
    <w:rsid w:val="004678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78EA"/>
    <w:rPr>
      <w:rFonts w:ascii="Times New Roman" w:hAnsi="Times New Roman"/>
      <w:i/>
      <w:iCs/>
      <w:color w:val="0F4761" w:themeColor="accent1" w:themeShade="BF"/>
      <w:kern w:val="0"/>
      <w:sz w:val="24"/>
      <w:lang w:val="en-GB"/>
      <w14:ligatures w14:val="none"/>
    </w:rPr>
  </w:style>
  <w:style w:type="character" w:styleId="IntenseReference">
    <w:name w:val="Intense Reference"/>
    <w:basedOn w:val="DefaultParagraphFont"/>
    <w:uiPriority w:val="32"/>
    <w:qFormat/>
    <w:rsid w:val="004678EA"/>
    <w:rPr>
      <w:b/>
      <w:bCs/>
      <w:smallCaps/>
      <w:color w:val="0F4761" w:themeColor="accent1" w:themeShade="BF"/>
      <w:spacing w:val="5"/>
    </w:rPr>
  </w:style>
  <w:style w:type="table" w:styleId="TableGrid">
    <w:name w:val="Table Grid"/>
    <w:basedOn w:val="TableNormal"/>
    <w:uiPriority w:val="39"/>
    <w:rsid w:val="00336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D43F0"/>
    <w:rPr>
      <w:color w:val="666666"/>
    </w:rPr>
  </w:style>
  <w:style w:type="character" w:styleId="Strong">
    <w:name w:val="Strong"/>
    <w:basedOn w:val="DefaultParagraphFont"/>
    <w:uiPriority w:val="22"/>
    <w:qFormat/>
    <w:rsid w:val="00ED2927"/>
    <w:rPr>
      <w:b/>
      <w:bCs/>
    </w:rPr>
  </w:style>
  <w:style w:type="paragraph" w:styleId="NormalWeb">
    <w:name w:val="Normal (Web)"/>
    <w:basedOn w:val="Normal"/>
    <w:uiPriority w:val="99"/>
    <w:semiHidden/>
    <w:unhideWhenUsed/>
    <w:rsid w:val="00ED2927"/>
    <w:pPr>
      <w:spacing w:before="100" w:beforeAutospacing="1" w:after="100" w:afterAutospacing="1" w:line="240" w:lineRule="auto"/>
      <w:jc w:val="left"/>
    </w:pPr>
    <w:rPr>
      <w:rFonts w:eastAsia="Times New Roman" w:cs="Times New Roman"/>
      <w:szCs w:val="24"/>
      <w:lang w:val="en-IN" w:eastAsia="en-IN" w:bidi="bn-BD"/>
    </w:rPr>
  </w:style>
  <w:style w:type="table" w:styleId="GridTable4-Accent4">
    <w:name w:val="Grid Table 4 Accent 4"/>
    <w:basedOn w:val="TableNormal"/>
    <w:uiPriority w:val="49"/>
    <w:rsid w:val="00AA71E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customStyle="1" w:styleId="selected">
    <w:name w:val="selected"/>
    <w:basedOn w:val="DefaultParagraphFont"/>
    <w:rsid w:val="00AA71E7"/>
  </w:style>
  <w:style w:type="paragraph" w:styleId="Header">
    <w:name w:val="header"/>
    <w:basedOn w:val="Normal"/>
    <w:link w:val="HeaderChar"/>
    <w:uiPriority w:val="99"/>
    <w:unhideWhenUsed/>
    <w:rsid w:val="00D932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32AD"/>
    <w:rPr>
      <w:rFonts w:ascii="Times New Roman" w:hAnsi="Times New Roman"/>
      <w:kern w:val="0"/>
      <w:sz w:val="24"/>
      <w:lang w:val="en-GB"/>
      <w14:ligatures w14:val="none"/>
    </w:rPr>
  </w:style>
  <w:style w:type="paragraph" w:styleId="Footer">
    <w:name w:val="footer"/>
    <w:basedOn w:val="Normal"/>
    <w:link w:val="FooterChar"/>
    <w:uiPriority w:val="99"/>
    <w:unhideWhenUsed/>
    <w:rsid w:val="00D932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32AD"/>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E6019A"/>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E6019A"/>
    <w:pPr>
      <w:spacing w:after="100"/>
    </w:pPr>
  </w:style>
  <w:style w:type="paragraph" w:styleId="TOC2">
    <w:name w:val="toc 2"/>
    <w:basedOn w:val="Normal"/>
    <w:next w:val="Normal"/>
    <w:autoRedefine/>
    <w:uiPriority w:val="39"/>
    <w:unhideWhenUsed/>
    <w:rsid w:val="00E6019A"/>
    <w:pPr>
      <w:spacing w:after="100"/>
      <w:ind w:left="240"/>
    </w:pPr>
  </w:style>
  <w:style w:type="character" w:styleId="Hyperlink">
    <w:name w:val="Hyperlink"/>
    <w:basedOn w:val="DefaultParagraphFont"/>
    <w:uiPriority w:val="99"/>
    <w:unhideWhenUsed/>
    <w:rsid w:val="00E6019A"/>
    <w:rPr>
      <w:color w:val="467886" w:themeColor="hyperlink"/>
      <w:u w:val="single"/>
    </w:rPr>
  </w:style>
  <w:style w:type="table" w:styleId="GridTable5Dark-Accent4">
    <w:name w:val="Grid Table 5 Dark Accent 4"/>
    <w:basedOn w:val="TableNormal"/>
    <w:uiPriority w:val="50"/>
    <w:rsid w:val="00A001A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Caption">
    <w:name w:val="caption"/>
    <w:basedOn w:val="Normal"/>
    <w:next w:val="Normal"/>
    <w:autoRedefine/>
    <w:uiPriority w:val="35"/>
    <w:unhideWhenUsed/>
    <w:qFormat/>
    <w:rsid w:val="00185C77"/>
    <w:pPr>
      <w:spacing w:after="200"/>
      <w:jc w:val="center"/>
    </w:pPr>
    <w:rPr>
      <w:i/>
      <w:iCs/>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49553">
      <w:bodyDiv w:val="1"/>
      <w:marLeft w:val="0"/>
      <w:marRight w:val="0"/>
      <w:marTop w:val="0"/>
      <w:marBottom w:val="0"/>
      <w:divBdr>
        <w:top w:val="none" w:sz="0" w:space="0" w:color="auto"/>
        <w:left w:val="none" w:sz="0" w:space="0" w:color="auto"/>
        <w:bottom w:val="none" w:sz="0" w:space="0" w:color="auto"/>
        <w:right w:val="none" w:sz="0" w:space="0" w:color="auto"/>
      </w:divBdr>
    </w:div>
    <w:div w:id="67316099">
      <w:bodyDiv w:val="1"/>
      <w:marLeft w:val="0"/>
      <w:marRight w:val="0"/>
      <w:marTop w:val="0"/>
      <w:marBottom w:val="0"/>
      <w:divBdr>
        <w:top w:val="none" w:sz="0" w:space="0" w:color="auto"/>
        <w:left w:val="none" w:sz="0" w:space="0" w:color="auto"/>
        <w:bottom w:val="none" w:sz="0" w:space="0" w:color="auto"/>
        <w:right w:val="none" w:sz="0" w:space="0" w:color="auto"/>
      </w:divBdr>
    </w:div>
    <w:div w:id="68430557">
      <w:bodyDiv w:val="1"/>
      <w:marLeft w:val="0"/>
      <w:marRight w:val="0"/>
      <w:marTop w:val="0"/>
      <w:marBottom w:val="0"/>
      <w:divBdr>
        <w:top w:val="none" w:sz="0" w:space="0" w:color="auto"/>
        <w:left w:val="none" w:sz="0" w:space="0" w:color="auto"/>
        <w:bottom w:val="none" w:sz="0" w:space="0" w:color="auto"/>
        <w:right w:val="none" w:sz="0" w:space="0" w:color="auto"/>
      </w:divBdr>
    </w:div>
    <w:div w:id="90470843">
      <w:bodyDiv w:val="1"/>
      <w:marLeft w:val="0"/>
      <w:marRight w:val="0"/>
      <w:marTop w:val="0"/>
      <w:marBottom w:val="0"/>
      <w:divBdr>
        <w:top w:val="none" w:sz="0" w:space="0" w:color="auto"/>
        <w:left w:val="none" w:sz="0" w:space="0" w:color="auto"/>
        <w:bottom w:val="none" w:sz="0" w:space="0" w:color="auto"/>
        <w:right w:val="none" w:sz="0" w:space="0" w:color="auto"/>
      </w:divBdr>
    </w:div>
    <w:div w:id="310641177">
      <w:bodyDiv w:val="1"/>
      <w:marLeft w:val="0"/>
      <w:marRight w:val="0"/>
      <w:marTop w:val="0"/>
      <w:marBottom w:val="0"/>
      <w:divBdr>
        <w:top w:val="none" w:sz="0" w:space="0" w:color="auto"/>
        <w:left w:val="none" w:sz="0" w:space="0" w:color="auto"/>
        <w:bottom w:val="none" w:sz="0" w:space="0" w:color="auto"/>
        <w:right w:val="none" w:sz="0" w:space="0" w:color="auto"/>
      </w:divBdr>
    </w:div>
    <w:div w:id="362678572">
      <w:bodyDiv w:val="1"/>
      <w:marLeft w:val="0"/>
      <w:marRight w:val="0"/>
      <w:marTop w:val="0"/>
      <w:marBottom w:val="0"/>
      <w:divBdr>
        <w:top w:val="none" w:sz="0" w:space="0" w:color="auto"/>
        <w:left w:val="none" w:sz="0" w:space="0" w:color="auto"/>
        <w:bottom w:val="none" w:sz="0" w:space="0" w:color="auto"/>
        <w:right w:val="none" w:sz="0" w:space="0" w:color="auto"/>
      </w:divBdr>
      <w:divsChild>
        <w:div w:id="1940720081">
          <w:marLeft w:val="0"/>
          <w:marRight w:val="0"/>
          <w:marTop w:val="0"/>
          <w:marBottom w:val="0"/>
          <w:divBdr>
            <w:top w:val="none" w:sz="0" w:space="0" w:color="auto"/>
            <w:left w:val="none" w:sz="0" w:space="0" w:color="auto"/>
            <w:bottom w:val="none" w:sz="0" w:space="0" w:color="auto"/>
            <w:right w:val="none" w:sz="0" w:space="0" w:color="auto"/>
          </w:divBdr>
          <w:divsChild>
            <w:div w:id="1040787472">
              <w:marLeft w:val="0"/>
              <w:marRight w:val="0"/>
              <w:marTop w:val="0"/>
              <w:marBottom w:val="0"/>
              <w:divBdr>
                <w:top w:val="none" w:sz="0" w:space="0" w:color="auto"/>
                <w:left w:val="none" w:sz="0" w:space="0" w:color="auto"/>
                <w:bottom w:val="none" w:sz="0" w:space="0" w:color="auto"/>
                <w:right w:val="none" w:sz="0" w:space="0" w:color="auto"/>
              </w:divBdr>
              <w:divsChild>
                <w:div w:id="589044289">
                  <w:marLeft w:val="0"/>
                  <w:marRight w:val="0"/>
                  <w:marTop w:val="0"/>
                  <w:marBottom w:val="0"/>
                  <w:divBdr>
                    <w:top w:val="none" w:sz="0" w:space="0" w:color="auto"/>
                    <w:left w:val="none" w:sz="0" w:space="0" w:color="auto"/>
                    <w:bottom w:val="none" w:sz="0" w:space="0" w:color="auto"/>
                    <w:right w:val="none" w:sz="0" w:space="0" w:color="auto"/>
                  </w:divBdr>
                  <w:divsChild>
                    <w:div w:id="589581715">
                      <w:marLeft w:val="0"/>
                      <w:marRight w:val="0"/>
                      <w:marTop w:val="0"/>
                      <w:marBottom w:val="0"/>
                      <w:divBdr>
                        <w:top w:val="none" w:sz="0" w:space="0" w:color="auto"/>
                        <w:left w:val="none" w:sz="0" w:space="0" w:color="auto"/>
                        <w:bottom w:val="none" w:sz="0" w:space="0" w:color="auto"/>
                        <w:right w:val="none" w:sz="0" w:space="0" w:color="auto"/>
                      </w:divBdr>
                      <w:divsChild>
                        <w:div w:id="956835003">
                          <w:marLeft w:val="0"/>
                          <w:marRight w:val="0"/>
                          <w:marTop w:val="0"/>
                          <w:marBottom w:val="0"/>
                          <w:divBdr>
                            <w:top w:val="none" w:sz="0" w:space="0" w:color="auto"/>
                            <w:left w:val="none" w:sz="0" w:space="0" w:color="auto"/>
                            <w:bottom w:val="none" w:sz="0" w:space="0" w:color="auto"/>
                            <w:right w:val="none" w:sz="0" w:space="0" w:color="auto"/>
                          </w:divBdr>
                          <w:divsChild>
                            <w:div w:id="1987776104">
                              <w:marLeft w:val="0"/>
                              <w:marRight w:val="0"/>
                              <w:marTop w:val="0"/>
                              <w:marBottom w:val="0"/>
                              <w:divBdr>
                                <w:top w:val="none" w:sz="0" w:space="0" w:color="auto"/>
                                <w:left w:val="none" w:sz="0" w:space="0" w:color="auto"/>
                                <w:bottom w:val="none" w:sz="0" w:space="0" w:color="auto"/>
                                <w:right w:val="none" w:sz="0" w:space="0" w:color="auto"/>
                              </w:divBdr>
                              <w:divsChild>
                                <w:div w:id="890338936">
                                  <w:marLeft w:val="0"/>
                                  <w:marRight w:val="0"/>
                                  <w:marTop w:val="0"/>
                                  <w:marBottom w:val="0"/>
                                  <w:divBdr>
                                    <w:top w:val="none" w:sz="0" w:space="0" w:color="auto"/>
                                    <w:left w:val="none" w:sz="0" w:space="0" w:color="auto"/>
                                    <w:bottom w:val="none" w:sz="0" w:space="0" w:color="auto"/>
                                    <w:right w:val="none" w:sz="0" w:space="0" w:color="auto"/>
                                  </w:divBdr>
                                  <w:divsChild>
                                    <w:div w:id="213694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325367">
      <w:bodyDiv w:val="1"/>
      <w:marLeft w:val="0"/>
      <w:marRight w:val="0"/>
      <w:marTop w:val="0"/>
      <w:marBottom w:val="0"/>
      <w:divBdr>
        <w:top w:val="none" w:sz="0" w:space="0" w:color="auto"/>
        <w:left w:val="none" w:sz="0" w:space="0" w:color="auto"/>
        <w:bottom w:val="none" w:sz="0" w:space="0" w:color="auto"/>
        <w:right w:val="none" w:sz="0" w:space="0" w:color="auto"/>
      </w:divBdr>
    </w:div>
    <w:div w:id="426654764">
      <w:bodyDiv w:val="1"/>
      <w:marLeft w:val="0"/>
      <w:marRight w:val="0"/>
      <w:marTop w:val="0"/>
      <w:marBottom w:val="0"/>
      <w:divBdr>
        <w:top w:val="none" w:sz="0" w:space="0" w:color="auto"/>
        <w:left w:val="none" w:sz="0" w:space="0" w:color="auto"/>
        <w:bottom w:val="none" w:sz="0" w:space="0" w:color="auto"/>
        <w:right w:val="none" w:sz="0" w:space="0" w:color="auto"/>
      </w:divBdr>
    </w:div>
    <w:div w:id="602883651">
      <w:bodyDiv w:val="1"/>
      <w:marLeft w:val="0"/>
      <w:marRight w:val="0"/>
      <w:marTop w:val="0"/>
      <w:marBottom w:val="0"/>
      <w:divBdr>
        <w:top w:val="none" w:sz="0" w:space="0" w:color="auto"/>
        <w:left w:val="none" w:sz="0" w:space="0" w:color="auto"/>
        <w:bottom w:val="none" w:sz="0" w:space="0" w:color="auto"/>
        <w:right w:val="none" w:sz="0" w:space="0" w:color="auto"/>
      </w:divBdr>
    </w:div>
    <w:div w:id="656955521">
      <w:bodyDiv w:val="1"/>
      <w:marLeft w:val="0"/>
      <w:marRight w:val="0"/>
      <w:marTop w:val="0"/>
      <w:marBottom w:val="0"/>
      <w:divBdr>
        <w:top w:val="none" w:sz="0" w:space="0" w:color="auto"/>
        <w:left w:val="none" w:sz="0" w:space="0" w:color="auto"/>
        <w:bottom w:val="none" w:sz="0" w:space="0" w:color="auto"/>
        <w:right w:val="none" w:sz="0" w:space="0" w:color="auto"/>
      </w:divBdr>
    </w:div>
    <w:div w:id="710767804">
      <w:bodyDiv w:val="1"/>
      <w:marLeft w:val="0"/>
      <w:marRight w:val="0"/>
      <w:marTop w:val="0"/>
      <w:marBottom w:val="0"/>
      <w:divBdr>
        <w:top w:val="none" w:sz="0" w:space="0" w:color="auto"/>
        <w:left w:val="none" w:sz="0" w:space="0" w:color="auto"/>
        <w:bottom w:val="none" w:sz="0" w:space="0" w:color="auto"/>
        <w:right w:val="none" w:sz="0" w:space="0" w:color="auto"/>
      </w:divBdr>
    </w:div>
    <w:div w:id="725497317">
      <w:bodyDiv w:val="1"/>
      <w:marLeft w:val="0"/>
      <w:marRight w:val="0"/>
      <w:marTop w:val="0"/>
      <w:marBottom w:val="0"/>
      <w:divBdr>
        <w:top w:val="none" w:sz="0" w:space="0" w:color="auto"/>
        <w:left w:val="none" w:sz="0" w:space="0" w:color="auto"/>
        <w:bottom w:val="none" w:sz="0" w:space="0" w:color="auto"/>
        <w:right w:val="none" w:sz="0" w:space="0" w:color="auto"/>
      </w:divBdr>
    </w:div>
    <w:div w:id="766271770">
      <w:bodyDiv w:val="1"/>
      <w:marLeft w:val="0"/>
      <w:marRight w:val="0"/>
      <w:marTop w:val="0"/>
      <w:marBottom w:val="0"/>
      <w:divBdr>
        <w:top w:val="none" w:sz="0" w:space="0" w:color="auto"/>
        <w:left w:val="none" w:sz="0" w:space="0" w:color="auto"/>
        <w:bottom w:val="none" w:sz="0" w:space="0" w:color="auto"/>
        <w:right w:val="none" w:sz="0" w:space="0" w:color="auto"/>
      </w:divBdr>
      <w:divsChild>
        <w:div w:id="877208760">
          <w:marLeft w:val="0"/>
          <w:marRight w:val="0"/>
          <w:marTop w:val="0"/>
          <w:marBottom w:val="0"/>
          <w:divBdr>
            <w:top w:val="none" w:sz="0" w:space="0" w:color="auto"/>
            <w:left w:val="none" w:sz="0" w:space="0" w:color="auto"/>
            <w:bottom w:val="none" w:sz="0" w:space="0" w:color="auto"/>
            <w:right w:val="none" w:sz="0" w:space="0" w:color="auto"/>
          </w:divBdr>
        </w:div>
      </w:divsChild>
    </w:div>
    <w:div w:id="771971771">
      <w:bodyDiv w:val="1"/>
      <w:marLeft w:val="0"/>
      <w:marRight w:val="0"/>
      <w:marTop w:val="0"/>
      <w:marBottom w:val="0"/>
      <w:divBdr>
        <w:top w:val="none" w:sz="0" w:space="0" w:color="auto"/>
        <w:left w:val="none" w:sz="0" w:space="0" w:color="auto"/>
        <w:bottom w:val="none" w:sz="0" w:space="0" w:color="auto"/>
        <w:right w:val="none" w:sz="0" w:space="0" w:color="auto"/>
      </w:divBdr>
    </w:div>
    <w:div w:id="797920464">
      <w:bodyDiv w:val="1"/>
      <w:marLeft w:val="0"/>
      <w:marRight w:val="0"/>
      <w:marTop w:val="0"/>
      <w:marBottom w:val="0"/>
      <w:divBdr>
        <w:top w:val="none" w:sz="0" w:space="0" w:color="auto"/>
        <w:left w:val="none" w:sz="0" w:space="0" w:color="auto"/>
        <w:bottom w:val="none" w:sz="0" w:space="0" w:color="auto"/>
        <w:right w:val="none" w:sz="0" w:space="0" w:color="auto"/>
      </w:divBdr>
    </w:div>
    <w:div w:id="814950077">
      <w:bodyDiv w:val="1"/>
      <w:marLeft w:val="0"/>
      <w:marRight w:val="0"/>
      <w:marTop w:val="0"/>
      <w:marBottom w:val="0"/>
      <w:divBdr>
        <w:top w:val="none" w:sz="0" w:space="0" w:color="auto"/>
        <w:left w:val="none" w:sz="0" w:space="0" w:color="auto"/>
        <w:bottom w:val="none" w:sz="0" w:space="0" w:color="auto"/>
        <w:right w:val="none" w:sz="0" w:space="0" w:color="auto"/>
      </w:divBdr>
    </w:div>
    <w:div w:id="952128467">
      <w:bodyDiv w:val="1"/>
      <w:marLeft w:val="0"/>
      <w:marRight w:val="0"/>
      <w:marTop w:val="0"/>
      <w:marBottom w:val="0"/>
      <w:divBdr>
        <w:top w:val="none" w:sz="0" w:space="0" w:color="auto"/>
        <w:left w:val="none" w:sz="0" w:space="0" w:color="auto"/>
        <w:bottom w:val="none" w:sz="0" w:space="0" w:color="auto"/>
        <w:right w:val="none" w:sz="0" w:space="0" w:color="auto"/>
      </w:divBdr>
    </w:div>
    <w:div w:id="952908009">
      <w:bodyDiv w:val="1"/>
      <w:marLeft w:val="0"/>
      <w:marRight w:val="0"/>
      <w:marTop w:val="0"/>
      <w:marBottom w:val="0"/>
      <w:divBdr>
        <w:top w:val="none" w:sz="0" w:space="0" w:color="auto"/>
        <w:left w:val="none" w:sz="0" w:space="0" w:color="auto"/>
        <w:bottom w:val="none" w:sz="0" w:space="0" w:color="auto"/>
        <w:right w:val="none" w:sz="0" w:space="0" w:color="auto"/>
      </w:divBdr>
    </w:div>
    <w:div w:id="1000931765">
      <w:bodyDiv w:val="1"/>
      <w:marLeft w:val="0"/>
      <w:marRight w:val="0"/>
      <w:marTop w:val="0"/>
      <w:marBottom w:val="0"/>
      <w:divBdr>
        <w:top w:val="none" w:sz="0" w:space="0" w:color="auto"/>
        <w:left w:val="none" w:sz="0" w:space="0" w:color="auto"/>
        <w:bottom w:val="none" w:sz="0" w:space="0" w:color="auto"/>
        <w:right w:val="none" w:sz="0" w:space="0" w:color="auto"/>
      </w:divBdr>
    </w:div>
    <w:div w:id="1010530021">
      <w:bodyDiv w:val="1"/>
      <w:marLeft w:val="0"/>
      <w:marRight w:val="0"/>
      <w:marTop w:val="0"/>
      <w:marBottom w:val="0"/>
      <w:divBdr>
        <w:top w:val="none" w:sz="0" w:space="0" w:color="auto"/>
        <w:left w:val="none" w:sz="0" w:space="0" w:color="auto"/>
        <w:bottom w:val="none" w:sz="0" w:space="0" w:color="auto"/>
        <w:right w:val="none" w:sz="0" w:space="0" w:color="auto"/>
      </w:divBdr>
    </w:div>
    <w:div w:id="1037662005">
      <w:bodyDiv w:val="1"/>
      <w:marLeft w:val="0"/>
      <w:marRight w:val="0"/>
      <w:marTop w:val="0"/>
      <w:marBottom w:val="0"/>
      <w:divBdr>
        <w:top w:val="none" w:sz="0" w:space="0" w:color="auto"/>
        <w:left w:val="none" w:sz="0" w:space="0" w:color="auto"/>
        <w:bottom w:val="none" w:sz="0" w:space="0" w:color="auto"/>
        <w:right w:val="none" w:sz="0" w:space="0" w:color="auto"/>
      </w:divBdr>
    </w:div>
    <w:div w:id="1079209614">
      <w:bodyDiv w:val="1"/>
      <w:marLeft w:val="0"/>
      <w:marRight w:val="0"/>
      <w:marTop w:val="0"/>
      <w:marBottom w:val="0"/>
      <w:divBdr>
        <w:top w:val="none" w:sz="0" w:space="0" w:color="auto"/>
        <w:left w:val="none" w:sz="0" w:space="0" w:color="auto"/>
        <w:bottom w:val="none" w:sz="0" w:space="0" w:color="auto"/>
        <w:right w:val="none" w:sz="0" w:space="0" w:color="auto"/>
      </w:divBdr>
    </w:div>
    <w:div w:id="1097292647">
      <w:bodyDiv w:val="1"/>
      <w:marLeft w:val="0"/>
      <w:marRight w:val="0"/>
      <w:marTop w:val="0"/>
      <w:marBottom w:val="0"/>
      <w:divBdr>
        <w:top w:val="none" w:sz="0" w:space="0" w:color="auto"/>
        <w:left w:val="none" w:sz="0" w:space="0" w:color="auto"/>
        <w:bottom w:val="none" w:sz="0" w:space="0" w:color="auto"/>
        <w:right w:val="none" w:sz="0" w:space="0" w:color="auto"/>
      </w:divBdr>
    </w:div>
    <w:div w:id="1104761376">
      <w:bodyDiv w:val="1"/>
      <w:marLeft w:val="0"/>
      <w:marRight w:val="0"/>
      <w:marTop w:val="0"/>
      <w:marBottom w:val="0"/>
      <w:divBdr>
        <w:top w:val="none" w:sz="0" w:space="0" w:color="auto"/>
        <w:left w:val="none" w:sz="0" w:space="0" w:color="auto"/>
        <w:bottom w:val="none" w:sz="0" w:space="0" w:color="auto"/>
        <w:right w:val="none" w:sz="0" w:space="0" w:color="auto"/>
      </w:divBdr>
    </w:div>
    <w:div w:id="1129586315">
      <w:bodyDiv w:val="1"/>
      <w:marLeft w:val="0"/>
      <w:marRight w:val="0"/>
      <w:marTop w:val="0"/>
      <w:marBottom w:val="0"/>
      <w:divBdr>
        <w:top w:val="none" w:sz="0" w:space="0" w:color="auto"/>
        <w:left w:val="none" w:sz="0" w:space="0" w:color="auto"/>
        <w:bottom w:val="none" w:sz="0" w:space="0" w:color="auto"/>
        <w:right w:val="none" w:sz="0" w:space="0" w:color="auto"/>
      </w:divBdr>
      <w:divsChild>
        <w:div w:id="22368937">
          <w:marLeft w:val="0"/>
          <w:marRight w:val="0"/>
          <w:marTop w:val="0"/>
          <w:marBottom w:val="0"/>
          <w:divBdr>
            <w:top w:val="none" w:sz="0" w:space="0" w:color="auto"/>
            <w:left w:val="none" w:sz="0" w:space="0" w:color="auto"/>
            <w:bottom w:val="none" w:sz="0" w:space="0" w:color="auto"/>
            <w:right w:val="none" w:sz="0" w:space="0" w:color="auto"/>
          </w:divBdr>
        </w:div>
      </w:divsChild>
    </w:div>
    <w:div w:id="1155490708">
      <w:bodyDiv w:val="1"/>
      <w:marLeft w:val="0"/>
      <w:marRight w:val="0"/>
      <w:marTop w:val="0"/>
      <w:marBottom w:val="0"/>
      <w:divBdr>
        <w:top w:val="none" w:sz="0" w:space="0" w:color="auto"/>
        <w:left w:val="none" w:sz="0" w:space="0" w:color="auto"/>
        <w:bottom w:val="none" w:sz="0" w:space="0" w:color="auto"/>
        <w:right w:val="none" w:sz="0" w:space="0" w:color="auto"/>
      </w:divBdr>
    </w:div>
    <w:div w:id="1167401016">
      <w:bodyDiv w:val="1"/>
      <w:marLeft w:val="0"/>
      <w:marRight w:val="0"/>
      <w:marTop w:val="0"/>
      <w:marBottom w:val="0"/>
      <w:divBdr>
        <w:top w:val="none" w:sz="0" w:space="0" w:color="auto"/>
        <w:left w:val="none" w:sz="0" w:space="0" w:color="auto"/>
        <w:bottom w:val="none" w:sz="0" w:space="0" w:color="auto"/>
        <w:right w:val="none" w:sz="0" w:space="0" w:color="auto"/>
      </w:divBdr>
    </w:div>
    <w:div w:id="1173379400">
      <w:bodyDiv w:val="1"/>
      <w:marLeft w:val="0"/>
      <w:marRight w:val="0"/>
      <w:marTop w:val="0"/>
      <w:marBottom w:val="0"/>
      <w:divBdr>
        <w:top w:val="none" w:sz="0" w:space="0" w:color="auto"/>
        <w:left w:val="none" w:sz="0" w:space="0" w:color="auto"/>
        <w:bottom w:val="none" w:sz="0" w:space="0" w:color="auto"/>
        <w:right w:val="none" w:sz="0" w:space="0" w:color="auto"/>
      </w:divBdr>
    </w:div>
    <w:div w:id="1205799703">
      <w:bodyDiv w:val="1"/>
      <w:marLeft w:val="0"/>
      <w:marRight w:val="0"/>
      <w:marTop w:val="0"/>
      <w:marBottom w:val="0"/>
      <w:divBdr>
        <w:top w:val="none" w:sz="0" w:space="0" w:color="auto"/>
        <w:left w:val="none" w:sz="0" w:space="0" w:color="auto"/>
        <w:bottom w:val="none" w:sz="0" w:space="0" w:color="auto"/>
        <w:right w:val="none" w:sz="0" w:space="0" w:color="auto"/>
      </w:divBdr>
    </w:div>
    <w:div w:id="1249539123">
      <w:bodyDiv w:val="1"/>
      <w:marLeft w:val="0"/>
      <w:marRight w:val="0"/>
      <w:marTop w:val="0"/>
      <w:marBottom w:val="0"/>
      <w:divBdr>
        <w:top w:val="none" w:sz="0" w:space="0" w:color="auto"/>
        <w:left w:val="none" w:sz="0" w:space="0" w:color="auto"/>
        <w:bottom w:val="none" w:sz="0" w:space="0" w:color="auto"/>
        <w:right w:val="none" w:sz="0" w:space="0" w:color="auto"/>
      </w:divBdr>
    </w:div>
    <w:div w:id="1284650392">
      <w:bodyDiv w:val="1"/>
      <w:marLeft w:val="0"/>
      <w:marRight w:val="0"/>
      <w:marTop w:val="0"/>
      <w:marBottom w:val="0"/>
      <w:divBdr>
        <w:top w:val="none" w:sz="0" w:space="0" w:color="auto"/>
        <w:left w:val="none" w:sz="0" w:space="0" w:color="auto"/>
        <w:bottom w:val="none" w:sz="0" w:space="0" w:color="auto"/>
        <w:right w:val="none" w:sz="0" w:space="0" w:color="auto"/>
      </w:divBdr>
    </w:div>
    <w:div w:id="1357081383">
      <w:bodyDiv w:val="1"/>
      <w:marLeft w:val="0"/>
      <w:marRight w:val="0"/>
      <w:marTop w:val="0"/>
      <w:marBottom w:val="0"/>
      <w:divBdr>
        <w:top w:val="none" w:sz="0" w:space="0" w:color="auto"/>
        <w:left w:val="none" w:sz="0" w:space="0" w:color="auto"/>
        <w:bottom w:val="none" w:sz="0" w:space="0" w:color="auto"/>
        <w:right w:val="none" w:sz="0" w:space="0" w:color="auto"/>
      </w:divBdr>
    </w:div>
    <w:div w:id="1391996632">
      <w:bodyDiv w:val="1"/>
      <w:marLeft w:val="0"/>
      <w:marRight w:val="0"/>
      <w:marTop w:val="0"/>
      <w:marBottom w:val="0"/>
      <w:divBdr>
        <w:top w:val="none" w:sz="0" w:space="0" w:color="auto"/>
        <w:left w:val="none" w:sz="0" w:space="0" w:color="auto"/>
        <w:bottom w:val="none" w:sz="0" w:space="0" w:color="auto"/>
        <w:right w:val="none" w:sz="0" w:space="0" w:color="auto"/>
      </w:divBdr>
    </w:div>
    <w:div w:id="1419403836">
      <w:bodyDiv w:val="1"/>
      <w:marLeft w:val="0"/>
      <w:marRight w:val="0"/>
      <w:marTop w:val="0"/>
      <w:marBottom w:val="0"/>
      <w:divBdr>
        <w:top w:val="none" w:sz="0" w:space="0" w:color="auto"/>
        <w:left w:val="none" w:sz="0" w:space="0" w:color="auto"/>
        <w:bottom w:val="none" w:sz="0" w:space="0" w:color="auto"/>
        <w:right w:val="none" w:sz="0" w:space="0" w:color="auto"/>
      </w:divBdr>
    </w:div>
    <w:div w:id="1506433316">
      <w:bodyDiv w:val="1"/>
      <w:marLeft w:val="0"/>
      <w:marRight w:val="0"/>
      <w:marTop w:val="0"/>
      <w:marBottom w:val="0"/>
      <w:divBdr>
        <w:top w:val="none" w:sz="0" w:space="0" w:color="auto"/>
        <w:left w:val="none" w:sz="0" w:space="0" w:color="auto"/>
        <w:bottom w:val="none" w:sz="0" w:space="0" w:color="auto"/>
        <w:right w:val="none" w:sz="0" w:space="0" w:color="auto"/>
      </w:divBdr>
    </w:div>
    <w:div w:id="1523739450">
      <w:bodyDiv w:val="1"/>
      <w:marLeft w:val="0"/>
      <w:marRight w:val="0"/>
      <w:marTop w:val="0"/>
      <w:marBottom w:val="0"/>
      <w:divBdr>
        <w:top w:val="none" w:sz="0" w:space="0" w:color="auto"/>
        <w:left w:val="none" w:sz="0" w:space="0" w:color="auto"/>
        <w:bottom w:val="none" w:sz="0" w:space="0" w:color="auto"/>
        <w:right w:val="none" w:sz="0" w:space="0" w:color="auto"/>
      </w:divBdr>
    </w:div>
    <w:div w:id="1603415667">
      <w:bodyDiv w:val="1"/>
      <w:marLeft w:val="0"/>
      <w:marRight w:val="0"/>
      <w:marTop w:val="0"/>
      <w:marBottom w:val="0"/>
      <w:divBdr>
        <w:top w:val="none" w:sz="0" w:space="0" w:color="auto"/>
        <w:left w:val="none" w:sz="0" w:space="0" w:color="auto"/>
        <w:bottom w:val="none" w:sz="0" w:space="0" w:color="auto"/>
        <w:right w:val="none" w:sz="0" w:space="0" w:color="auto"/>
      </w:divBdr>
    </w:div>
    <w:div w:id="1728993666">
      <w:bodyDiv w:val="1"/>
      <w:marLeft w:val="0"/>
      <w:marRight w:val="0"/>
      <w:marTop w:val="0"/>
      <w:marBottom w:val="0"/>
      <w:divBdr>
        <w:top w:val="none" w:sz="0" w:space="0" w:color="auto"/>
        <w:left w:val="none" w:sz="0" w:space="0" w:color="auto"/>
        <w:bottom w:val="none" w:sz="0" w:space="0" w:color="auto"/>
        <w:right w:val="none" w:sz="0" w:space="0" w:color="auto"/>
      </w:divBdr>
    </w:div>
    <w:div w:id="1737509239">
      <w:bodyDiv w:val="1"/>
      <w:marLeft w:val="0"/>
      <w:marRight w:val="0"/>
      <w:marTop w:val="0"/>
      <w:marBottom w:val="0"/>
      <w:divBdr>
        <w:top w:val="none" w:sz="0" w:space="0" w:color="auto"/>
        <w:left w:val="none" w:sz="0" w:space="0" w:color="auto"/>
        <w:bottom w:val="none" w:sz="0" w:space="0" w:color="auto"/>
        <w:right w:val="none" w:sz="0" w:space="0" w:color="auto"/>
      </w:divBdr>
    </w:div>
    <w:div w:id="1788426068">
      <w:bodyDiv w:val="1"/>
      <w:marLeft w:val="0"/>
      <w:marRight w:val="0"/>
      <w:marTop w:val="0"/>
      <w:marBottom w:val="0"/>
      <w:divBdr>
        <w:top w:val="none" w:sz="0" w:space="0" w:color="auto"/>
        <w:left w:val="none" w:sz="0" w:space="0" w:color="auto"/>
        <w:bottom w:val="none" w:sz="0" w:space="0" w:color="auto"/>
        <w:right w:val="none" w:sz="0" w:space="0" w:color="auto"/>
      </w:divBdr>
    </w:div>
    <w:div w:id="1792090778">
      <w:bodyDiv w:val="1"/>
      <w:marLeft w:val="0"/>
      <w:marRight w:val="0"/>
      <w:marTop w:val="0"/>
      <w:marBottom w:val="0"/>
      <w:divBdr>
        <w:top w:val="none" w:sz="0" w:space="0" w:color="auto"/>
        <w:left w:val="none" w:sz="0" w:space="0" w:color="auto"/>
        <w:bottom w:val="none" w:sz="0" w:space="0" w:color="auto"/>
        <w:right w:val="none" w:sz="0" w:space="0" w:color="auto"/>
      </w:divBdr>
    </w:div>
    <w:div w:id="1804733184">
      <w:bodyDiv w:val="1"/>
      <w:marLeft w:val="0"/>
      <w:marRight w:val="0"/>
      <w:marTop w:val="0"/>
      <w:marBottom w:val="0"/>
      <w:divBdr>
        <w:top w:val="none" w:sz="0" w:space="0" w:color="auto"/>
        <w:left w:val="none" w:sz="0" w:space="0" w:color="auto"/>
        <w:bottom w:val="none" w:sz="0" w:space="0" w:color="auto"/>
        <w:right w:val="none" w:sz="0" w:space="0" w:color="auto"/>
      </w:divBdr>
    </w:div>
    <w:div w:id="1812020911">
      <w:bodyDiv w:val="1"/>
      <w:marLeft w:val="0"/>
      <w:marRight w:val="0"/>
      <w:marTop w:val="0"/>
      <w:marBottom w:val="0"/>
      <w:divBdr>
        <w:top w:val="none" w:sz="0" w:space="0" w:color="auto"/>
        <w:left w:val="none" w:sz="0" w:space="0" w:color="auto"/>
        <w:bottom w:val="none" w:sz="0" w:space="0" w:color="auto"/>
        <w:right w:val="none" w:sz="0" w:space="0" w:color="auto"/>
      </w:divBdr>
    </w:div>
    <w:div w:id="1951429302">
      <w:bodyDiv w:val="1"/>
      <w:marLeft w:val="0"/>
      <w:marRight w:val="0"/>
      <w:marTop w:val="0"/>
      <w:marBottom w:val="0"/>
      <w:divBdr>
        <w:top w:val="none" w:sz="0" w:space="0" w:color="auto"/>
        <w:left w:val="none" w:sz="0" w:space="0" w:color="auto"/>
        <w:bottom w:val="none" w:sz="0" w:space="0" w:color="auto"/>
        <w:right w:val="none" w:sz="0" w:space="0" w:color="auto"/>
      </w:divBdr>
    </w:div>
    <w:div w:id="1987851465">
      <w:bodyDiv w:val="1"/>
      <w:marLeft w:val="0"/>
      <w:marRight w:val="0"/>
      <w:marTop w:val="0"/>
      <w:marBottom w:val="0"/>
      <w:divBdr>
        <w:top w:val="none" w:sz="0" w:space="0" w:color="auto"/>
        <w:left w:val="none" w:sz="0" w:space="0" w:color="auto"/>
        <w:bottom w:val="none" w:sz="0" w:space="0" w:color="auto"/>
        <w:right w:val="none" w:sz="0" w:space="0" w:color="auto"/>
      </w:divBdr>
    </w:div>
    <w:div w:id="2005015183">
      <w:bodyDiv w:val="1"/>
      <w:marLeft w:val="0"/>
      <w:marRight w:val="0"/>
      <w:marTop w:val="0"/>
      <w:marBottom w:val="0"/>
      <w:divBdr>
        <w:top w:val="none" w:sz="0" w:space="0" w:color="auto"/>
        <w:left w:val="none" w:sz="0" w:space="0" w:color="auto"/>
        <w:bottom w:val="none" w:sz="0" w:space="0" w:color="auto"/>
        <w:right w:val="none" w:sz="0" w:space="0" w:color="auto"/>
      </w:divBdr>
    </w:div>
    <w:div w:id="2013491286">
      <w:bodyDiv w:val="1"/>
      <w:marLeft w:val="0"/>
      <w:marRight w:val="0"/>
      <w:marTop w:val="0"/>
      <w:marBottom w:val="0"/>
      <w:divBdr>
        <w:top w:val="none" w:sz="0" w:space="0" w:color="auto"/>
        <w:left w:val="none" w:sz="0" w:space="0" w:color="auto"/>
        <w:bottom w:val="none" w:sz="0" w:space="0" w:color="auto"/>
        <w:right w:val="none" w:sz="0" w:space="0" w:color="auto"/>
      </w:divBdr>
    </w:div>
    <w:div w:id="2035376073">
      <w:bodyDiv w:val="1"/>
      <w:marLeft w:val="0"/>
      <w:marRight w:val="0"/>
      <w:marTop w:val="0"/>
      <w:marBottom w:val="0"/>
      <w:divBdr>
        <w:top w:val="none" w:sz="0" w:space="0" w:color="auto"/>
        <w:left w:val="none" w:sz="0" w:space="0" w:color="auto"/>
        <w:bottom w:val="none" w:sz="0" w:space="0" w:color="auto"/>
        <w:right w:val="none" w:sz="0" w:space="0" w:color="auto"/>
      </w:divBdr>
    </w:div>
    <w:div w:id="2066221888">
      <w:bodyDiv w:val="1"/>
      <w:marLeft w:val="0"/>
      <w:marRight w:val="0"/>
      <w:marTop w:val="0"/>
      <w:marBottom w:val="0"/>
      <w:divBdr>
        <w:top w:val="none" w:sz="0" w:space="0" w:color="auto"/>
        <w:left w:val="none" w:sz="0" w:space="0" w:color="auto"/>
        <w:bottom w:val="none" w:sz="0" w:space="0" w:color="auto"/>
        <w:right w:val="none" w:sz="0" w:space="0" w:color="auto"/>
      </w:divBdr>
    </w:div>
    <w:div w:id="2126347044">
      <w:bodyDiv w:val="1"/>
      <w:marLeft w:val="0"/>
      <w:marRight w:val="0"/>
      <w:marTop w:val="0"/>
      <w:marBottom w:val="0"/>
      <w:divBdr>
        <w:top w:val="none" w:sz="0" w:space="0" w:color="auto"/>
        <w:left w:val="none" w:sz="0" w:space="0" w:color="auto"/>
        <w:bottom w:val="none" w:sz="0" w:space="0" w:color="auto"/>
        <w:right w:val="none" w:sz="0" w:space="0" w:color="auto"/>
      </w:divBdr>
    </w:div>
    <w:div w:id="2131582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9964C-B0B2-4F20-AA00-B272B76EB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7870</Words>
  <Characters>44862</Characters>
  <Application>Microsoft Office Word</Application>
  <DocSecurity>0</DocSecurity>
  <Lines>373</Lines>
  <Paragraphs>105</Paragraphs>
  <ScaleCrop>false</ScaleCrop>
  <Company/>
  <LinksUpToDate>false</LinksUpToDate>
  <CharactersWithSpaces>52627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2025-07-20T09:40:00Z</dcterms:created>
  <dcterms:modified xsi:type="dcterms:W3CDTF">2025-07-20T09:46:00Z</dcterms:modified>
</cp:coreProperties>
</file>