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7FFFF" w14:textId="37A93F22" w:rsidR="00DB11D9" w:rsidRPr="00DB11D9" w:rsidRDefault="00DB11D9" w:rsidP="004C3D1E">
      <w:pPr>
        <w:spacing w:line="360" w:lineRule="auto"/>
        <w:rPr>
          <w:rFonts w:ascii="Calibri" w:hAnsi="Calibri" w:cs="Calibri"/>
          <w:sz w:val="26"/>
          <w:szCs w:val="26"/>
          <w:u w:val="single"/>
        </w:rPr>
      </w:pPr>
      <w:r w:rsidRPr="00DB11D9">
        <w:rPr>
          <w:rFonts w:ascii="Calibri" w:hAnsi="Calibri" w:cs="Calibri"/>
          <w:sz w:val="26"/>
          <w:szCs w:val="26"/>
          <w:u w:val="single"/>
        </w:rPr>
        <w:t>Strategies for Success: Embracing Organi</w:t>
      </w:r>
      <w:r>
        <w:rPr>
          <w:rFonts w:ascii="Calibri" w:hAnsi="Calibri" w:cs="Calibri"/>
          <w:sz w:val="26"/>
          <w:szCs w:val="26"/>
          <w:u w:val="single"/>
        </w:rPr>
        <w:t>s</w:t>
      </w:r>
      <w:r w:rsidRPr="00DB11D9">
        <w:rPr>
          <w:rFonts w:ascii="Calibri" w:hAnsi="Calibri" w:cs="Calibri"/>
          <w:sz w:val="26"/>
          <w:szCs w:val="26"/>
          <w:u w:val="single"/>
        </w:rPr>
        <w:t>ational Change in the Healthcare Sector.</w:t>
      </w:r>
    </w:p>
    <w:p w14:paraId="57F8D967" w14:textId="77777777" w:rsidR="009C594E" w:rsidRDefault="00DB11D9" w:rsidP="004C3D1E">
      <w:pPr>
        <w:spacing w:line="360" w:lineRule="auto"/>
        <w:rPr>
          <w:rFonts w:ascii="Calibri" w:hAnsi="Calibri" w:cs="Calibri"/>
        </w:rPr>
      </w:pPr>
      <w:r w:rsidRPr="004C3D1E">
        <w:rPr>
          <w:rFonts w:ascii="Calibri" w:hAnsi="Calibri" w:cs="Calibri"/>
        </w:rPr>
        <w:t>This paper examines the hypothesis that a dynamic, flexible, and patient-centred culture can be fostered in healthcare organisations through successful organisational change. It recognises the difficulties that come with bringing about change, particularly the resistance that might appear at different organisational levels. This analysis will provide insight into the intricate relationship between organisational change and behavioural dynamics in health care settings by drawing on a wide range of relevant literature and real-world case studies. To improve organisational outcomes and promote a positive change culture, Cameron, and Green (2015) offer useful guidance on managing the transition process as well as a framework for understanding these</w:t>
      </w:r>
      <w:r>
        <w:rPr>
          <w:rFonts w:ascii="Calibri" w:hAnsi="Calibri" w:cs="Calibri"/>
        </w:rPr>
        <w:t xml:space="preserve"> changes. </w:t>
      </w:r>
    </w:p>
    <w:p w14:paraId="08F36269" w14:textId="53D51069" w:rsidR="009C594E" w:rsidRDefault="64C5D4AA" w:rsidP="004C3D1E">
      <w:pPr>
        <w:spacing w:line="360" w:lineRule="auto"/>
        <w:rPr>
          <w:rFonts w:ascii="Calibri" w:hAnsi="Calibri" w:cs="Calibri"/>
        </w:rPr>
      </w:pPr>
      <w:r w:rsidRPr="64C5D4AA">
        <w:rPr>
          <w:rFonts w:ascii="Calibri" w:hAnsi="Calibri" w:cs="Calibri"/>
        </w:rPr>
        <w:t xml:space="preserve">To align with modern requirements and enhance performance, health care organisations must undertake significant transformations in their operational frameworks, procedures, and cultural norms (Burnes, 2004). Weiner et al. (2009) highlight that such transformations profoundly and directly impact organisational behaviour, affecting aspects such as interprofessional teamwork, staff motivation, and the dynamics of leadership. A detailed examination of these impacts is conducted by Armenakis and Harris (2009), who explore how initiatives for change can influence staff morale and the cultural ethos of an organisation. While originally developed to understand personal grief, the model by Kübler-Ross (1969) offers valuable insights into the emotional experiences of both patients and health care professionals amid organisational changes. Incorporating this understanding into policy, it is essential for health care organizations to adopt </w:t>
      </w:r>
      <w:bookmarkStart w:id="0" w:name="_Int_uMljLVWS"/>
      <w:r w:rsidRPr="64C5D4AA">
        <w:rPr>
          <w:rFonts w:ascii="Calibri" w:hAnsi="Calibri" w:cs="Calibri"/>
        </w:rPr>
        <w:t>a holistic approach</w:t>
      </w:r>
      <w:bookmarkEnd w:id="0"/>
      <w:r w:rsidRPr="64C5D4AA">
        <w:rPr>
          <w:rFonts w:ascii="Calibri" w:hAnsi="Calibri" w:cs="Calibri"/>
        </w:rPr>
        <w:t xml:space="preserve"> to change management. This approach should include strategies for supporting employees through the emotional aspects of transitions, fostering effective interprofessional collaboration, and developing leadership that is responsive and adaptive to the needs of both staff and patients. By doing so, organisations can ensure a smoother transition process, minimize disruptions to patient care, and </w:t>
      </w:r>
      <w:bookmarkStart w:id="1" w:name="_Int_VJVhM65j"/>
      <w:r w:rsidRPr="64C5D4AA">
        <w:rPr>
          <w:rFonts w:ascii="Calibri" w:hAnsi="Calibri" w:cs="Calibri"/>
        </w:rPr>
        <w:t>ultimately enhance</w:t>
      </w:r>
      <w:bookmarkEnd w:id="1"/>
      <w:r w:rsidRPr="64C5D4AA">
        <w:rPr>
          <w:rFonts w:ascii="Calibri" w:hAnsi="Calibri" w:cs="Calibri"/>
        </w:rPr>
        <w:t xml:space="preserve"> the quality of health services provided.</w:t>
      </w:r>
      <w:r w:rsidR="00332A94">
        <w:br/>
      </w:r>
      <w:r w:rsidRPr="64C5D4AA">
        <w:rPr>
          <w:rFonts w:ascii="Calibri" w:hAnsi="Calibri" w:cs="Calibri"/>
        </w:rPr>
        <w:t xml:space="preserve">The rapidly evolving landscape of the healthcare sector necessitates continuous organisational change to address a myriad of challenges including shifting patient needs, demographic changes, technological advancements, and regulatory updates. Emphasising the critical role of organisational change, Kotter (1996) points out its significance in sustaining high-quality care delivery and ensuring organisational sustainability in the face of </w:t>
      </w:r>
      <w:r w:rsidRPr="64C5D4AA">
        <w:rPr>
          <w:rFonts w:ascii="Calibri" w:hAnsi="Calibri" w:cs="Calibri"/>
        </w:rPr>
        <w:lastRenderedPageBreak/>
        <w:t xml:space="preserve">these challenges. Echoing this sentiment, Grol et al. (2007) highlight the necessity of organisational agility to cater to the evolving demands of contemporary healthcare, suggesting that adaptability is not just crucial for survival but also offers competitive advantages. Dawson (2003) further underscores the importance of viewing organisational change in healthcare as an incessant and fluid process, essential for navigating new opportunities and overcoming obstacles efficiently. This perspective advocates for a proactive approach to organisational management, where adaptability and continuous improvement are integral to meeting the complex and dynamic needs of healthcare provision. Implementing organisational change in the healthcare sector involves a strategic approach starting with establishing a sense of urgency to address external and internal pressures. A powerful coalition of influential leaders must be formed to steer the change process and garner support. They will develop and communicate a clear, compelling vision for the organisation's future, ensuring it resonates across all levels through frequent and varied communication channels. </w:t>
      </w:r>
    </w:p>
    <w:p w14:paraId="5160FF2B" w14:textId="590C9527" w:rsidR="00EF7146" w:rsidRDefault="64C5D4AA" w:rsidP="004C3D1E">
      <w:pPr>
        <w:spacing w:line="360" w:lineRule="auto"/>
        <w:rPr>
          <w:rFonts w:ascii="Calibri" w:hAnsi="Calibri" w:cs="Calibri"/>
        </w:rPr>
      </w:pPr>
      <w:r w:rsidRPr="64C5D4AA">
        <w:rPr>
          <w:rFonts w:ascii="Calibri" w:hAnsi="Calibri" w:cs="Calibri"/>
        </w:rPr>
        <w:t xml:space="preserve">To enable the vision's realisation, obstacles are removed, and employees are empowered to embrace risk-taking and innovative actions. Short-term wins are strategically generated to build momentum, followed by continuous efforts to consolidate gains, and initiate further changes. Finally, for change to be enduring, it is essential to integrate innovative approaches deeply into the organization's culture, from patient interactions to decision-making processes, supported by leadership behaviour and institutional practices in training and development. According to Plsek and Greenhalgh (2001), this adaptive process is alike to complex adaptive systems in that it requires balancing structured planning with the ability to respond to novel patterns. In these systems, change is controlled and happens naturally. Lewin's (1947) Change Management Model provides a methodical approach to managing the complex changes healthcare organisations encounter, ranging from policy modifications to technological breakthroughs, by emphasising the phases of unfreezing, altering, and refreezing. </w:t>
      </w:r>
    </w:p>
    <w:p w14:paraId="4D684891" w14:textId="77791D7F" w:rsidR="00493777" w:rsidRDefault="64C5D4AA" w:rsidP="004C3D1E">
      <w:pPr>
        <w:spacing w:line="360" w:lineRule="auto"/>
        <w:rPr>
          <w:rFonts w:ascii="Calibri" w:hAnsi="Calibri" w:cs="Calibri"/>
        </w:rPr>
      </w:pPr>
      <w:r w:rsidRPr="64C5D4AA">
        <w:rPr>
          <w:rFonts w:ascii="Calibri" w:hAnsi="Calibri" w:cs="Calibri"/>
        </w:rPr>
        <w:t xml:space="preserve">The pressing need for improvements in patient safety, care quality, and system efficiency only serves to highlight how desperately the health care industry needs organisational reform. Improving patient care and service delivery in a significant way should be the aim of any change initiative in the healthcare sector. This demonstrates how crucial it is to </w:t>
      </w:r>
      <w:r w:rsidRPr="64C5D4AA">
        <w:rPr>
          <w:rFonts w:ascii="Calibri" w:hAnsi="Calibri" w:cs="Calibri"/>
        </w:rPr>
        <w:lastRenderedPageBreak/>
        <w:t xml:space="preserve">implement change in a way that immediately enhances patient outcomes. Frameworks for starting and managing change initiatives can be found in Kotter's 8-Step Process and other change management models. As the first steps in the change process, Kotter stresses the significance of forming an action plan, instilling a sense of urgency, and assembling a coalition that will serve as a guide (Kotter, 1996). These procedures are required to guarantee that change projects have specific goals and the backing of important stakeholders within the organisation. </w:t>
      </w:r>
      <w:r w:rsidR="00091BF2">
        <w:br/>
      </w:r>
      <w:r w:rsidR="00091BF2">
        <w:br/>
      </w:r>
      <w:r w:rsidRPr="64C5D4AA">
        <w:rPr>
          <w:rFonts w:ascii="Calibri" w:hAnsi="Calibri" w:cs="Calibri"/>
        </w:rPr>
        <w:t xml:space="preserve">Organisational change has a significant impact on organisational behaviour. Change initiatives have a significant impact on the company's leadership philosophies, decision-making processes, employee engagement, and overall culture. According to Buchanan et al. (2007), effective change implementation depends on recognising and resolving employees' behavioural and psychological reactions to change. The correlation between organisational behaviour and change management is intricate, and the accomplishment of change endeavours frequently hinges on the capacity to proficiently handle human factors and cultural dynamics. The importance of strategic alignment and adaptability is highlighted by Mintzberg's (1989) analysis of organisational structures in healthcare settings, where the quick speed of change necessitates responsive and flexible organisational designs. Furthermore, organisational transformation can take many different forms in the healthcare industry. These include implementing cultural revolutions, modernising patient care models, introducing modern technology, and altering structural or strategic plans. Schein (2010) notes that while strategic changes may represent a shift in the focus of service delivery or the adoption of novel care models, structural changes may entail departmental reorganisation to increase the effectiveness of care delivery. The digital health revolution exemplifies how process modifications often leverage novel technologies to enhance efficacy and quality of patient care. Wachter (2015) highlights how technology </w:t>
      </w:r>
      <w:bookmarkStart w:id="2" w:name="_Int_q0lxvFcs"/>
      <w:r w:rsidRPr="64C5D4AA">
        <w:rPr>
          <w:rFonts w:ascii="Calibri" w:hAnsi="Calibri" w:cs="Calibri"/>
        </w:rPr>
        <w:t>has the ability to</w:t>
      </w:r>
      <w:bookmarkEnd w:id="2"/>
      <w:r w:rsidRPr="64C5D4AA">
        <w:rPr>
          <w:rFonts w:ascii="Calibri" w:hAnsi="Calibri" w:cs="Calibri"/>
        </w:rPr>
        <w:t xml:space="preserve"> revolutionise the healthcare industry. These alterations are the result of an intricate web of interconnected components. Health care organisations need to be flexible </w:t>
      </w:r>
      <w:bookmarkStart w:id="3" w:name="_Int_b3dvKZdP"/>
      <w:r w:rsidRPr="64C5D4AA">
        <w:rPr>
          <w:rFonts w:ascii="Calibri" w:hAnsi="Calibri" w:cs="Calibri"/>
        </w:rPr>
        <w:t>in order to</w:t>
      </w:r>
      <w:bookmarkEnd w:id="3"/>
      <w:r w:rsidRPr="64C5D4AA">
        <w:rPr>
          <w:rFonts w:ascii="Calibri" w:hAnsi="Calibri" w:cs="Calibri"/>
        </w:rPr>
        <w:t xml:space="preserve"> react to shifting patient demographics, financial strains, legislative changes, and technological breakthroughs. The behavioural landscape of healthcare settings is significantly impacted by the cascade of organisational change, which modifies how teams communicate, how leaders lead, and how employees view their roles and contributions. To enable the seamless </w:t>
      </w:r>
      <w:r w:rsidRPr="64C5D4AA">
        <w:rPr>
          <w:rFonts w:ascii="Calibri" w:hAnsi="Calibri" w:cs="Calibri"/>
        </w:rPr>
        <w:lastRenderedPageBreak/>
        <w:t xml:space="preserve">integration of changes, the transition challenges established norms and pushes for a move towards more cooperative, transparent, and flexible practices. According to Birken et al. (2018), the industry has drastically changed its organisational practices in response to these pressures, particularly considering new regulations and standards. </w:t>
      </w:r>
      <w:r w:rsidR="00091BF2">
        <w:br/>
      </w:r>
      <w:r w:rsidR="00091BF2">
        <w:br/>
      </w:r>
      <w:r w:rsidRPr="64C5D4AA">
        <w:rPr>
          <w:rFonts w:ascii="Calibri" w:hAnsi="Calibri" w:cs="Calibri"/>
        </w:rPr>
        <w:t xml:space="preserve">Organisational changes in healthcare settings have a significant effect on patient behaviour. For instance, Kouzes and Posner (2012) contend that more collaborative leadership models are necessary to replace traditional hierarchical models in the effective management of change. The importance of communication in this type of situation cannot be overstated; as Heathfield (2021) points out, open and honest communication can significantly reduce resistance and increase support for change initiatives. Employee engagement is significantly impacted by change as well. Employees' emotional states during times of change can vary from apprehension to excitement, depending on how involved they are in the process and how it affects their work responsibilities. In their discussions of these psychological reactions, Kotter (1996) and Armenakis and Harris (2009) emphasise how crucial it is to address employee concerns and create a supportive environment </w:t>
      </w:r>
      <w:bookmarkStart w:id="4" w:name="_Int_VRoZa3i5"/>
      <w:r w:rsidRPr="64C5D4AA">
        <w:rPr>
          <w:rFonts w:ascii="Calibri" w:hAnsi="Calibri" w:cs="Calibri"/>
        </w:rPr>
        <w:t>in order to</w:t>
      </w:r>
      <w:bookmarkEnd w:id="4"/>
      <w:r w:rsidRPr="64C5D4AA">
        <w:rPr>
          <w:rFonts w:ascii="Calibri" w:hAnsi="Calibri" w:cs="Calibri"/>
        </w:rPr>
        <w:t xml:space="preserve"> manage the transition successfully. An overview of strategies for preserving collaboration and teamwork during organisational change is given by Lencioni (2002). The dynamics of the team are an additional crucial factor. </w:t>
      </w:r>
      <w:r w:rsidR="00091BF2">
        <w:br/>
      </w:r>
      <w:r w:rsidR="00091BF2">
        <w:br/>
      </w:r>
      <w:r w:rsidRPr="64C5D4AA">
        <w:rPr>
          <w:rFonts w:ascii="Calibri" w:hAnsi="Calibri" w:cs="Calibri"/>
        </w:rPr>
        <w:t xml:space="preserve">A thorough understanding of the challenges related to organisational change can be acquired through the examination of </w:t>
      </w:r>
      <w:bookmarkStart w:id="5" w:name="_Int_m8Du3Gs3"/>
      <w:r w:rsidRPr="64C5D4AA">
        <w:rPr>
          <w:rFonts w:ascii="Calibri" w:hAnsi="Calibri" w:cs="Calibri"/>
        </w:rPr>
        <w:t>particular case</w:t>
      </w:r>
      <w:bookmarkEnd w:id="5"/>
      <w:r w:rsidRPr="64C5D4AA">
        <w:rPr>
          <w:rFonts w:ascii="Calibri" w:hAnsi="Calibri" w:cs="Calibri"/>
        </w:rPr>
        <w:t xml:space="preserve"> studies. Hospital adoption of electronic health records (EHRs) is a prime example of the opportunities and difficulties associated with technology-driven change. In their analysis of the obstacles to EHR adoption, Boonstra and Broekhuis (2010) point out that although these initiatives have many advantages, resistance may arise, necessitating a large amount of support and training. Not all attempts at change are successful. </w:t>
      </w:r>
      <w:r w:rsidR="00091BF2">
        <w:br/>
      </w:r>
      <w:r w:rsidR="00091BF2">
        <w:br/>
      </w:r>
      <w:r w:rsidRPr="64C5D4AA">
        <w:rPr>
          <w:rFonts w:ascii="Calibri" w:hAnsi="Calibri" w:cs="Calibri"/>
        </w:rPr>
        <w:t xml:space="preserve">Braithwaite et al. (2018) emphasise how resistance can obstruct change initiatives from both internal and external sources in their discussion of the challenges involved in restructuring health services. According to Braithwaite et al. (2018), these examples highlight the necessity of careful planning, active stakeholder involvement, and flexible leadership to </w:t>
      </w:r>
      <w:r w:rsidRPr="64C5D4AA">
        <w:rPr>
          <w:rFonts w:ascii="Calibri" w:hAnsi="Calibri" w:cs="Calibri"/>
        </w:rPr>
        <w:lastRenderedPageBreak/>
        <w:t xml:space="preserve">successfully navigate the difficulties of organisational transformation in the healthcare industry. Moving on, the analysis of the various change types, their motivators, and the ways in which those elements affect organisational behaviour highlights the careful balancing act that needs to be performed to negotiate this terrain. Schein (2010) asserts that since the institution's underlying culture plays a significant role in its success, organisational change initiatives must be in line with cultural values to succeed. </w:t>
      </w:r>
      <w:r w:rsidR="00091BF2">
        <w:br/>
      </w:r>
      <w:r w:rsidR="00091BF2">
        <w:br/>
      </w:r>
      <w:r w:rsidRPr="64C5D4AA">
        <w:rPr>
          <w:rFonts w:ascii="Calibri" w:hAnsi="Calibri" w:cs="Calibri"/>
        </w:rPr>
        <w:t xml:space="preserve">The shift towards inclusive and participatory leadership models is highlighted by Kouzes and Posner (2012) in their critical analysis of the role of leadership in guiding organisational change. As Heathfield (2021) points out, this change is essential to creating an environment of openness and confidence, which is needed to reduce resistance and encourage employee flexibility. It has strategic importance as well. According to Kotter (1996) and Armenakis and Harris (2009), employees' emotional and psychological reactions to change highlight the need for compassionate and supportive leadership styles that recognise and allay the worries and anxieties of healthcare personnel. </w:t>
      </w:r>
      <w:r w:rsidR="00091BF2">
        <w:br/>
      </w:r>
      <w:r w:rsidR="00091BF2">
        <w:br/>
      </w:r>
      <w:r w:rsidRPr="64C5D4AA">
        <w:rPr>
          <w:rFonts w:ascii="Calibri" w:hAnsi="Calibri" w:cs="Calibri"/>
        </w:rPr>
        <w:t xml:space="preserve">Some would contend that, at least initially, the disruptive nature of organisational change can result in decreased morale and productivity. The case studies of EHR implementation (Boonstra &amp; Broekhuis, 2010) and service restructuring (Braithwaite et al., 2018) show how well-managed change initiatives can promote innovation, raise job satisfaction, and improve patient care. However, this perspective ignores these opportunities. These examples demonstrate organisational transformation's challenges as well as its opportunities for growth and progress. Furthermore, the investigation of organisational readiness for change by Weiner et al. (2009) offers a compelling counterargument to the notion that change is inherently disruptive. Health care organisations can significantly boost their chances of a successful change implementation by gaining a comprehensive understanding of readiness and taking proactive steps to address the factors that affect it. By doing this, the detrimental effects on organisational behaviour will be lessened. </w:t>
      </w:r>
      <w:r w:rsidR="00091BF2">
        <w:br/>
      </w:r>
      <w:r w:rsidR="00091BF2">
        <w:br/>
      </w:r>
      <w:r w:rsidRPr="64C5D4AA">
        <w:rPr>
          <w:rFonts w:ascii="Calibri" w:hAnsi="Calibri" w:cs="Calibri"/>
        </w:rPr>
        <w:t xml:space="preserve">Examining organisational change within the framework of health management reveals a landscape full of opportunities and difficulties. With the help of theoretical frameworks and actual case studies, this essay has explored the complexity of organisational change, </w:t>
      </w:r>
      <w:r w:rsidRPr="64C5D4AA">
        <w:rPr>
          <w:rFonts w:ascii="Calibri" w:hAnsi="Calibri" w:cs="Calibri"/>
        </w:rPr>
        <w:lastRenderedPageBreak/>
        <w:t xml:space="preserve">including its types, drivers, and important effects on organisational behaviour. It addresses the necessary elements of successful change initiatives, including the value of an encouraging culture and the organization's willingness for change, while considering potential roadblocks. The discussion highlights how the engagement of the workforce and the institution's cultural fabric are intrinsically linked to the success of organisational change, drawing inspiration from Schein (2010) and Kotter (1996). Additionally, the shift to more inclusive and collaborative leadership styles is crucial for developing a positive change culture, according to research by Kouzes and Posner (2012). Leadership emerges as a crucial element in this dynamic. Moreover, as mentioned by Armenakis and Harris (2009), the psychological and emotional aspects of organisational change emphasise how important it is to have caring leaders and robust support networks </w:t>
      </w:r>
      <w:bookmarkStart w:id="6" w:name="_Int_dpXRXbDL"/>
      <w:r w:rsidRPr="64C5D4AA">
        <w:rPr>
          <w:rFonts w:ascii="Calibri" w:hAnsi="Calibri" w:cs="Calibri"/>
        </w:rPr>
        <w:t>in order to</w:t>
      </w:r>
      <w:bookmarkEnd w:id="6"/>
      <w:r w:rsidRPr="64C5D4AA">
        <w:rPr>
          <w:rFonts w:ascii="Calibri" w:hAnsi="Calibri" w:cs="Calibri"/>
        </w:rPr>
        <w:t xml:space="preserve"> manage the complexity of change. </w:t>
      </w:r>
      <w:r w:rsidR="00091BF2">
        <w:br/>
      </w:r>
      <w:r w:rsidR="00091BF2">
        <w:br/>
      </w:r>
      <w:r w:rsidRPr="64C5D4AA">
        <w:rPr>
          <w:rFonts w:ascii="Calibri" w:hAnsi="Calibri" w:cs="Calibri"/>
        </w:rPr>
        <w:t xml:space="preserve">These results have important ramifications for health care administration. It promotes a methodical, people-centered approach to change management that recognises the nuanced cultural variations among healthcare organisations. It also emphasises how crucial it is to continue studying how these modifications are occurring to enhance and perfect change management procedures in the healthcare sector. Effective change management demands a comprehensive strategy that considers both the structural and strategic aspects of the change as well as its human and cultural components. The case studies of the reorganisation of services and the adoption of electronic health records demonstrate how crucial it is to address the human factors of change to attain intended results and enhance patient care. Further investigation into the long-term impacts of organisational change on health care outcomes is imperative. As recommended by Weiner et al. (2009), future research should examine the relationship between change management and patient satisfaction, employee well-being, and healthcare quality. Additional research is necessary to determine whether technology helps or hinders organisational change in health care settings, especially considering recent advancements in digital health. </w:t>
      </w:r>
    </w:p>
    <w:p w14:paraId="7B0A6EA4" w14:textId="77777777" w:rsidR="00493777" w:rsidRDefault="00493777">
      <w:pPr>
        <w:rPr>
          <w:rFonts w:ascii="Calibri" w:hAnsi="Calibri" w:cs="Calibri"/>
        </w:rPr>
      </w:pPr>
      <w:r>
        <w:rPr>
          <w:rFonts w:ascii="Calibri" w:hAnsi="Calibri" w:cs="Calibri"/>
        </w:rPr>
        <w:br w:type="page"/>
      </w:r>
    </w:p>
    <w:p w14:paraId="6DD518A7" w14:textId="77777777" w:rsidR="008B4A64" w:rsidRPr="008B4A64" w:rsidRDefault="008B4A64" w:rsidP="008B4A64">
      <w:pPr>
        <w:suppressAutoHyphens/>
        <w:autoSpaceDN w:val="0"/>
        <w:spacing w:line="360" w:lineRule="auto"/>
        <w:rPr>
          <w:rFonts w:ascii="Calibri" w:eastAsia="Aptos" w:hAnsi="Calibri" w:cs="Calibri"/>
          <w:b/>
          <w:bCs/>
          <w:kern w:val="3"/>
          <w14:ligatures w14:val="none"/>
        </w:rPr>
      </w:pPr>
      <w:r w:rsidRPr="008B4A64">
        <w:rPr>
          <w:rFonts w:ascii="Calibri" w:eastAsia="Aptos" w:hAnsi="Calibri" w:cs="Calibri"/>
          <w:b/>
          <w:bCs/>
          <w:kern w:val="3"/>
          <w14:ligatures w14:val="none"/>
        </w:rPr>
        <w:lastRenderedPageBreak/>
        <w:t>Reference list</w:t>
      </w:r>
    </w:p>
    <w:p w14:paraId="231F9E22"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Armenakis, A.A. and Harris, S.G. (2009). Reflections: Our Journey in Organizational Change Research and Practice. </w:t>
      </w:r>
      <w:r w:rsidRPr="008B4A64">
        <w:rPr>
          <w:rFonts w:ascii="Calibri" w:eastAsia="Aptos" w:hAnsi="Calibri" w:cs="Calibri"/>
          <w:i/>
          <w:iCs/>
          <w:kern w:val="3"/>
          <w14:ligatures w14:val="none"/>
        </w:rPr>
        <w:t>Journal of Change Management</w:t>
      </w:r>
      <w:r w:rsidRPr="008B4A64">
        <w:rPr>
          <w:rFonts w:ascii="Calibri" w:eastAsia="Aptos" w:hAnsi="Calibri" w:cs="Calibri"/>
          <w:kern w:val="3"/>
          <w14:ligatures w14:val="none"/>
        </w:rPr>
        <w:t>, 9(2), pp.127–142. Available at: doi:https://doi.org/10.1080/14697010902879079.</w:t>
      </w:r>
    </w:p>
    <w:p w14:paraId="0F023248"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Birken, S.A., Lee, S.-Y.D. and Weiner, B.J. (2018). Uncovering middle managers’ role in healthcare innovation implementation. </w:t>
      </w:r>
      <w:r w:rsidRPr="008B4A64">
        <w:rPr>
          <w:rFonts w:ascii="Calibri" w:eastAsia="Aptos" w:hAnsi="Calibri" w:cs="Calibri"/>
          <w:i/>
          <w:iCs/>
          <w:kern w:val="3"/>
          <w14:ligatures w14:val="none"/>
        </w:rPr>
        <w:t>Implementation Science</w:t>
      </w:r>
      <w:r w:rsidRPr="008B4A64">
        <w:rPr>
          <w:rFonts w:ascii="Calibri" w:eastAsia="Aptos" w:hAnsi="Calibri" w:cs="Calibri"/>
          <w:kern w:val="3"/>
          <w14:ligatures w14:val="none"/>
        </w:rPr>
        <w:t>, 7(1). Available at: doi:https://doi.org/10.1186/1748-5908-7-28.</w:t>
      </w:r>
    </w:p>
    <w:p w14:paraId="624FA2E9"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Boonstra, A. and Broekhuis, M. (2010). Barriers to the acceptance of electronic medical records by physicians from systematic review to taxonomy and interventions. </w:t>
      </w:r>
      <w:r w:rsidRPr="008B4A64">
        <w:rPr>
          <w:rFonts w:ascii="Calibri" w:eastAsia="Aptos" w:hAnsi="Calibri" w:cs="Calibri"/>
          <w:i/>
          <w:iCs/>
          <w:kern w:val="3"/>
          <w14:ligatures w14:val="none"/>
        </w:rPr>
        <w:t>BMC Health Services Research</w:t>
      </w:r>
      <w:r w:rsidRPr="008B4A64">
        <w:rPr>
          <w:rFonts w:ascii="Calibri" w:eastAsia="Aptos" w:hAnsi="Calibri" w:cs="Calibri"/>
          <w:kern w:val="3"/>
          <w14:ligatures w14:val="none"/>
        </w:rPr>
        <w:t>, 10(1). Available at: doi:https://doi.org/10.1186/1472-6963-10-231.</w:t>
      </w:r>
    </w:p>
    <w:p w14:paraId="2429ABAC"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Braithwaite, J., Mannion, R., Matsuyama, Y., Shekelle, P.G., Whittaker, S. and Samir Al-Adawi (2018). </w:t>
      </w:r>
      <w:r w:rsidRPr="008B4A64">
        <w:rPr>
          <w:rFonts w:ascii="Calibri" w:eastAsia="Aptos" w:hAnsi="Calibri" w:cs="Calibri"/>
          <w:i/>
          <w:iCs/>
          <w:kern w:val="3"/>
          <w14:ligatures w14:val="none"/>
        </w:rPr>
        <w:t>Healthcare Systems: Future Predictions for Global Care</w:t>
      </w:r>
      <w:r w:rsidRPr="008B4A64">
        <w:rPr>
          <w:rFonts w:ascii="Calibri" w:eastAsia="Aptos" w:hAnsi="Calibri" w:cs="Calibri"/>
          <w:kern w:val="3"/>
          <w14:ligatures w14:val="none"/>
        </w:rPr>
        <w:t>. CRC Press.</w:t>
      </w:r>
    </w:p>
    <w:p w14:paraId="6DABB5F4"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Buchanan, D.A., Fitzgerald, L. and Ketley, D. (2007). </w:t>
      </w:r>
      <w:r w:rsidRPr="008B4A64">
        <w:rPr>
          <w:rFonts w:ascii="Calibri" w:eastAsia="Aptos" w:hAnsi="Calibri" w:cs="Calibri"/>
          <w:i/>
          <w:iCs/>
          <w:kern w:val="3"/>
          <w14:ligatures w14:val="none"/>
        </w:rPr>
        <w:t>The Sustainability and Spread of Organizational Change: Modernizing Healthcare</w:t>
      </w:r>
      <w:r w:rsidRPr="008B4A64">
        <w:rPr>
          <w:rFonts w:ascii="Calibri" w:eastAsia="Aptos" w:hAnsi="Calibri" w:cs="Calibri"/>
          <w:kern w:val="3"/>
          <w14:ligatures w14:val="none"/>
        </w:rPr>
        <w:t>. Routledge.</w:t>
      </w:r>
    </w:p>
    <w:p w14:paraId="6F7054FD"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Burnes, B. (2004). Kurt Lewin and the Planned Approach to change: a re-appraisal. </w:t>
      </w:r>
      <w:r w:rsidRPr="008B4A64">
        <w:rPr>
          <w:rFonts w:ascii="Calibri" w:eastAsia="Aptos" w:hAnsi="Calibri" w:cs="Calibri"/>
          <w:i/>
          <w:iCs/>
          <w:kern w:val="3"/>
          <w14:ligatures w14:val="none"/>
        </w:rPr>
        <w:t>Journal of Management Studies</w:t>
      </w:r>
      <w:r w:rsidRPr="008B4A64">
        <w:rPr>
          <w:rFonts w:ascii="Calibri" w:eastAsia="Aptos" w:hAnsi="Calibri" w:cs="Calibri"/>
          <w:kern w:val="3"/>
          <w14:ligatures w14:val="none"/>
        </w:rPr>
        <w:t>,41(6), pp.977–1002. Available at: https://onlinelibrary.wiley.com/doi/full/10.1111/j.1467-6486.2004.00463.x.</w:t>
      </w:r>
    </w:p>
    <w:p w14:paraId="437957C9"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Cameron, E. and Green, M. (2015). </w:t>
      </w:r>
      <w:r w:rsidRPr="008B4A64">
        <w:rPr>
          <w:rFonts w:ascii="Calibri" w:eastAsia="Aptos" w:hAnsi="Calibri" w:cs="Calibri"/>
          <w:i/>
          <w:iCs/>
          <w:kern w:val="3"/>
          <w14:ligatures w14:val="none"/>
        </w:rPr>
        <w:t>Making Sense of Change Management: A Complete Guide to the Models, Tools and Techniques of Organizational Change</w:t>
      </w:r>
      <w:r w:rsidRPr="008B4A64">
        <w:rPr>
          <w:rFonts w:ascii="Calibri" w:eastAsia="Aptos" w:hAnsi="Calibri" w:cs="Calibri"/>
          <w:kern w:val="3"/>
          <w14:ligatures w14:val="none"/>
        </w:rPr>
        <w:t>. Kogan Page Publishers. Available at: https://books.google.co.uk/books?hl=en&amp;lr=&amp;id=LX-5DwAAQBAJ&amp;oi=fnd&amp;pg=PP1&amp;dq=Cameron.</w:t>
      </w:r>
    </w:p>
    <w:p w14:paraId="212986D3"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Dawson, P. (2003). </w:t>
      </w:r>
      <w:r w:rsidRPr="008B4A64">
        <w:rPr>
          <w:rFonts w:ascii="Calibri" w:eastAsia="Aptos" w:hAnsi="Calibri" w:cs="Calibri"/>
          <w:i/>
          <w:iCs/>
          <w:kern w:val="3"/>
          <w14:ligatures w14:val="none"/>
        </w:rPr>
        <w:t>Understanding Organizational Change: The Contemporary Experience of People at Work</w:t>
      </w:r>
      <w:r w:rsidRPr="008B4A64">
        <w:rPr>
          <w:rFonts w:ascii="Calibri" w:eastAsia="Aptos" w:hAnsi="Calibri" w:cs="Calibri"/>
          <w:kern w:val="3"/>
          <w14:ligatures w14:val="none"/>
        </w:rPr>
        <w:t>. London, United Kingdom Sage Publications Ltd.</w:t>
      </w:r>
    </w:p>
    <w:p w14:paraId="51260718"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Grol, R., Bosch, M.C., Hulscher, M.E., Eccles, M.P. and Wensing, M. (2007). Planning and Studying Improvement in Patient Care: The Use of Theoretical Perspectives. </w:t>
      </w:r>
      <w:r w:rsidRPr="008B4A64">
        <w:rPr>
          <w:rFonts w:ascii="Calibri" w:eastAsia="Aptos" w:hAnsi="Calibri" w:cs="Calibri"/>
          <w:i/>
          <w:iCs/>
          <w:kern w:val="3"/>
          <w14:ligatures w14:val="none"/>
        </w:rPr>
        <w:t>Milbank Quarterly</w:t>
      </w:r>
      <w:r w:rsidRPr="008B4A64">
        <w:rPr>
          <w:rFonts w:ascii="Calibri" w:eastAsia="Aptos" w:hAnsi="Calibri" w:cs="Calibri"/>
          <w:kern w:val="3"/>
          <w14:ligatures w14:val="none"/>
        </w:rPr>
        <w:t>, 85(1), pp.93–138.Available at: doi:https://doi.org/10.1111/j.1468-0009.2007.00478.x.</w:t>
      </w:r>
    </w:p>
    <w:p w14:paraId="3AEB17A2"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lastRenderedPageBreak/>
        <w:t xml:space="preserve">Heathfield, S. (2021). </w:t>
      </w:r>
      <w:r w:rsidRPr="008B4A64">
        <w:rPr>
          <w:rFonts w:ascii="Calibri" w:eastAsia="Aptos" w:hAnsi="Calibri" w:cs="Calibri"/>
          <w:i/>
          <w:iCs/>
          <w:kern w:val="3"/>
          <w14:ligatures w14:val="none"/>
        </w:rPr>
        <w:t>How to Reduce Employee Resistance to Change in the Workplace</w:t>
      </w:r>
      <w:r w:rsidRPr="008B4A64">
        <w:rPr>
          <w:rFonts w:ascii="Calibri" w:eastAsia="Aptos" w:hAnsi="Calibri" w:cs="Calibri"/>
          <w:kern w:val="3"/>
          <w14:ligatures w14:val="none"/>
        </w:rPr>
        <w:t>. Live About. Available at: https://www.liveabout.com/how-to-reduce-employee-resistance-to-change-1918992.</w:t>
      </w:r>
    </w:p>
    <w:p w14:paraId="67F67B9D" w14:textId="3CD0500B"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Kotter, J. (1996). Leading Change. </w:t>
      </w:r>
      <w:r w:rsidRPr="008B4A64">
        <w:rPr>
          <w:rFonts w:ascii="Calibri" w:eastAsia="Aptos" w:hAnsi="Calibri" w:cs="Calibri"/>
          <w:i/>
          <w:iCs/>
          <w:kern w:val="3"/>
          <w14:ligatures w14:val="none"/>
        </w:rPr>
        <w:t>Competitive Intelligence Review</w:t>
      </w:r>
      <w:r w:rsidRPr="008B4A64">
        <w:rPr>
          <w:rFonts w:ascii="Calibri" w:eastAsia="Aptos" w:hAnsi="Calibri" w:cs="Calibri"/>
          <w:kern w:val="3"/>
          <w14:ligatures w14:val="none"/>
        </w:rPr>
        <w:t>, 8(2), pp.96–97. Available at: doi:https://doi.org/10.1002/cir.3880080221.</w:t>
      </w:r>
    </w:p>
    <w:p w14:paraId="75F12719" w14:textId="2832B82D"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Kotter, J. (1996). Leading change: Why Transformation Efforts Fail. </w:t>
      </w:r>
      <w:r w:rsidRPr="008B4A64">
        <w:rPr>
          <w:rFonts w:ascii="Calibri" w:eastAsia="Aptos" w:hAnsi="Calibri" w:cs="Calibri"/>
          <w:i/>
          <w:iCs/>
          <w:kern w:val="3"/>
          <w14:ligatures w14:val="none"/>
        </w:rPr>
        <w:t>IEEE Engineering Management Review</w:t>
      </w:r>
      <w:r w:rsidRPr="008B4A64">
        <w:rPr>
          <w:rFonts w:ascii="Calibri" w:eastAsia="Aptos" w:hAnsi="Calibri" w:cs="Calibri"/>
          <w:kern w:val="3"/>
          <w14:ligatures w14:val="none"/>
        </w:rPr>
        <w:t>,37(3), pp.42–48. Available at: doi:https://doi.org/10.1109/emr.2009.5235501.</w:t>
      </w:r>
    </w:p>
    <w:p w14:paraId="2A369DDB"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Kouzes, J.M. and Posner, B.Z. (2012). </w:t>
      </w:r>
      <w:r w:rsidRPr="008B4A64">
        <w:rPr>
          <w:rFonts w:ascii="Calibri" w:eastAsia="Aptos" w:hAnsi="Calibri" w:cs="Calibri"/>
          <w:i/>
          <w:iCs/>
          <w:kern w:val="3"/>
          <w14:ligatures w14:val="none"/>
        </w:rPr>
        <w:t>The Leadership Challenge: How to Make Extraordinary Things Happen in Organizations</w:t>
      </w:r>
      <w:r w:rsidRPr="008B4A64">
        <w:rPr>
          <w:rFonts w:ascii="Calibri" w:eastAsia="Aptos" w:hAnsi="Calibri" w:cs="Calibri"/>
          <w:kern w:val="3"/>
          <w14:ligatures w14:val="none"/>
        </w:rPr>
        <w:t>. John Wiley &amp; Sons. Available at: https://books.google.co.uk/books?hl=en&amp;lr=&amp;id=vhWcEAAAQBAJ&amp;oi=fnd&amp;pg=PR15&amp;dq=Kouzes.</w:t>
      </w:r>
    </w:p>
    <w:p w14:paraId="0C52A9D6"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Kubler-Ross, E. (1969). </w:t>
      </w:r>
      <w:r w:rsidRPr="008B4A64">
        <w:rPr>
          <w:rFonts w:ascii="Calibri" w:eastAsia="Aptos" w:hAnsi="Calibri" w:cs="Calibri"/>
          <w:i/>
          <w:iCs/>
          <w:kern w:val="3"/>
          <w14:ligatures w14:val="none"/>
        </w:rPr>
        <w:t>On Death and Dying</w:t>
      </w:r>
      <w:r w:rsidRPr="008B4A64">
        <w:rPr>
          <w:rFonts w:ascii="Calibri" w:eastAsia="Aptos" w:hAnsi="Calibri" w:cs="Calibri"/>
          <w:kern w:val="3"/>
          <w14:ligatures w14:val="none"/>
        </w:rPr>
        <w:t>. New York, Ny: Macmillan Pub. Co.</w:t>
      </w:r>
    </w:p>
    <w:p w14:paraId="5A4A30F6"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Lencioni, P. (2002a). </w:t>
      </w:r>
      <w:r w:rsidRPr="008B4A64">
        <w:rPr>
          <w:rFonts w:ascii="Calibri" w:eastAsia="Aptos" w:hAnsi="Calibri" w:cs="Calibri"/>
          <w:i/>
          <w:iCs/>
          <w:kern w:val="3"/>
          <w14:ligatures w14:val="none"/>
        </w:rPr>
        <w:t>The Five Dysfunctions of a Team: a Leadership Fable</w:t>
      </w:r>
      <w:r w:rsidRPr="008B4A64">
        <w:rPr>
          <w:rFonts w:ascii="Calibri" w:eastAsia="Aptos" w:hAnsi="Calibri" w:cs="Calibri"/>
          <w:kern w:val="3"/>
          <w14:ligatures w14:val="none"/>
        </w:rPr>
        <w:t>. San Francisco: Jossey-Bass.</w:t>
      </w:r>
    </w:p>
    <w:p w14:paraId="6B452C60"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Lewin, K. (1947). Frontiers in Group Dynamics: Concept, Method and Reality in Social Science; Social Equilibria and Social Change. </w:t>
      </w:r>
      <w:r w:rsidRPr="008B4A64">
        <w:rPr>
          <w:rFonts w:ascii="Calibri" w:eastAsia="Aptos" w:hAnsi="Calibri" w:cs="Calibri"/>
          <w:i/>
          <w:iCs/>
          <w:kern w:val="3"/>
          <w14:ligatures w14:val="none"/>
        </w:rPr>
        <w:t>Human Relations</w:t>
      </w:r>
      <w:r w:rsidRPr="008B4A64">
        <w:rPr>
          <w:rFonts w:ascii="Calibri" w:eastAsia="Aptos" w:hAnsi="Calibri" w:cs="Calibri"/>
          <w:kern w:val="3"/>
          <w14:ligatures w14:val="none"/>
        </w:rPr>
        <w:t>,1(1), pp.5–41. Available at: doi:https://doi.org/10.1177/001872674700100103.</w:t>
      </w:r>
    </w:p>
    <w:p w14:paraId="57C44500"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Mintzberg, H. (1989). </w:t>
      </w:r>
      <w:r w:rsidRPr="008B4A64">
        <w:rPr>
          <w:rFonts w:ascii="Calibri" w:eastAsia="Aptos" w:hAnsi="Calibri" w:cs="Calibri"/>
          <w:i/>
          <w:iCs/>
          <w:kern w:val="3"/>
          <w14:ligatures w14:val="none"/>
        </w:rPr>
        <w:t>Mintzberg on management inside our strange world of organizations</w:t>
      </w:r>
      <w:r w:rsidRPr="008B4A64">
        <w:rPr>
          <w:rFonts w:ascii="Calibri" w:eastAsia="Aptos" w:hAnsi="Calibri" w:cs="Calibri"/>
          <w:kern w:val="3"/>
          <w14:ligatures w14:val="none"/>
        </w:rPr>
        <w:t>. New York Free Press [U.A].</w:t>
      </w:r>
    </w:p>
    <w:p w14:paraId="1F980105"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Plsek, P.E. and Greenhalgh, T. (2001). Complexity science: The challenge of complexity in health care. </w:t>
      </w:r>
      <w:r w:rsidRPr="008B4A64">
        <w:rPr>
          <w:rFonts w:ascii="Calibri" w:eastAsia="Aptos" w:hAnsi="Calibri" w:cs="Calibri"/>
          <w:i/>
          <w:iCs/>
          <w:kern w:val="3"/>
          <w14:ligatures w14:val="none"/>
        </w:rPr>
        <w:t>BMJ</w:t>
      </w:r>
      <w:r w:rsidRPr="008B4A64">
        <w:rPr>
          <w:rFonts w:ascii="Calibri" w:eastAsia="Aptos" w:hAnsi="Calibri" w:cs="Calibri"/>
          <w:kern w:val="3"/>
          <w14:ligatures w14:val="none"/>
        </w:rPr>
        <w:t>, 323(7313), pp.625–628. Available at: doi:https://doi.org/10.1136/bmj.323.7313.625.</w:t>
      </w:r>
    </w:p>
    <w:p w14:paraId="256BE580"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Schein, E.H. (2010). </w:t>
      </w:r>
      <w:r w:rsidRPr="008B4A64">
        <w:rPr>
          <w:rFonts w:ascii="Calibri" w:eastAsia="Aptos" w:hAnsi="Calibri" w:cs="Calibri"/>
          <w:i/>
          <w:iCs/>
          <w:kern w:val="3"/>
          <w14:ligatures w14:val="none"/>
        </w:rPr>
        <w:t>Organizational Culture and Leadership</w:t>
      </w:r>
      <w:r w:rsidRPr="008B4A64">
        <w:rPr>
          <w:rFonts w:ascii="Calibri" w:eastAsia="Aptos" w:hAnsi="Calibri" w:cs="Calibri"/>
          <w:kern w:val="3"/>
          <w14:ligatures w14:val="none"/>
        </w:rPr>
        <w:t>. 4th ed. San Francisco: Jossey-Bass.</w:t>
      </w:r>
    </w:p>
    <w:p w14:paraId="37501A52"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Senge, P.M. (1990). </w:t>
      </w:r>
      <w:r w:rsidRPr="008B4A64">
        <w:rPr>
          <w:rFonts w:ascii="Calibri" w:eastAsia="Aptos" w:hAnsi="Calibri" w:cs="Calibri"/>
          <w:i/>
          <w:iCs/>
          <w:kern w:val="3"/>
          <w14:ligatures w14:val="none"/>
        </w:rPr>
        <w:t>The fifth discipline: the art and practice of the learning organization</w:t>
      </w:r>
      <w:r w:rsidRPr="008B4A64">
        <w:rPr>
          <w:rFonts w:ascii="Calibri" w:eastAsia="Aptos" w:hAnsi="Calibri" w:cs="Calibri"/>
          <w:kern w:val="3"/>
          <w14:ligatures w14:val="none"/>
        </w:rPr>
        <w:t>. New York: Currency Doubleday.</w:t>
      </w:r>
    </w:p>
    <w:p w14:paraId="170E85D2"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lastRenderedPageBreak/>
        <w:t xml:space="preserve">Wachter, R. (2015). </w:t>
      </w:r>
      <w:r w:rsidRPr="008B4A64">
        <w:rPr>
          <w:rFonts w:ascii="Calibri" w:eastAsia="Aptos" w:hAnsi="Calibri" w:cs="Calibri"/>
          <w:i/>
          <w:iCs/>
          <w:kern w:val="3"/>
          <w14:ligatures w14:val="none"/>
        </w:rPr>
        <w:t>The Digital Doctor: Hope, Hype, and Harm at the Dawn of Medicine’s Computer Age /</w:t>
      </w:r>
      <w:r w:rsidRPr="008B4A64">
        <w:rPr>
          <w:rFonts w:ascii="Calibri" w:eastAsia="Aptos" w:hAnsi="Calibri" w:cs="Calibri"/>
          <w:kern w:val="3"/>
          <w14:ligatures w14:val="none"/>
        </w:rPr>
        <w:t>. New York, N.Y.: McGraw-Hill Education.</w:t>
      </w:r>
    </w:p>
    <w:p w14:paraId="23308E73" w14:textId="77777777" w:rsidR="008B4A64" w:rsidRPr="008B4A64" w:rsidRDefault="008B4A64" w:rsidP="008B4A64">
      <w:pPr>
        <w:suppressAutoHyphens/>
        <w:autoSpaceDN w:val="0"/>
        <w:spacing w:line="360" w:lineRule="auto"/>
        <w:rPr>
          <w:rFonts w:ascii="Calibri" w:eastAsia="Aptos" w:hAnsi="Calibri" w:cs="Calibri"/>
          <w:kern w:val="3"/>
          <w14:ligatures w14:val="none"/>
        </w:rPr>
      </w:pPr>
      <w:r w:rsidRPr="008B4A64">
        <w:rPr>
          <w:rFonts w:ascii="Calibri" w:eastAsia="Aptos" w:hAnsi="Calibri" w:cs="Calibri"/>
          <w:kern w:val="3"/>
          <w14:ligatures w14:val="none"/>
        </w:rPr>
        <w:t xml:space="preserve">Weiner, B.J., Amick, H. and Lee, S.-Y.D. (2009). Review: Conceptualization and Measurement of Organizational Readiness for Change. </w:t>
      </w:r>
      <w:r w:rsidRPr="008B4A64">
        <w:rPr>
          <w:rFonts w:ascii="Calibri" w:eastAsia="Aptos" w:hAnsi="Calibri" w:cs="Calibri"/>
          <w:i/>
          <w:iCs/>
          <w:kern w:val="3"/>
          <w14:ligatures w14:val="none"/>
        </w:rPr>
        <w:t>Medical Care Research and Review</w:t>
      </w:r>
      <w:r w:rsidRPr="008B4A64">
        <w:rPr>
          <w:rFonts w:ascii="Calibri" w:eastAsia="Aptos" w:hAnsi="Calibri" w:cs="Calibri"/>
          <w:kern w:val="3"/>
          <w14:ligatures w14:val="none"/>
        </w:rPr>
        <w:t>,65(4), pp.379–436. Available at: doi:https://doi.org/10.1177/1077558708317802.</w:t>
      </w:r>
    </w:p>
    <w:p w14:paraId="7A9A6970" w14:textId="77777777" w:rsidR="00EF7146" w:rsidRDefault="00EF7146" w:rsidP="004C3D1E">
      <w:pPr>
        <w:spacing w:line="360" w:lineRule="auto"/>
        <w:rPr>
          <w:rFonts w:ascii="Calibri" w:hAnsi="Calibri" w:cs="Calibri"/>
        </w:rPr>
      </w:pPr>
    </w:p>
    <w:p w14:paraId="3C10E70F" w14:textId="2AA3AEBC" w:rsidR="004439B6" w:rsidRPr="004C3D1E" w:rsidRDefault="004439B6" w:rsidP="004C3D1E">
      <w:pPr>
        <w:spacing w:line="360" w:lineRule="auto"/>
      </w:pPr>
    </w:p>
    <w:sectPr w:rsidR="004439B6" w:rsidRPr="004C3D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ZwpKrclWZZXgaD" int2:id="83MaSrmC">
      <int2:state int2:value="Rejected" int2:type="AugLoop_Text_Critique"/>
    </int2:textHash>
    <int2:textHash int2:hashCode="DTTcwT7Vnu94an" int2:id="gKEmlzdC">
      <int2:state int2:value="Rejected" int2:type="AugLoop_Text_Critique"/>
    </int2:textHash>
    <int2:textHash int2:hashCode="Ef53+qmgAlV5pi" int2:id="M0cqAk4b">
      <int2:state int2:value="Rejected" int2:type="AugLoop_Text_Critique"/>
    </int2:textHash>
    <int2:textHash int2:hashCode="BuQaKs6CkJyoKg" int2:id="0zxnKhB6">
      <int2:state int2:value="Rejected" int2:type="AugLoop_Text_Critique"/>
    </int2:textHash>
    <int2:textHash int2:hashCode="ovSCusJ0bb5aCp" int2:id="ffI7NW1D">
      <int2:state int2:value="Rejected" int2:type="AugLoop_Text_Critique"/>
    </int2:textHash>
    <int2:bookmark int2:bookmarkName="_Int_dpXRXbDL" int2:invalidationBookmarkName="" int2:hashCode="e0dMsLOcF3PXGS" int2:id="pQtviTSW">
      <int2:state int2:value="Rejected" int2:type="AugLoop_Text_Critique"/>
    </int2:bookmark>
    <int2:bookmark int2:bookmarkName="_Int_VJVhM65j" int2:invalidationBookmarkName="" int2:hashCode="2DVLxYhmOXSGpt" int2:id="ERqo6zzD">
      <int2:state int2:value="Rejected" int2:type="AugLoop_Text_Critique"/>
    </int2:bookmark>
    <int2:bookmark int2:bookmarkName="_Int_uMljLVWS" int2:invalidationBookmarkName="" int2:hashCode="aups33Dx9cjmOq" int2:id="pcFIztT6">
      <int2:state int2:value="Rejected" int2:type="AugLoop_Text_Critique"/>
    </int2:bookmark>
    <int2:bookmark int2:bookmarkName="_Int_m8Du3Gs3" int2:invalidationBookmarkName="" int2:hashCode="+WY/bSHT0ohr7x" int2:id="UqP70WZm">
      <int2:state int2:value="Rejected" int2:type="AugLoop_Text_Critique"/>
    </int2:bookmark>
    <int2:bookmark int2:bookmarkName="_Int_VRoZa3i5" int2:invalidationBookmarkName="" int2:hashCode="e0dMsLOcF3PXGS" int2:id="Mp5FKDJ4">
      <int2:state int2:value="Rejected" int2:type="AugLoop_Text_Critique"/>
    </int2:bookmark>
    <int2:bookmark int2:bookmarkName="_Int_b3dvKZdP" int2:invalidationBookmarkName="" int2:hashCode="e0dMsLOcF3PXGS" int2:id="5EaZOxZM">
      <int2:state int2:value="Rejected" int2:type="AugLoop_Text_Critique"/>
    </int2:bookmark>
    <int2:bookmark int2:bookmarkName="_Int_q0lxvFcs" int2:invalidationBookmarkName="" int2:hashCode="G+VfmOrG7jxbx8" int2:id="lvEvdOV1">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9B6"/>
    <w:rsid w:val="00091BF2"/>
    <w:rsid w:val="00155126"/>
    <w:rsid w:val="00232C10"/>
    <w:rsid w:val="00332A94"/>
    <w:rsid w:val="004439B6"/>
    <w:rsid w:val="00493777"/>
    <w:rsid w:val="004C3D1E"/>
    <w:rsid w:val="00662A60"/>
    <w:rsid w:val="006872CA"/>
    <w:rsid w:val="008B4A64"/>
    <w:rsid w:val="008F5C56"/>
    <w:rsid w:val="009C594E"/>
    <w:rsid w:val="00B537A7"/>
    <w:rsid w:val="00BC6AB3"/>
    <w:rsid w:val="00C779B4"/>
    <w:rsid w:val="00DB11D9"/>
    <w:rsid w:val="00E25C5C"/>
    <w:rsid w:val="00EF7146"/>
    <w:rsid w:val="00F165AA"/>
    <w:rsid w:val="64C5D4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BE0E2"/>
  <w15:chartTrackingRefBased/>
  <w15:docId w15:val="{3F63B09A-F87C-4D8C-8A3A-3E28D085E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9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39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9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9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9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9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9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9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9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9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39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39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9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9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9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9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9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9B6"/>
    <w:rPr>
      <w:rFonts w:eastAsiaTheme="majorEastAsia" w:cstheme="majorBidi"/>
      <w:color w:val="272727" w:themeColor="text1" w:themeTint="D8"/>
    </w:rPr>
  </w:style>
  <w:style w:type="paragraph" w:styleId="Title">
    <w:name w:val="Title"/>
    <w:basedOn w:val="Normal"/>
    <w:next w:val="Normal"/>
    <w:link w:val="TitleChar"/>
    <w:uiPriority w:val="10"/>
    <w:qFormat/>
    <w:rsid w:val="004439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9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9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9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9B6"/>
    <w:pPr>
      <w:spacing w:before="160"/>
      <w:jc w:val="center"/>
    </w:pPr>
    <w:rPr>
      <w:i/>
      <w:iCs/>
      <w:color w:val="404040" w:themeColor="text1" w:themeTint="BF"/>
    </w:rPr>
  </w:style>
  <w:style w:type="character" w:customStyle="1" w:styleId="QuoteChar">
    <w:name w:val="Quote Char"/>
    <w:basedOn w:val="DefaultParagraphFont"/>
    <w:link w:val="Quote"/>
    <w:uiPriority w:val="29"/>
    <w:rsid w:val="004439B6"/>
    <w:rPr>
      <w:i/>
      <w:iCs/>
      <w:color w:val="404040" w:themeColor="text1" w:themeTint="BF"/>
    </w:rPr>
  </w:style>
  <w:style w:type="paragraph" w:styleId="ListParagraph">
    <w:name w:val="List Paragraph"/>
    <w:basedOn w:val="Normal"/>
    <w:uiPriority w:val="34"/>
    <w:qFormat/>
    <w:rsid w:val="004439B6"/>
    <w:pPr>
      <w:ind w:left="720"/>
      <w:contextualSpacing/>
    </w:pPr>
  </w:style>
  <w:style w:type="character" w:styleId="IntenseEmphasis">
    <w:name w:val="Intense Emphasis"/>
    <w:basedOn w:val="DefaultParagraphFont"/>
    <w:uiPriority w:val="21"/>
    <w:qFormat/>
    <w:rsid w:val="004439B6"/>
    <w:rPr>
      <w:i/>
      <w:iCs/>
      <w:color w:val="0F4761" w:themeColor="accent1" w:themeShade="BF"/>
    </w:rPr>
  </w:style>
  <w:style w:type="paragraph" w:styleId="IntenseQuote">
    <w:name w:val="Intense Quote"/>
    <w:basedOn w:val="Normal"/>
    <w:next w:val="Normal"/>
    <w:link w:val="IntenseQuoteChar"/>
    <w:uiPriority w:val="30"/>
    <w:qFormat/>
    <w:rsid w:val="004439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9B6"/>
    <w:rPr>
      <w:i/>
      <w:iCs/>
      <w:color w:val="0F4761" w:themeColor="accent1" w:themeShade="BF"/>
    </w:rPr>
  </w:style>
  <w:style w:type="character" w:styleId="IntenseReference">
    <w:name w:val="Intense Reference"/>
    <w:basedOn w:val="DefaultParagraphFont"/>
    <w:uiPriority w:val="32"/>
    <w:qFormat/>
    <w:rsid w:val="004439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2876</Words>
  <Characters>16395</Characters>
  <Application>Microsoft Office Word</Application>
  <DocSecurity>0</DocSecurity>
  <Lines>136</Lines>
  <Paragraphs>38</Paragraphs>
  <ScaleCrop>false</ScaleCrop>
  <Company/>
  <LinksUpToDate>false</LinksUpToDate>
  <CharactersWithSpaces>19233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lacramioara burlacu</dc:creator>
  <cp:keywords/>
  <dc:description/>
  <cp:lastModifiedBy>lacramioara burlacu</cp:lastModifiedBy>
  <cp:revision>4</cp:revision>
  <dcterms:created xsi:type="dcterms:W3CDTF">2024-02-29T20:38:00Z</dcterms:created>
  <dcterms:modified xsi:type="dcterms:W3CDTF">2024-02-29T20:59:00Z</dcterms:modified>
</cp:coreProperties>
</file>