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BD5D46" w:rsidR="0051347B" w:rsidP="160596CF" w:rsidRDefault="0051347B" w14:paraId="1DA52183" w14:textId="72685C2A">
      <w:pPr>
        <w:pStyle w:val="Normal"/>
        <w:spacing w:line="360" w:lineRule="auto"/>
        <w:rPr>
          <w:rFonts w:ascii="Arial" w:hAnsi="Arial" w:cs="Arial"/>
          <w:b w:val="1"/>
          <w:bCs w:val="1"/>
          <w:color w:val="0070C0"/>
          <w:sz w:val="28"/>
          <w:szCs w:val="28"/>
          <w:u w:val="single"/>
        </w:rPr>
      </w:pPr>
      <w:r w:rsidRPr="160596CF" w:rsidR="0051347B">
        <w:rPr>
          <w:rFonts w:ascii="Arial" w:hAnsi="Arial" w:cs="Arial"/>
          <w:b w:val="1"/>
          <w:bCs w:val="1"/>
          <w:color w:val="0070C0"/>
          <w:sz w:val="28"/>
          <w:szCs w:val="28"/>
          <w:u w:val="single"/>
        </w:rPr>
        <w:t>Introduction</w:t>
      </w:r>
    </w:p>
    <w:p w:rsidRPr="00BD5D46" w:rsidR="0051347B" w:rsidP="00522109" w:rsidRDefault="00E80BE6" w14:paraId="1548EA47" w14:textId="62E8CCE1">
      <w:pPr>
        <w:spacing w:line="360" w:lineRule="auto"/>
        <w:rPr>
          <w:rFonts w:ascii="Arial" w:hAnsi="Arial" w:cs="Arial"/>
          <w:color w:val="0070C0"/>
          <w:sz w:val="28"/>
          <w:szCs w:val="28"/>
        </w:rPr>
      </w:pPr>
      <w:r w:rsidRPr="00BD5D46">
        <w:rPr>
          <w:rFonts w:ascii="Arial" w:hAnsi="Arial" w:cs="Arial"/>
          <w:color w:val="0070C0"/>
          <w:sz w:val="28"/>
          <w:szCs w:val="28"/>
        </w:rPr>
        <w:t xml:space="preserve">Hello today I will be talking about the benefits, brain development divergent thinking EAL/WAL and the frameworks regarding multilingualism. I will be referring to my activity I have </w:t>
      </w:r>
      <w:r w:rsidRPr="00BD5D46" w:rsidR="00075792">
        <w:rPr>
          <w:rFonts w:ascii="Arial" w:hAnsi="Arial" w:cs="Arial"/>
          <w:color w:val="0070C0"/>
          <w:sz w:val="28"/>
          <w:szCs w:val="28"/>
        </w:rPr>
        <w:t>done</w:t>
      </w:r>
      <w:r w:rsidRPr="00BD5D46">
        <w:rPr>
          <w:rFonts w:ascii="Arial" w:hAnsi="Arial" w:cs="Arial"/>
          <w:color w:val="0070C0"/>
          <w:sz w:val="28"/>
          <w:szCs w:val="28"/>
        </w:rPr>
        <w:t xml:space="preserve"> which was learning the days of the week in </w:t>
      </w:r>
      <w:r w:rsidRPr="00BD5D46" w:rsidR="00075792">
        <w:rPr>
          <w:rFonts w:ascii="Arial" w:hAnsi="Arial" w:cs="Arial"/>
          <w:color w:val="0070C0"/>
          <w:sz w:val="28"/>
          <w:szCs w:val="28"/>
        </w:rPr>
        <w:t>Cymraeg</w:t>
      </w:r>
      <w:r w:rsidRPr="00BD5D46">
        <w:rPr>
          <w:rFonts w:ascii="Arial" w:hAnsi="Arial" w:cs="Arial"/>
          <w:color w:val="0070C0"/>
          <w:sz w:val="28"/>
          <w:szCs w:val="28"/>
        </w:rPr>
        <w:t xml:space="preserve">. </w:t>
      </w:r>
    </w:p>
    <w:p w:rsidRPr="00BD5D46" w:rsidR="00D21BC4" w:rsidP="00522109" w:rsidRDefault="0051347B" w14:paraId="7A0A7FB2" w14:textId="2B6004CE">
      <w:pPr>
        <w:spacing w:line="360" w:lineRule="auto"/>
        <w:rPr>
          <w:rFonts w:ascii="Arial" w:hAnsi="Arial" w:cs="Arial"/>
          <w:b/>
          <w:bCs/>
          <w:color w:val="0070C0"/>
          <w:sz w:val="28"/>
          <w:szCs w:val="28"/>
          <w:u w:val="single"/>
        </w:rPr>
      </w:pPr>
      <w:r w:rsidRPr="00BD5D46">
        <w:rPr>
          <w:rFonts w:ascii="Arial" w:hAnsi="Arial" w:cs="Arial"/>
          <w:b/>
          <w:bCs/>
          <w:color w:val="0070C0"/>
          <w:sz w:val="28"/>
          <w:szCs w:val="28"/>
          <w:u w:val="single"/>
        </w:rPr>
        <w:t xml:space="preserve">Benefits </w:t>
      </w:r>
    </w:p>
    <w:p w:rsidRPr="00BD5D46" w:rsidR="0051347B" w:rsidP="00522109" w:rsidRDefault="0051347B" w14:paraId="0E40726B" w14:textId="6719BEFF">
      <w:pPr>
        <w:spacing w:line="360" w:lineRule="auto"/>
        <w:rPr>
          <w:rFonts w:ascii="Arial" w:hAnsi="Arial" w:cs="Arial"/>
          <w:color w:val="0070C0"/>
          <w:sz w:val="28"/>
          <w:szCs w:val="28"/>
        </w:rPr>
      </w:pPr>
      <w:r w:rsidRPr="00BD5D46">
        <w:rPr>
          <w:rFonts w:ascii="Arial" w:hAnsi="Arial" w:cs="Arial"/>
          <w:color w:val="0070C0"/>
          <w:sz w:val="28"/>
          <w:szCs w:val="28"/>
        </w:rPr>
        <w:t>Some of the benefits can include using the days of the week in the future for development of the child into adulthood</w:t>
      </w:r>
      <w:r w:rsidRPr="00BD5D46" w:rsidR="00F73402">
        <w:rPr>
          <w:rFonts w:ascii="Arial" w:hAnsi="Arial" w:cs="Arial"/>
          <w:color w:val="0070C0"/>
          <w:sz w:val="28"/>
          <w:szCs w:val="28"/>
        </w:rPr>
        <w:t xml:space="preserve">. The activity I decided to use was the days of the week in Welsh, which is what I learnt in Year 6, it has helped me to remember everyday in Welsh during adulthood. </w:t>
      </w:r>
      <w:r w:rsidRPr="00BD5D46" w:rsidR="00536B16">
        <w:rPr>
          <w:rFonts w:ascii="Arial" w:hAnsi="Arial" w:cs="Arial"/>
          <w:color w:val="0070C0"/>
          <w:sz w:val="28"/>
          <w:szCs w:val="28"/>
        </w:rPr>
        <w:t xml:space="preserve">The development of Early Childhood Education has evolved through various educational laws. Initially regarded primarily as a stage of custody and care, it has progressed to be recognized as an educational phase with its own distinct characteristics and even a defined curriculum. Furthermore, it has become evident that Early Childhood Education serves as a platform for fostering linguistic and cultural diversity, facilitated by the learning of other languages and the </w:t>
      </w:r>
      <w:r w:rsidR="006D57B4">
        <w:rPr>
          <w:rFonts w:ascii="Arial" w:hAnsi="Arial" w:cs="Arial"/>
          <w:color w:val="0070C0"/>
          <w:sz w:val="28"/>
          <w:szCs w:val="28"/>
        </w:rPr>
        <w:t>opportunity</w:t>
      </w:r>
      <w:r w:rsidRPr="00BD5D46" w:rsidR="00536B16">
        <w:rPr>
          <w:rFonts w:ascii="Arial" w:hAnsi="Arial" w:cs="Arial"/>
          <w:color w:val="0070C0"/>
          <w:sz w:val="28"/>
          <w:szCs w:val="28"/>
        </w:rPr>
        <w:t xml:space="preserve"> of technological competencies. These shifts reflect the broader social and political changes that have significantly influenced the field of education. Both research findings and practical experience validate the importance of Early Childhood Education as a pivotal stage in facilitating the holistic development of children during these formative years, with benefits that extend throughout their lives.</w:t>
      </w:r>
    </w:p>
    <w:p w:rsidRPr="00BD5D46" w:rsidR="0051347B" w:rsidP="00522109" w:rsidRDefault="0051347B" w14:paraId="55EF5B6F" w14:textId="4E2AE52F">
      <w:pPr>
        <w:spacing w:line="360" w:lineRule="auto"/>
        <w:rPr>
          <w:rFonts w:ascii="Arial" w:hAnsi="Arial" w:cs="Arial"/>
          <w:b/>
          <w:bCs/>
          <w:color w:val="0070C0"/>
          <w:sz w:val="28"/>
          <w:szCs w:val="28"/>
          <w:u w:val="single"/>
        </w:rPr>
      </w:pPr>
      <w:r w:rsidRPr="00BD5D46">
        <w:rPr>
          <w:rFonts w:ascii="Arial" w:hAnsi="Arial" w:cs="Arial"/>
          <w:b/>
          <w:bCs/>
          <w:color w:val="0070C0"/>
          <w:sz w:val="28"/>
          <w:szCs w:val="28"/>
          <w:u w:val="single"/>
        </w:rPr>
        <w:t>Brain Development</w:t>
      </w:r>
    </w:p>
    <w:p w:rsidRPr="00BD5D46" w:rsidR="00536B16" w:rsidP="00522109" w:rsidRDefault="00F73402" w14:paraId="2D48EADC" w14:textId="6B594F63">
      <w:pPr>
        <w:spacing w:line="360" w:lineRule="auto"/>
        <w:rPr>
          <w:rFonts w:ascii="Arial" w:hAnsi="Arial" w:cs="Arial"/>
          <w:color w:val="0070C0"/>
          <w:sz w:val="28"/>
          <w:szCs w:val="28"/>
        </w:rPr>
      </w:pPr>
      <w:r w:rsidRPr="00BD5D46">
        <w:rPr>
          <w:rFonts w:ascii="Arial" w:hAnsi="Arial" w:cs="Arial"/>
          <w:color w:val="0070C0"/>
          <w:sz w:val="28"/>
          <w:szCs w:val="28"/>
        </w:rPr>
        <w:t>Having the use of Welsh from a young age, I am able to grasp onto new languages easier than if me or a child did not have that access to an additional language</w:t>
      </w:r>
      <w:r w:rsidR="006B64F6">
        <w:rPr>
          <w:rFonts w:ascii="Arial" w:hAnsi="Arial" w:cs="Arial"/>
          <w:color w:val="0070C0"/>
          <w:sz w:val="28"/>
          <w:szCs w:val="28"/>
        </w:rPr>
        <w:t xml:space="preserve"> may not have that experience, having supportive </w:t>
      </w:r>
      <w:r w:rsidR="006B64F6">
        <w:rPr>
          <w:rFonts w:ascii="Arial" w:hAnsi="Arial" w:cs="Arial"/>
          <w:color w:val="0070C0"/>
          <w:sz w:val="28"/>
          <w:szCs w:val="28"/>
        </w:rPr>
        <w:lastRenderedPageBreak/>
        <w:t xml:space="preserve">parents can help children to develop </w:t>
      </w:r>
      <w:r w:rsidR="00210C3E">
        <w:rPr>
          <w:rFonts w:ascii="Arial" w:hAnsi="Arial" w:cs="Arial"/>
          <w:color w:val="0070C0"/>
          <w:sz w:val="28"/>
          <w:szCs w:val="28"/>
        </w:rPr>
        <w:t xml:space="preserve">their language skills but if a child is left to their own </w:t>
      </w:r>
      <w:r w:rsidR="008F4AFC">
        <w:rPr>
          <w:rFonts w:ascii="Arial" w:hAnsi="Arial" w:cs="Arial"/>
          <w:color w:val="0070C0"/>
          <w:sz w:val="28"/>
          <w:szCs w:val="28"/>
        </w:rPr>
        <w:t>devices</w:t>
      </w:r>
      <w:r w:rsidR="00210C3E">
        <w:rPr>
          <w:rFonts w:ascii="Arial" w:hAnsi="Arial" w:cs="Arial"/>
          <w:color w:val="0070C0"/>
          <w:sz w:val="28"/>
          <w:szCs w:val="28"/>
        </w:rPr>
        <w:t xml:space="preserve"> it can be more difficult for the child</w:t>
      </w:r>
      <w:r w:rsidR="008F4AFC">
        <w:rPr>
          <w:rFonts w:ascii="Arial" w:hAnsi="Arial" w:cs="Arial"/>
          <w:color w:val="0070C0"/>
          <w:sz w:val="28"/>
          <w:szCs w:val="28"/>
        </w:rPr>
        <w:t xml:space="preserve">, </w:t>
      </w:r>
      <w:r w:rsidRPr="00BD5D46" w:rsidR="00536B16">
        <w:rPr>
          <w:rFonts w:ascii="Arial" w:hAnsi="Arial" w:cs="Arial"/>
          <w:color w:val="0070C0"/>
          <w:sz w:val="28"/>
          <w:szCs w:val="28"/>
        </w:rPr>
        <w:t>adults who adopt a permissive parenting style tend to show considerable warmth towards their children while setting minimal expectations or boundaries. Consequently, children raised in such environments often have a tendency to act without constraints. Typically, outcomes for children raised by permissive parents include characteristics such as high self-esteem, adequate social skills, and underperformance in academic settings (Darling, 1999).</w:t>
      </w:r>
    </w:p>
    <w:p w:rsidRPr="00BD5D46" w:rsidR="0054466D" w:rsidP="00522109" w:rsidRDefault="00536B16" w14:paraId="2B1C4A65" w14:textId="77777777">
      <w:pPr>
        <w:spacing w:line="360" w:lineRule="auto"/>
        <w:rPr>
          <w:rFonts w:ascii="Arial" w:hAnsi="Arial" w:cs="Arial"/>
          <w:color w:val="0070C0"/>
          <w:sz w:val="28"/>
          <w:szCs w:val="28"/>
        </w:rPr>
      </w:pPr>
      <w:r w:rsidRPr="00BD5D46">
        <w:rPr>
          <w:rFonts w:ascii="Arial" w:hAnsi="Arial" w:cs="Arial"/>
          <w:color w:val="0070C0"/>
          <w:sz w:val="28"/>
          <w:szCs w:val="28"/>
        </w:rPr>
        <w:t xml:space="preserve">Later, Macoby and Martin (1983) introduced a fourth parenting style termed "uninvolved." Adults who adopt an uninvolved parenting style tend to neglect their children's needs, lacking warmth and failing to establish rules or boundaries. The repercussions of uninvolved parenting on children's development can be significant. For example, children raised in such environments generally lack optimal social skills and may exhibit antisocial tendencies (Curtis &amp; Luby, 2008). These antisocial </w:t>
      </w:r>
      <w:r w:rsidRPr="00BD5D46" w:rsidR="00F32019">
        <w:rPr>
          <w:rFonts w:ascii="Arial" w:hAnsi="Arial" w:cs="Arial"/>
          <w:color w:val="0070C0"/>
          <w:sz w:val="28"/>
          <w:szCs w:val="28"/>
        </w:rPr>
        <w:t>behaviours</w:t>
      </w:r>
      <w:r w:rsidRPr="00BD5D46">
        <w:rPr>
          <w:rFonts w:ascii="Arial" w:hAnsi="Arial" w:cs="Arial"/>
          <w:color w:val="0070C0"/>
          <w:sz w:val="28"/>
          <w:szCs w:val="28"/>
        </w:rPr>
        <w:t xml:space="preserve"> often manifest as nonconformity to societal norms and a reluctance to engage frequently in social interactions, contrasting with prosocial </w:t>
      </w:r>
      <w:r w:rsidRPr="00BD5D46" w:rsidR="00F32019">
        <w:rPr>
          <w:rFonts w:ascii="Arial" w:hAnsi="Arial" w:cs="Arial"/>
          <w:color w:val="0070C0"/>
          <w:sz w:val="28"/>
          <w:szCs w:val="28"/>
        </w:rPr>
        <w:t>behaviours</w:t>
      </w:r>
      <w:r w:rsidRPr="00BD5D46">
        <w:rPr>
          <w:rFonts w:ascii="Arial" w:hAnsi="Arial" w:cs="Arial"/>
          <w:color w:val="0070C0"/>
          <w:sz w:val="28"/>
          <w:szCs w:val="28"/>
        </w:rPr>
        <w:t xml:space="preserve"> such as altruism and cooperation (Dovidio, Piliavin, Schroeder, &amp; Penner, 2006).</w:t>
      </w:r>
    </w:p>
    <w:p w:rsidRPr="00BD5D46" w:rsidR="0051347B" w:rsidP="00522109" w:rsidRDefault="0051347B" w14:paraId="4C0EB786" w14:textId="66216B3F">
      <w:pPr>
        <w:spacing w:line="360" w:lineRule="auto"/>
        <w:rPr>
          <w:rFonts w:ascii="Arial" w:hAnsi="Arial" w:cs="Arial"/>
          <w:color w:val="0070C0"/>
          <w:sz w:val="28"/>
          <w:szCs w:val="28"/>
        </w:rPr>
      </w:pPr>
      <w:r w:rsidRPr="00BD5D46">
        <w:rPr>
          <w:rFonts w:ascii="Arial" w:hAnsi="Arial" w:cs="Arial"/>
          <w:b/>
          <w:bCs/>
          <w:color w:val="0070C0"/>
          <w:sz w:val="28"/>
          <w:szCs w:val="28"/>
          <w:u w:val="single"/>
        </w:rPr>
        <w:t xml:space="preserve">Divergent thinking </w:t>
      </w:r>
    </w:p>
    <w:p w:rsidRPr="00BD5D46" w:rsidR="00591DC9" w:rsidP="00522109" w:rsidRDefault="00591DC9" w14:paraId="49D2DCDE" w14:textId="56460C70">
      <w:pPr>
        <w:spacing w:line="360" w:lineRule="auto"/>
        <w:rPr>
          <w:rFonts w:ascii="Arial" w:hAnsi="Arial" w:cs="Arial"/>
          <w:color w:val="0070C0"/>
          <w:sz w:val="28"/>
          <w:szCs w:val="28"/>
        </w:rPr>
      </w:pPr>
      <w:r w:rsidRPr="00BD5D46">
        <w:rPr>
          <w:rFonts w:ascii="Arial" w:hAnsi="Arial" w:cs="Arial"/>
          <w:color w:val="0070C0"/>
          <w:sz w:val="28"/>
          <w:szCs w:val="28"/>
        </w:rPr>
        <w:t xml:space="preserve">Some of the benefits highlighted include increased creativity and innovation, flexible thinking, better problem-solving skills, improved literacy and numeracy, enhanced capacity to rearrange and </w:t>
      </w:r>
      <w:r w:rsidRPr="00BD5D46" w:rsidR="00B17A44">
        <w:rPr>
          <w:rFonts w:ascii="Arial" w:hAnsi="Arial" w:cs="Arial"/>
          <w:color w:val="0070C0"/>
          <w:sz w:val="28"/>
          <w:szCs w:val="28"/>
        </w:rPr>
        <w:t>formulate</w:t>
      </w:r>
      <w:r w:rsidRPr="00BD5D46">
        <w:rPr>
          <w:rFonts w:ascii="Arial" w:hAnsi="Arial" w:cs="Arial"/>
          <w:color w:val="0070C0"/>
          <w:sz w:val="28"/>
          <w:szCs w:val="28"/>
        </w:rPr>
        <w:t xml:space="preserve"> information, superior metalinguistic skills, easier </w:t>
      </w:r>
      <w:r w:rsidRPr="00BD5D46" w:rsidR="00F950EB">
        <w:rPr>
          <w:rFonts w:ascii="Arial" w:hAnsi="Arial" w:cs="Arial"/>
          <w:color w:val="0070C0"/>
          <w:sz w:val="28"/>
          <w:szCs w:val="28"/>
        </w:rPr>
        <w:t>obtainin</w:t>
      </w:r>
      <w:r w:rsidRPr="00BD5D46" w:rsidR="00F950EB">
        <w:rPr>
          <w:rFonts w:ascii="Arial" w:hAnsi="Arial" w:cs="Arial"/>
          <w:color w:val="0070C0"/>
          <w:sz w:val="28"/>
          <w:szCs w:val="28"/>
        </w:rPr>
        <w:t>g</w:t>
      </w:r>
      <w:r w:rsidRPr="00BD5D46">
        <w:rPr>
          <w:rFonts w:ascii="Arial" w:hAnsi="Arial" w:cs="Arial"/>
          <w:color w:val="0070C0"/>
          <w:sz w:val="28"/>
          <w:szCs w:val="28"/>
        </w:rPr>
        <w:t xml:space="preserve"> of additional languages, and heightened awareness of the communication needs of others (Baker, 1997; Armstrong and Rogers, 1997).</w:t>
      </w:r>
    </w:p>
    <w:p w:rsidRPr="00BD5D46" w:rsidR="0051347B" w:rsidP="00522109" w:rsidRDefault="0051347B" w14:paraId="5868DA46" w14:textId="782EF632">
      <w:pPr>
        <w:spacing w:line="360" w:lineRule="auto"/>
        <w:rPr>
          <w:rFonts w:ascii="Arial" w:hAnsi="Arial" w:cs="Arial"/>
          <w:b/>
          <w:bCs/>
          <w:color w:val="0070C0"/>
          <w:sz w:val="28"/>
          <w:szCs w:val="28"/>
          <w:u w:val="single"/>
        </w:rPr>
      </w:pPr>
      <w:r w:rsidRPr="00BD5D46">
        <w:rPr>
          <w:rFonts w:ascii="Arial" w:hAnsi="Arial" w:cs="Arial"/>
          <w:b/>
          <w:bCs/>
          <w:color w:val="0070C0"/>
          <w:sz w:val="28"/>
          <w:szCs w:val="28"/>
          <w:u w:val="single"/>
        </w:rPr>
        <w:lastRenderedPageBreak/>
        <w:t>EAL/WAL</w:t>
      </w:r>
    </w:p>
    <w:p w:rsidRPr="00BD5D46" w:rsidR="00F73402" w:rsidP="00522109" w:rsidRDefault="00F73402" w14:paraId="28918E1E" w14:textId="2F4B2061">
      <w:pPr>
        <w:spacing w:line="360" w:lineRule="auto"/>
        <w:rPr>
          <w:rFonts w:ascii="Arial" w:hAnsi="Arial" w:cs="Arial"/>
          <w:color w:val="0070C0"/>
          <w:sz w:val="28"/>
          <w:szCs w:val="28"/>
        </w:rPr>
      </w:pPr>
      <w:r w:rsidRPr="00BD5D46">
        <w:rPr>
          <w:rFonts w:ascii="Arial" w:hAnsi="Arial" w:cs="Arial"/>
          <w:color w:val="0070C0"/>
          <w:sz w:val="28"/>
          <w:szCs w:val="28"/>
        </w:rPr>
        <w:t xml:space="preserve">Welsh as an additional language can enable children to get better jobs in the future and they can have careers that have something to do with a language, this could mean they can work aboard somewhere because that child could have the opportunity to learn a new language when they are in comprehensive school or by teaching themselves. </w:t>
      </w:r>
      <w:r w:rsidRPr="00BD5D46" w:rsidR="00E80BE6">
        <w:rPr>
          <w:rFonts w:ascii="Arial" w:hAnsi="Arial" w:cs="Arial"/>
          <w:color w:val="0070C0"/>
          <w:sz w:val="28"/>
          <w:szCs w:val="28"/>
        </w:rPr>
        <w:t>Many students in UK schools acquire English as an additional language (EAL). Disparities in educational achievement between this group and monolingual English-speaking students highlight the importance of examining the literacy requirements of EAL learners.</w:t>
      </w:r>
      <w:r w:rsidRPr="00BD5D46" w:rsidR="00E80BE6">
        <w:rPr>
          <w:rFonts w:ascii="Arial" w:hAnsi="Arial" w:cs="Arial"/>
          <w:color w:val="0070C0"/>
          <w:sz w:val="28"/>
          <w:szCs w:val="28"/>
        </w:rPr>
        <w:t xml:space="preserve"> </w:t>
      </w:r>
      <w:r w:rsidRPr="00BD5D46" w:rsidR="00E80BE6">
        <w:rPr>
          <w:rFonts w:ascii="Arial" w:hAnsi="Arial" w:cs="Arial"/>
          <w:color w:val="0070C0"/>
          <w:sz w:val="28"/>
          <w:szCs w:val="28"/>
        </w:rPr>
        <w:t>Whilst strong reading accuracy skills are an important foundation for reading comprehension for both monolingual children (e.g., Ehrlich, Kurtz-Costes, &amp; Loridant, 1993) and children learning EAL (e.g., Sen &amp; Blatchford, 2001), being able to decode the text is no guarantee of understanding. Research suggests that many children learning EAL experience difficulties with reading comprehension despite demonstrating good decoding skills (e.g., Burgoyne et al., 2009; Hutchinson et al., 2003, 2004; Rosowsky, 2001; Sen &amp; Blatchford, 2001; Verhoeven, 1990; Verhoeven &amp; Vermeer, 2006). Reading comprehension is a multidimensional skill that requires knowledge and processing skills at a number of levels; components identified as important for comprehension include vocabulary, working memory, background knowledge, and processes including inferential processing and comprehension monitoring (Cain &amp; Oakhill, 2006; Perfetti, Marron, &amp; Foltz, 1996; Stanovich, 2000). With regard to EAL learners, vocabulary has been demonstrated to be strongly related to reading comprehension (Burgoyne et al., 2009; Stuart, 2004).</w:t>
      </w:r>
    </w:p>
    <w:p w:rsidRPr="00BD5D46" w:rsidR="0051347B" w:rsidP="00522109" w:rsidRDefault="0051347B" w14:paraId="0D5963EF" w14:textId="3902F186">
      <w:pPr>
        <w:spacing w:line="360" w:lineRule="auto"/>
        <w:rPr>
          <w:rFonts w:ascii="Arial" w:hAnsi="Arial" w:cs="Arial"/>
          <w:b/>
          <w:bCs/>
          <w:color w:val="0070C0"/>
          <w:sz w:val="28"/>
          <w:szCs w:val="28"/>
          <w:u w:val="single"/>
        </w:rPr>
      </w:pPr>
      <w:r w:rsidRPr="00BD5D46">
        <w:rPr>
          <w:rFonts w:ascii="Arial" w:hAnsi="Arial" w:cs="Arial"/>
          <w:b/>
          <w:bCs/>
          <w:color w:val="0070C0"/>
          <w:sz w:val="28"/>
          <w:szCs w:val="28"/>
          <w:u w:val="single"/>
        </w:rPr>
        <w:t xml:space="preserve">Frameworks/Curricula </w:t>
      </w:r>
    </w:p>
    <w:p w:rsidRPr="00BD5D46" w:rsidR="00F73402" w:rsidP="00522109" w:rsidRDefault="00F73402" w14:paraId="09F626F0" w14:textId="50DA5510">
      <w:pPr>
        <w:spacing w:line="360" w:lineRule="auto"/>
        <w:rPr>
          <w:rFonts w:ascii="Arial" w:hAnsi="Arial" w:cs="Arial"/>
          <w:color w:val="0070C0"/>
          <w:sz w:val="28"/>
          <w:szCs w:val="28"/>
        </w:rPr>
      </w:pPr>
      <w:r w:rsidRPr="00BD5D46">
        <w:rPr>
          <w:rFonts w:ascii="Arial" w:hAnsi="Arial" w:cs="Arial"/>
          <w:color w:val="0070C0"/>
          <w:sz w:val="28"/>
          <w:szCs w:val="28"/>
        </w:rPr>
        <w:lastRenderedPageBreak/>
        <w:t>In Wales there is a framework that the Welsh Government is working towards for 2050 as they would like 1 million Welsh speakers. As stated in the 2023/2024 Welsh Government</w:t>
      </w:r>
      <w:r w:rsidRPr="00BD5D46" w:rsidR="00591DC9">
        <w:rPr>
          <w:rFonts w:ascii="Arial" w:hAnsi="Arial" w:cs="Arial"/>
          <w:color w:val="0070C0"/>
          <w:sz w:val="28"/>
          <w:szCs w:val="28"/>
        </w:rPr>
        <w:t xml:space="preserve"> (WG)</w:t>
      </w:r>
      <w:r w:rsidRPr="00BD5D46">
        <w:rPr>
          <w:rFonts w:ascii="Arial" w:hAnsi="Arial" w:cs="Arial"/>
          <w:color w:val="0070C0"/>
          <w:sz w:val="28"/>
          <w:szCs w:val="28"/>
        </w:rPr>
        <w:t xml:space="preserve"> action plan, </w:t>
      </w:r>
      <w:r w:rsidRPr="00BD5D46" w:rsidR="00591DC9">
        <w:rPr>
          <w:rFonts w:ascii="Arial" w:hAnsi="Arial" w:cs="Arial"/>
          <w:color w:val="0070C0"/>
          <w:sz w:val="28"/>
          <w:szCs w:val="28"/>
        </w:rPr>
        <w:t xml:space="preserve">the WG announced their Welsh Language Strategy, Cymraeg 2050: A million Welsh speakers, this was announced in July 2017. Since the action plan has been announced, schools have been promoting WAL more than before. The idea of my activity was to promote learning of the Welsh Language and to help children to remember the days of the week. </w:t>
      </w:r>
    </w:p>
    <w:p w:rsidRPr="00BD5D46" w:rsidR="00591DC9" w:rsidP="00522109" w:rsidRDefault="00717884" w14:paraId="13F77995" w14:textId="3215B414">
      <w:pPr>
        <w:spacing w:line="360" w:lineRule="auto"/>
        <w:rPr>
          <w:rFonts w:ascii="Arial" w:hAnsi="Arial" w:cs="Arial"/>
          <w:color w:val="0070C0"/>
          <w:sz w:val="28"/>
          <w:szCs w:val="28"/>
        </w:rPr>
      </w:pPr>
      <w:r w:rsidRPr="00BD5D46">
        <w:rPr>
          <w:rFonts w:ascii="Arial" w:hAnsi="Arial" w:cs="Arial"/>
          <w:color w:val="0070C0"/>
          <w:sz w:val="28"/>
          <w:szCs w:val="28"/>
        </w:rPr>
        <w:t>Before the WG announced Cymraeg 2050</w:t>
      </w:r>
      <w:r w:rsidRPr="00BD5D46" w:rsidR="00536B16">
        <w:rPr>
          <w:rFonts w:ascii="Arial" w:hAnsi="Arial" w:cs="Arial"/>
          <w:color w:val="0070C0"/>
          <w:sz w:val="28"/>
          <w:szCs w:val="28"/>
        </w:rPr>
        <w:t xml:space="preserve"> </w:t>
      </w:r>
      <w:r w:rsidRPr="00BD5D46" w:rsidR="00591DC9">
        <w:rPr>
          <w:rFonts w:ascii="Arial" w:hAnsi="Arial" w:cs="Arial"/>
          <w:color w:val="0070C0"/>
          <w:sz w:val="28"/>
          <w:szCs w:val="28"/>
        </w:rPr>
        <w:t>classes generally last from 30 to 50 minutes, constituting less than 10 percent of the total teaching time</w:t>
      </w:r>
      <w:r w:rsidRPr="00BD5D46" w:rsidR="00E80BE6">
        <w:rPr>
          <w:rFonts w:ascii="Arial" w:hAnsi="Arial" w:cs="Arial"/>
          <w:color w:val="0070C0"/>
          <w:sz w:val="28"/>
          <w:szCs w:val="28"/>
        </w:rPr>
        <w:t xml:space="preserve">. </w:t>
      </w:r>
      <w:r w:rsidRPr="00BD5D46" w:rsidR="00E80BE6">
        <w:rPr>
          <w:rFonts w:ascii="Arial" w:hAnsi="Arial" w:cs="Arial"/>
          <w:color w:val="0070C0"/>
          <w:sz w:val="28"/>
          <w:szCs w:val="28"/>
        </w:rPr>
        <w:t>Education for children in early childhood remains uncharted territory even though some countries, like Spain, have legislative and regulatory frameworks that, in spite of the lack of administrative support and the substance necessary for their implementation, establish a Basic Curricular Design for children aged zero to six</w:t>
      </w:r>
      <w:r w:rsidRPr="00BD5D46" w:rsidR="00E80BE6">
        <w:rPr>
          <w:rFonts w:ascii="Arial" w:hAnsi="Arial" w:cs="Arial"/>
          <w:color w:val="0070C0"/>
          <w:sz w:val="28"/>
          <w:szCs w:val="28"/>
        </w:rPr>
        <w:t xml:space="preserve">. </w:t>
      </w:r>
    </w:p>
    <w:p w:rsidRPr="00BD5D46" w:rsidR="0051347B" w:rsidP="00522109" w:rsidRDefault="0051347B" w14:paraId="18CB1BB8" w14:textId="336FA161">
      <w:pPr>
        <w:spacing w:line="360" w:lineRule="auto"/>
        <w:rPr>
          <w:rFonts w:ascii="Arial" w:hAnsi="Arial" w:cs="Arial"/>
          <w:b/>
          <w:bCs/>
          <w:color w:val="0070C0"/>
          <w:sz w:val="28"/>
          <w:szCs w:val="28"/>
          <w:u w:val="single"/>
        </w:rPr>
      </w:pPr>
      <w:r w:rsidRPr="00BD5D46">
        <w:rPr>
          <w:rFonts w:ascii="Arial" w:hAnsi="Arial" w:cs="Arial"/>
          <w:b/>
          <w:bCs/>
          <w:color w:val="0070C0"/>
          <w:sz w:val="28"/>
          <w:szCs w:val="28"/>
          <w:u w:val="single"/>
        </w:rPr>
        <w:t>Conclusion (summarise)</w:t>
      </w:r>
    </w:p>
    <w:p w:rsidRPr="00BD5D46" w:rsidR="00E80BE6" w:rsidP="00522109" w:rsidRDefault="00E80BE6" w14:paraId="6DD4B38A" w14:textId="7896F0D3">
      <w:pPr>
        <w:spacing w:line="360" w:lineRule="auto"/>
        <w:rPr>
          <w:rFonts w:ascii="Arial" w:hAnsi="Arial" w:cs="Arial"/>
          <w:color w:val="0070C0"/>
          <w:sz w:val="28"/>
          <w:szCs w:val="28"/>
        </w:rPr>
      </w:pPr>
      <w:r w:rsidRPr="00BD5D46">
        <w:rPr>
          <w:rFonts w:ascii="Arial" w:hAnsi="Arial" w:cs="Arial"/>
          <w:color w:val="0070C0"/>
          <w:sz w:val="28"/>
          <w:szCs w:val="28"/>
        </w:rPr>
        <w:t>The provided text discusses various aspects related to language learning, parenting styles, and educational strategies, particularly focusing on Welsh language acquisition, Early Childhood Education in Spain, and literacy challenges faced by English as an Additional Language (EAL) learners. It highlights the benefits of multilingualism, the impact of parenting styles on child development, disparities in educational achievement among EAL learners, and the Welsh Government's initiative to promote Welsh language learning. Additionally, it underscores the importance of early childhood education and the need for comprehensive strategies to support language</w:t>
      </w:r>
      <w:r w:rsidRPr="00BD5D46" w:rsidR="0019191A">
        <w:rPr>
          <w:rFonts w:ascii="Arial" w:hAnsi="Arial" w:cs="Arial"/>
          <w:color w:val="0070C0"/>
          <w:sz w:val="28"/>
          <w:szCs w:val="28"/>
        </w:rPr>
        <w:t xml:space="preserve"> </w:t>
      </w:r>
      <w:r w:rsidRPr="00BD5D46" w:rsidR="0019191A">
        <w:rPr>
          <w:rFonts w:ascii="Arial" w:hAnsi="Arial" w:cs="Arial"/>
          <w:color w:val="0070C0"/>
          <w:sz w:val="28"/>
          <w:szCs w:val="28"/>
        </w:rPr>
        <w:t>obtaining</w:t>
      </w:r>
      <w:r w:rsidRPr="00BD5D46" w:rsidR="0019191A">
        <w:rPr>
          <w:rFonts w:ascii="Arial" w:hAnsi="Arial" w:cs="Arial"/>
          <w:color w:val="0070C0"/>
          <w:sz w:val="28"/>
          <w:szCs w:val="28"/>
        </w:rPr>
        <w:t xml:space="preserve"> </w:t>
      </w:r>
      <w:r w:rsidRPr="00BD5D46">
        <w:rPr>
          <w:rFonts w:ascii="Arial" w:hAnsi="Arial" w:cs="Arial"/>
          <w:color w:val="0070C0"/>
          <w:sz w:val="28"/>
          <w:szCs w:val="28"/>
        </w:rPr>
        <w:t>and literacy development in young learners.</w:t>
      </w:r>
    </w:p>
    <w:p w:rsidRPr="00BD5D46" w:rsidR="00E80BE6" w:rsidP="00522109" w:rsidRDefault="00E80BE6" w14:paraId="524B9CF5" w14:textId="3CB25DF0">
      <w:pPr>
        <w:spacing w:line="360" w:lineRule="auto"/>
        <w:rPr>
          <w:rFonts w:ascii="Arial" w:hAnsi="Arial" w:cs="Arial"/>
          <w:b/>
          <w:bCs/>
          <w:color w:val="0070C0"/>
          <w:sz w:val="28"/>
          <w:szCs w:val="28"/>
          <w:u w:val="single"/>
        </w:rPr>
      </w:pPr>
      <w:r w:rsidRPr="00BD5D46">
        <w:rPr>
          <w:rFonts w:ascii="Arial" w:hAnsi="Arial" w:cs="Arial"/>
          <w:b/>
          <w:bCs/>
          <w:color w:val="0070C0"/>
          <w:sz w:val="28"/>
          <w:szCs w:val="28"/>
          <w:u w:val="single"/>
        </w:rPr>
        <w:lastRenderedPageBreak/>
        <w:t>Reference</w:t>
      </w:r>
    </w:p>
    <w:p w:rsidR="00E80BE6" w:rsidP="00522109" w:rsidRDefault="00E80BE6" w14:paraId="1C9DE6B5" w14:textId="21E014A0">
      <w:pPr>
        <w:spacing w:after="0" w:line="360" w:lineRule="auto"/>
        <w:rPr>
          <w:rFonts w:ascii="Arial" w:hAnsi="Arial" w:eastAsia="Times New Roman" w:cs="Arial"/>
          <w:kern w:val="0"/>
          <w:sz w:val="28"/>
          <w:szCs w:val="28"/>
          <w:lang w:eastAsia="en-GB"/>
          <w14:ligatures w14:val="none"/>
        </w:rPr>
      </w:pPr>
      <w:r w:rsidRPr="00E80BE6">
        <w:rPr>
          <w:rFonts w:ascii="Arial" w:hAnsi="Arial" w:eastAsia="Times New Roman" w:cs="Arial"/>
          <w:kern w:val="0"/>
          <w:sz w:val="28"/>
          <w:szCs w:val="28"/>
          <w:lang w:eastAsia="en-GB"/>
          <w14:ligatures w14:val="none"/>
        </w:rPr>
        <w:t xml:space="preserve">Burgoyne, K., Whiteley, H.E. and Hutchinson, J.M. (2011) “The development of comprehension and reading-related skills in children learning English as an additional language and their monolingual, English-speaking peers,” </w:t>
      </w:r>
      <w:r w:rsidRPr="00E80BE6">
        <w:rPr>
          <w:rFonts w:ascii="Arial" w:hAnsi="Arial" w:eastAsia="Times New Roman" w:cs="Arial"/>
          <w:i/>
          <w:iCs/>
          <w:kern w:val="0"/>
          <w:sz w:val="28"/>
          <w:szCs w:val="28"/>
          <w:lang w:eastAsia="en-GB"/>
          <w14:ligatures w14:val="none"/>
        </w:rPr>
        <w:t>British journal of educational psychology</w:t>
      </w:r>
      <w:r w:rsidRPr="00E80BE6">
        <w:rPr>
          <w:rFonts w:ascii="Arial" w:hAnsi="Arial" w:eastAsia="Times New Roman" w:cs="Arial"/>
          <w:kern w:val="0"/>
          <w:sz w:val="28"/>
          <w:szCs w:val="28"/>
          <w:lang w:eastAsia="en-GB"/>
          <w14:ligatures w14:val="none"/>
        </w:rPr>
        <w:t xml:space="preserve">, 81(2), pp. 344–354. Available at: </w:t>
      </w:r>
      <w:hyperlink w:history="1" r:id="rId7">
        <w:r w:rsidRPr="00E80BE6" w:rsidR="00AE1825">
          <w:rPr>
            <w:rStyle w:val="Hyperlink"/>
            <w:rFonts w:ascii="Arial" w:hAnsi="Arial" w:eastAsia="Times New Roman" w:cs="Arial"/>
            <w:color w:val="auto"/>
            <w:kern w:val="0"/>
            <w:sz w:val="28"/>
            <w:szCs w:val="28"/>
            <w:u w:val="none"/>
            <w:lang w:eastAsia="en-GB"/>
            <w14:ligatures w14:val="none"/>
          </w:rPr>
          <w:t>https://doi.org/10.1348/000709910X504122</w:t>
        </w:r>
      </w:hyperlink>
      <w:r w:rsidRPr="00E80BE6">
        <w:rPr>
          <w:rFonts w:ascii="Arial" w:hAnsi="Arial" w:eastAsia="Times New Roman" w:cs="Arial"/>
          <w:kern w:val="0"/>
          <w:sz w:val="28"/>
          <w:szCs w:val="28"/>
          <w:lang w:eastAsia="en-GB"/>
          <w14:ligatures w14:val="none"/>
        </w:rPr>
        <w:t>.</w:t>
      </w:r>
    </w:p>
    <w:p w:rsidR="00AE1825" w:rsidP="00522109" w:rsidRDefault="00AE1825" w14:paraId="37868C69" w14:textId="77777777">
      <w:pPr>
        <w:spacing w:after="0" w:line="360" w:lineRule="auto"/>
        <w:rPr>
          <w:rFonts w:ascii="Arial" w:hAnsi="Arial" w:eastAsia="Times New Roman" w:cs="Arial"/>
          <w:kern w:val="0"/>
          <w:sz w:val="28"/>
          <w:szCs w:val="28"/>
          <w:lang w:eastAsia="en-GB"/>
          <w14:ligatures w14:val="none"/>
        </w:rPr>
      </w:pPr>
    </w:p>
    <w:p w:rsidRPr="00E80BE6" w:rsidR="00AE1825" w:rsidP="00522109" w:rsidRDefault="00AE1825" w14:paraId="26E982E7" w14:textId="7B90C542">
      <w:pPr>
        <w:spacing w:after="0" w:line="360" w:lineRule="auto"/>
        <w:rPr>
          <w:rFonts w:ascii="Arial" w:hAnsi="Arial" w:eastAsia="Times New Roman" w:cs="Arial"/>
          <w:kern w:val="0"/>
          <w:sz w:val="36"/>
          <w:szCs w:val="36"/>
          <w:lang w:eastAsia="en-GB"/>
          <w14:ligatures w14:val="none"/>
        </w:rPr>
      </w:pPr>
      <w:r w:rsidRPr="00AE1825">
        <w:rPr>
          <w:rFonts w:ascii="Arial" w:hAnsi="Arial" w:cs="Arial"/>
          <w:sz w:val="28"/>
          <w:szCs w:val="28"/>
        </w:rPr>
        <w:t xml:space="preserve">Cain, K., &amp; Oakhill, J. (2006). </w:t>
      </w:r>
      <w:r w:rsidRPr="005225D5">
        <w:rPr>
          <w:rFonts w:ascii="Arial" w:hAnsi="Arial" w:cs="Arial"/>
          <w:i/>
          <w:iCs/>
          <w:sz w:val="28"/>
          <w:szCs w:val="28"/>
        </w:rPr>
        <w:t>Assessment matters: Issues in the measurement of reading comprehension</w:t>
      </w:r>
      <w:r w:rsidRPr="00AE1825">
        <w:rPr>
          <w:rFonts w:ascii="Arial" w:hAnsi="Arial" w:cs="Arial"/>
          <w:sz w:val="28"/>
          <w:szCs w:val="28"/>
        </w:rPr>
        <w:t>. British Journal of Educational Psychology, 76, 697–708. doi:10.1348/ 000709905X69807</w:t>
      </w:r>
    </w:p>
    <w:p w:rsidRPr="00C40808" w:rsidR="00E80BE6" w:rsidP="00522109" w:rsidRDefault="00E80BE6" w14:paraId="2789F29D" w14:textId="77777777">
      <w:pPr>
        <w:spacing w:line="360" w:lineRule="auto"/>
        <w:rPr>
          <w:rFonts w:ascii="Arial" w:hAnsi="Arial" w:cs="Arial"/>
          <w:i/>
          <w:iCs/>
          <w:sz w:val="28"/>
          <w:szCs w:val="28"/>
        </w:rPr>
      </w:pPr>
    </w:p>
    <w:p w:rsidR="00E80BE6" w:rsidP="00522109" w:rsidRDefault="00E80BE6" w14:paraId="7187329D" w14:textId="66657EA2">
      <w:pPr>
        <w:spacing w:line="360" w:lineRule="auto"/>
        <w:rPr>
          <w:rFonts w:ascii="Arial" w:hAnsi="Arial" w:cs="Arial"/>
          <w:sz w:val="28"/>
          <w:szCs w:val="28"/>
        </w:rPr>
      </w:pPr>
      <w:r w:rsidRPr="00C40808">
        <w:rPr>
          <w:rFonts w:ascii="Arial" w:hAnsi="Arial" w:cs="Arial"/>
          <w:i/>
          <w:iCs/>
          <w:sz w:val="28"/>
          <w:szCs w:val="28"/>
        </w:rPr>
        <w:t>Cymraeg 2050: Welsh language strategy action plan 2023 to 2024</w:t>
      </w:r>
      <w:r w:rsidRPr="00C40808">
        <w:rPr>
          <w:rFonts w:ascii="Arial" w:hAnsi="Arial" w:cs="Arial"/>
          <w:i/>
          <w:iCs/>
          <w:sz w:val="28"/>
          <w:szCs w:val="28"/>
        </w:rPr>
        <w:t xml:space="preserve">, </w:t>
      </w:r>
      <w:r w:rsidRPr="00C40808">
        <w:rPr>
          <w:rFonts w:ascii="Arial" w:hAnsi="Arial" w:cs="Arial"/>
          <w:sz w:val="28"/>
          <w:szCs w:val="28"/>
        </w:rPr>
        <w:t>23/03/2023</w:t>
      </w:r>
      <w:r w:rsidR="00C40808">
        <w:rPr>
          <w:rFonts w:ascii="Arial" w:hAnsi="Arial" w:cs="Arial"/>
          <w:sz w:val="28"/>
          <w:szCs w:val="28"/>
        </w:rPr>
        <w:t xml:space="preserve">. </w:t>
      </w:r>
    </w:p>
    <w:p w:rsidRPr="00F506E4" w:rsidR="00F506E4" w:rsidP="00522109" w:rsidRDefault="00F506E4" w14:paraId="5FBA53BA" w14:textId="3A81434F">
      <w:pPr>
        <w:spacing w:line="360" w:lineRule="auto"/>
        <w:rPr>
          <w:rFonts w:ascii="Arial" w:hAnsi="Arial" w:cs="Arial"/>
          <w:i/>
          <w:iCs/>
          <w:sz w:val="28"/>
          <w:szCs w:val="28"/>
        </w:rPr>
      </w:pPr>
      <w:r w:rsidRPr="00F506E4">
        <w:rPr>
          <w:rFonts w:ascii="Arial" w:hAnsi="Arial" w:cs="Arial"/>
          <w:sz w:val="28"/>
          <w:szCs w:val="28"/>
        </w:rPr>
        <w:t xml:space="preserve">Ehrlich, M., Kurtz-Costes, B., &amp; Loridant, C. (1993). </w:t>
      </w:r>
      <w:r w:rsidRPr="00F506E4">
        <w:rPr>
          <w:rFonts w:ascii="Arial" w:hAnsi="Arial" w:cs="Arial"/>
          <w:i/>
          <w:iCs/>
          <w:sz w:val="28"/>
          <w:szCs w:val="28"/>
        </w:rPr>
        <w:t>Cognitive and motivational determinants of</w:t>
      </w:r>
      <w:r>
        <w:rPr>
          <w:rFonts w:ascii="Arial" w:hAnsi="Arial" w:cs="Arial"/>
          <w:i/>
          <w:iCs/>
          <w:sz w:val="28"/>
          <w:szCs w:val="28"/>
        </w:rPr>
        <w:t xml:space="preserve"> </w:t>
      </w:r>
      <w:r w:rsidRPr="00F506E4">
        <w:rPr>
          <w:rFonts w:ascii="Arial" w:hAnsi="Arial" w:cs="Arial"/>
          <w:i/>
          <w:iCs/>
          <w:sz w:val="28"/>
          <w:szCs w:val="28"/>
        </w:rPr>
        <w:t>reading comprehension in good and poor readers. Journal of Reading Behaviour, 25(4),</w:t>
      </w:r>
      <w:r>
        <w:rPr>
          <w:rFonts w:ascii="Arial" w:hAnsi="Arial" w:cs="Arial"/>
          <w:i/>
          <w:iCs/>
          <w:sz w:val="28"/>
          <w:szCs w:val="28"/>
        </w:rPr>
        <w:t xml:space="preserve"> </w:t>
      </w:r>
      <w:r w:rsidRPr="00F506E4">
        <w:rPr>
          <w:rFonts w:ascii="Arial" w:hAnsi="Arial" w:cs="Arial"/>
          <w:sz w:val="28"/>
          <w:szCs w:val="28"/>
        </w:rPr>
        <w:t>365–381.</w:t>
      </w:r>
    </w:p>
    <w:p w:rsidRPr="00522109" w:rsidR="00E80BE6" w:rsidP="00522109" w:rsidRDefault="00E80BE6" w14:paraId="04800BD7" w14:textId="6F0C842F">
      <w:pPr>
        <w:spacing w:after="0" w:line="360" w:lineRule="auto"/>
        <w:rPr>
          <w:rFonts w:ascii="Arial" w:hAnsi="Arial" w:eastAsia="Times New Roman" w:cs="Arial"/>
          <w:kern w:val="0"/>
          <w:sz w:val="28"/>
          <w:szCs w:val="28"/>
          <w:lang w:eastAsia="en-GB"/>
          <w14:ligatures w14:val="none"/>
        </w:rPr>
      </w:pPr>
      <w:r w:rsidRPr="00E80BE6">
        <w:rPr>
          <w:rFonts w:ascii="Arial" w:hAnsi="Arial" w:eastAsia="Times New Roman" w:cs="Arial"/>
          <w:kern w:val="0"/>
          <w:sz w:val="28"/>
          <w:szCs w:val="28"/>
          <w:lang w:eastAsia="en-GB"/>
          <w14:ligatures w14:val="none"/>
        </w:rPr>
        <w:t xml:space="preserve">Huertas-Abril, C.A. (2018) </w:t>
      </w:r>
      <w:r w:rsidRPr="00E80BE6">
        <w:rPr>
          <w:rFonts w:ascii="Arial" w:hAnsi="Arial" w:eastAsia="Times New Roman" w:cs="Arial"/>
          <w:i/>
          <w:iCs/>
          <w:kern w:val="0"/>
          <w:sz w:val="28"/>
          <w:szCs w:val="28"/>
          <w:lang w:eastAsia="en-GB"/>
          <w14:ligatures w14:val="none"/>
        </w:rPr>
        <w:t>Early childhood education from an intercultural and bilingual perspective</w:t>
      </w:r>
      <w:r w:rsidRPr="00E80BE6">
        <w:rPr>
          <w:rFonts w:ascii="Arial" w:hAnsi="Arial" w:eastAsia="Times New Roman" w:cs="Arial"/>
          <w:kern w:val="0"/>
          <w:sz w:val="28"/>
          <w:szCs w:val="28"/>
          <w:lang w:eastAsia="en-GB"/>
          <w14:ligatures w14:val="none"/>
        </w:rPr>
        <w:t xml:space="preserve">. Edited by C.A. Huertas-Abril and M.E. Gomez-Parra. Hershey, Pennsylvania: IGI Global. Available at: </w:t>
      </w:r>
      <w:hyperlink w:history="1" r:id="rId8">
        <w:r w:rsidRPr="00E80BE6" w:rsidR="00522109">
          <w:rPr>
            <w:rStyle w:val="Hyperlink"/>
            <w:rFonts w:ascii="Arial" w:hAnsi="Arial" w:eastAsia="Times New Roman" w:cs="Arial"/>
            <w:color w:val="auto"/>
            <w:kern w:val="0"/>
            <w:sz w:val="28"/>
            <w:szCs w:val="28"/>
            <w:u w:val="none"/>
            <w:lang w:eastAsia="en-GB"/>
            <w14:ligatures w14:val="none"/>
          </w:rPr>
          <w:t>https://doi.org/10.4018/978-1-5225-5167-6</w:t>
        </w:r>
      </w:hyperlink>
      <w:r w:rsidRPr="00E80BE6">
        <w:rPr>
          <w:rFonts w:ascii="Arial" w:hAnsi="Arial" w:eastAsia="Times New Roman" w:cs="Arial"/>
          <w:kern w:val="0"/>
          <w:sz w:val="28"/>
          <w:szCs w:val="28"/>
          <w:lang w:eastAsia="en-GB"/>
          <w14:ligatures w14:val="none"/>
        </w:rPr>
        <w:t>.</w:t>
      </w:r>
    </w:p>
    <w:p w:rsidRPr="00E80BE6" w:rsidR="00522109" w:rsidP="00522109" w:rsidRDefault="00522109" w14:paraId="2647D15D" w14:textId="77777777">
      <w:pPr>
        <w:spacing w:after="0" w:line="360" w:lineRule="auto"/>
        <w:rPr>
          <w:rFonts w:ascii="Arial" w:hAnsi="Arial" w:eastAsia="Times New Roman" w:cs="Arial"/>
          <w:kern w:val="0"/>
          <w:sz w:val="28"/>
          <w:szCs w:val="28"/>
          <w:lang w:eastAsia="en-GB"/>
          <w14:ligatures w14:val="none"/>
        </w:rPr>
      </w:pPr>
    </w:p>
    <w:p w:rsidR="00591DC9" w:rsidP="00522109" w:rsidRDefault="00522109" w14:paraId="18DC5FC5" w14:textId="265ECA16">
      <w:pPr>
        <w:spacing w:line="360" w:lineRule="auto"/>
        <w:rPr>
          <w:rFonts w:ascii="Arial" w:hAnsi="Arial" w:cs="Arial"/>
          <w:sz w:val="28"/>
          <w:szCs w:val="28"/>
        </w:rPr>
      </w:pPr>
      <w:r w:rsidRPr="00522109">
        <w:rPr>
          <w:rFonts w:ascii="Arial" w:hAnsi="Arial" w:cs="Arial"/>
          <w:sz w:val="28"/>
          <w:szCs w:val="28"/>
        </w:rPr>
        <w:t xml:space="preserve">Oakhill, J. (1993). </w:t>
      </w:r>
      <w:r w:rsidRPr="00522109">
        <w:rPr>
          <w:rFonts w:ascii="Arial" w:hAnsi="Arial" w:cs="Arial"/>
          <w:i/>
          <w:iCs/>
          <w:sz w:val="28"/>
          <w:szCs w:val="28"/>
        </w:rPr>
        <w:t>Children’s difficulties in reading comprehension. Educational Psychology Review</w:t>
      </w:r>
      <w:r w:rsidRPr="00522109">
        <w:rPr>
          <w:rFonts w:ascii="Arial" w:hAnsi="Arial" w:cs="Arial"/>
          <w:sz w:val="28"/>
          <w:szCs w:val="28"/>
        </w:rPr>
        <w:t>, 5(3), 223–237. doi:10.1007/BF01323045</w:t>
      </w:r>
    </w:p>
    <w:p w:rsidRPr="00C40808" w:rsidR="00522109" w:rsidP="00522109" w:rsidRDefault="00522109" w14:paraId="233E7E9E" w14:textId="3F2E748F">
      <w:pPr>
        <w:spacing w:line="360" w:lineRule="auto"/>
        <w:rPr>
          <w:rFonts w:ascii="Arial" w:hAnsi="Arial" w:cs="Arial"/>
          <w:sz w:val="28"/>
          <w:szCs w:val="28"/>
        </w:rPr>
      </w:pPr>
      <w:r w:rsidRPr="00522109">
        <w:rPr>
          <w:rFonts w:ascii="Arial" w:hAnsi="Arial" w:cs="Arial"/>
          <w:sz w:val="28"/>
          <w:szCs w:val="28"/>
        </w:rPr>
        <w:t xml:space="preserve">Perfetti, C. A., Marron, M. A., &amp; Foltz, P. W. (1996). </w:t>
      </w:r>
      <w:r w:rsidRPr="00522109">
        <w:rPr>
          <w:rFonts w:ascii="Arial" w:hAnsi="Arial" w:cs="Arial"/>
          <w:i/>
          <w:iCs/>
          <w:sz w:val="28"/>
          <w:szCs w:val="28"/>
        </w:rPr>
        <w:t>Sources of comprehension failure: Theoretical perspectives and case studies</w:t>
      </w:r>
      <w:r w:rsidRPr="00522109">
        <w:rPr>
          <w:rFonts w:ascii="Arial" w:hAnsi="Arial" w:cs="Arial"/>
          <w:sz w:val="28"/>
          <w:szCs w:val="28"/>
        </w:rPr>
        <w:t xml:space="preserve">. In C. </w:t>
      </w:r>
      <w:r w:rsidRPr="00522109">
        <w:rPr>
          <w:rFonts w:ascii="Arial" w:hAnsi="Arial" w:cs="Arial"/>
          <w:sz w:val="28"/>
          <w:szCs w:val="28"/>
        </w:rPr>
        <w:lastRenderedPageBreak/>
        <w:t xml:space="preserve">Cornoldi &amp; J. Oakhill (Eds.), </w:t>
      </w:r>
      <w:r w:rsidRPr="00522109">
        <w:rPr>
          <w:rFonts w:ascii="Arial" w:hAnsi="Arial" w:cs="Arial"/>
          <w:i/>
          <w:iCs/>
          <w:sz w:val="28"/>
          <w:szCs w:val="28"/>
        </w:rPr>
        <w:t>Reading comprehension difficulties: Processes and interventions</w:t>
      </w:r>
      <w:r w:rsidRPr="00522109">
        <w:rPr>
          <w:rFonts w:ascii="Arial" w:hAnsi="Arial" w:cs="Arial"/>
          <w:sz w:val="28"/>
          <w:szCs w:val="28"/>
        </w:rPr>
        <w:t xml:space="preserve"> (pp. 137–166). Mahwah, NJ: Erlbaum.</w:t>
      </w:r>
    </w:p>
    <w:p w:rsidR="00C40808" w:rsidP="00522109" w:rsidRDefault="00C40808" w14:paraId="2116EE0C" w14:textId="5E1EC281">
      <w:pPr>
        <w:spacing w:line="360" w:lineRule="auto"/>
        <w:rPr>
          <w:rFonts w:ascii="Arial" w:hAnsi="Arial" w:cs="Arial"/>
          <w:sz w:val="28"/>
          <w:szCs w:val="28"/>
        </w:rPr>
      </w:pPr>
      <w:r w:rsidRPr="00C40808">
        <w:rPr>
          <w:rStyle w:val="given-name"/>
          <w:rFonts w:ascii="Arial" w:hAnsi="Arial" w:cs="Arial"/>
          <w:sz w:val="28"/>
          <w:szCs w:val="28"/>
        </w:rPr>
        <w:t>Sophie A.</w:t>
      </w:r>
      <w:r w:rsidRPr="00C40808">
        <w:rPr>
          <w:rStyle w:val="react-xocs-alternative-link"/>
          <w:rFonts w:ascii="Arial" w:hAnsi="Arial" w:cs="Arial"/>
          <w:sz w:val="28"/>
          <w:szCs w:val="28"/>
        </w:rPr>
        <w:t> </w:t>
      </w:r>
      <w:r w:rsidRPr="00C40808">
        <w:rPr>
          <w:rStyle w:val="text"/>
          <w:rFonts w:ascii="Arial" w:hAnsi="Arial" w:cs="Arial"/>
          <w:sz w:val="28"/>
          <w:szCs w:val="28"/>
        </w:rPr>
        <w:t>Booton</w:t>
      </w:r>
      <w:r w:rsidRPr="00C40808">
        <w:rPr>
          <w:rStyle w:val="react-xocs-alternative-link"/>
          <w:rFonts w:ascii="Arial" w:hAnsi="Arial" w:cs="Arial"/>
          <w:sz w:val="28"/>
          <w:szCs w:val="28"/>
        </w:rPr>
        <w:t> </w:t>
      </w:r>
      <w:r w:rsidRPr="00C40808">
        <w:rPr>
          <w:rStyle w:val="author-ref"/>
          <w:rFonts w:ascii="Arial" w:hAnsi="Arial" w:cs="Arial"/>
          <w:sz w:val="28"/>
          <w:szCs w:val="28"/>
          <w:vertAlign w:val="superscript"/>
        </w:rPr>
        <w:t>a</w:t>
      </w:r>
      <w:r w:rsidRPr="00C40808">
        <w:rPr>
          <w:rFonts w:ascii="Arial" w:hAnsi="Arial" w:cs="Arial"/>
          <w:sz w:val="28"/>
          <w:szCs w:val="28"/>
        </w:rPr>
        <w:t>, </w:t>
      </w:r>
      <w:r w:rsidRPr="00C40808">
        <w:rPr>
          <w:rStyle w:val="given-name"/>
          <w:rFonts w:ascii="Arial" w:hAnsi="Arial" w:cs="Arial"/>
          <w:sz w:val="28"/>
          <w:szCs w:val="28"/>
        </w:rPr>
        <w:t>Elena</w:t>
      </w:r>
      <w:r w:rsidRPr="00C40808">
        <w:rPr>
          <w:rStyle w:val="react-xocs-alternative-link"/>
          <w:rFonts w:ascii="Arial" w:hAnsi="Arial" w:cs="Arial"/>
          <w:sz w:val="28"/>
          <w:szCs w:val="28"/>
        </w:rPr>
        <w:t> </w:t>
      </w:r>
      <w:r w:rsidRPr="00C40808">
        <w:rPr>
          <w:rStyle w:val="text"/>
          <w:rFonts w:ascii="Arial" w:hAnsi="Arial" w:cs="Arial"/>
          <w:sz w:val="28"/>
          <w:szCs w:val="28"/>
        </w:rPr>
        <w:t>Hoicka</w:t>
      </w:r>
      <w:r w:rsidRPr="00C40808">
        <w:rPr>
          <w:rStyle w:val="react-xocs-alternative-link"/>
          <w:rFonts w:ascii="Arial" w:hAnsi="Arial" w:cs="Arial"/>
          <w:sz w:val="28"/>
          <w:szCs w:val="28"/>
        </w:rPr>
        <w:t> </w:t>
      </w:r>
      <w:r w:rsidRPr="00C40808">
        <w:rPr>
          <w:rStyle w:val="author-ref"/>
          <w:rFonts w:ascii="Arial" w:hAnsi="Arial" w:cs="Arial"/>
          <w:sz w:val="28"/>
          <w:szCs w:val="28"/>
          <w:vertAlign w:val="superscript"/>
        </w:rPr>
        <w:t>b</w:t>
      </w:r>
      <w:r w:rsidRPr="00C40808">
        <w:rPr>
          <w:rFonts w:ascii="Arial" w:hAnsi="Arial" w:cs="Arial"/>
          <w:sz w:val="28"/>
          <w:szCs w:val="28"/>
        </w:rPr>
        <w:t>, </w:t>
      </w:r>
      <w:r w:rsidRPr="00C40808">
        <w:rPr>
          <w:rStyle w:val="given-name"/>
          <w:rFonts w:ascii="Arial" w:hAnsi="Arial" w:cs="Arial"/>
          <w:sz w:val="28"/>
          <w:szCs w:val="28"/>
        </w:rPr>
        <w:t>Aneyn M.</w:t>
      </w:r>
      <w:r w:rsidRPr="00C40808">
        <w:rPr>
          <w:rStyle w:val="react-xocs-alternative-link"/>
          <w:rFonts w:ascii="Arial" w:hAnsi="Arial" w:cs="Arial"/>
          <w:sz w:val="28"/>
          <w:szCs w:val="28"/>
        </w:rPr>
        <w:t> </w:t>
      </w:r>
      <w:r w:rsidRPr="00C40808">
        <w:rPr>
          <w:rStyle w:val="text"/>
          <w:rFonts w:ascii="Arial" w:hAnsi="Arial" w:cs="Arial"/>
          <w:sz w:val="28"/>
          <w:szCs w:val="28"/>
        </w:rPr>
        <w:t>O'Grady</w:t>
      </w:r>
      <w:r w:rsidRPr="00C40808">
        <w:rPr>
          <w:rStyle w:val="react-xocs-alternative-link"/>
          <w:rFonts w:ascii="Arial" w:hAnsi="Arial" w:cs="Arial"/>
          <w:sz w:val="28"/>
          <w:szCs w:val="28"/>
        </w:rPr>
        <w:t> </w:t>
      </w:r>
      <w:r w:rsidRPr="00C40808">
        <w:rPr>
          <w:rStyle w:val="author-ref"/>
          <w:rFonts w:ascii="Arial" w:hAnsi="Arial" w:cs="Arial"/>
          <w:sz w:val="28"/>
          <w:szCs w:val="28"/>
          <w:vertAlign w:val="superscript"/>
        </w:rPr>
        <w:t>a</w:t>
      </w:r>
      <w:r w:rsidRPr="00C40808">
        <w:rPr>
          <w:rFonts w:ascii="Arial" w:hAnsi="Arial" w:cs="Arial"/>
          <w:sz w:val="28"/>
          <w:szCs w:val="28"/>
        </w:rPr>
        <w:t>, </w:t>
      </w:r>
      <w:r w:rsidRPr="00C40808">
        <w:rPr>
          <w:rStyle w:val="given-name"/>
          <w:rFonts w:ascii="Arial" w:hAnsi="Arial" w:cs="Arial"/>
          <w:sz w:val="28"/>
          <w:szCs w:val="28"/>
        </w:rPr>
        <w:t>Hiu Ying Nicole</w:t>
      </w:r>
      <w:r w:rsidRPr="00C40808">
        <w:rPr>
          <w:rStyle w:val="react-xocs-alternative-link"/>
          <w:rFonts w:ascii="Arial" w:hAnsi="Arial" w:cs="Arial"/>
          <w:sz w:val="28"/>
          <w:szCs w:val="28"/>
        </w:rPr>
        <w:t> </w:t>
      </w:r>
      <w:r w:rsidRPr="00C40808">
        <w:rPr>
          <w:rStyle w:val="text"/>
          <w:rFonts w:ascii="Arial" w:hAnsi="Arial" w:cs="Arial"/>
          <w:sz w:val="28"/>
          <w:szCs w:val="28"/>
        </w:rPr>
        <w:t>Chan</w:t>
      </w:r>
      <w:r w:rsidRPr="00C40808">
        <w:rPr>
          <w:rStyle w:val="react-xocs-alternative-link"/>
          <w:rFonts w:ascii="Arial" w:hAnsi="Arial" w:cs="Arial"/>
          <w:sz w:val="28"/>
          <w:szCs w:val="28"/>
        </w:rPr>
        <w:t> </w:t>
      </w:r>
      <w:r w:rsidRPr="00C40808">
        <w:rPr>
          <w:rStyle w:val="author-ref"/>
          <w:rFonts w:ascii="Arial" w:hAnsi="Arial" w:cs="Arial"/>
          <w:sz w:val="28"/>
          <w:szCs w:val="28"/>
          <w:vertAlign w:val="superscript"/>
        </w:rPr>
        <w:t>a</w:t>
      </w:r>
      <w:r w:rsidRPr="00C40808">
        <w:rPr>
          <w:rFonts w:ascii="Arial" w:hAnsi="Arial" w:cs="Arial"/>
          <w:sz w:val="28"/>
          <w:szCs w:val="28"/>
        </w:rPr>
        <w:t>, </w:t>
      </w:r>
      <w:r w:rsidRPr="00C40808">
        <w:rPr>
          <w:rStyle w:val="given-name"/>
          <w:rFonts w:ascii="Arial" w:hAnsi="Arial" w:cs="Arial"/>
          <w:sz w:val="28"/>
          <w:szCs w:val="28"/>
        </w:rPr>
        <w:t>Victoria A.</w:t>
      </w:r>
      <w:r w:rsidRPr="00C40808">
        <w:rPr>
          <w:rStyle w:val="react-xocs-alternative-link"/>
          <w:rFonts w:ascii="Arial" w:hAnsi="Arial" w:cs="Arial"/>
          <w:sz w:val="28"/>
          <w:szCs w:val="28"/>
        </w:rPr>
        <w:t> </w:t>
      </w:r>
      <w:r w:rsidRPr="00C40808">
        <w:rPr>
          <w:rStyle w:val="text"/>
          <w:rFonts w:ascii="Arial" w:hAnsi="Arial" w:cs="Arial"/>
          <w:sz w:val="28"/>
          <w:szCs w:val="28"/>
        </w:rPr>
        <w:t>Murphy</w:t>
      </w:r>
      <w:r w:rsidRPr="00C40808">
        <w:rPr>
          <w:rStyle w:val="react-xocs-alternative-link"/>
          <w:rFonts w:ascii="Arial" w:hAnsi="Arial" w:cs="Arial"/>
          <w:sz w:val="28"/>
          <w:szCs w:val="28"/>
        </w:rPr>
        <w:t xml:space="preserve">, </w:t>
      </w:r>
      <w:r w:rsidRPr="00C40808">
        <w:rPr>
          <w:rStyle w:val="react-xocs-alternative-link"/>
          <w:rFonts w:ascii="Arial" w:hAnsi="Arial" w:cs="Arial"/>
          <w:i/>
          <w:iCs/>
          <w:sz w:val="28"/>
          <w:szCs w:val="28"/>
        </w:rPr>
        <w:t>Children's divergent thinking and bilingualism</w:t>
      </w:r>
      <w:r w:rsidRPr="00C40808">
        <w:rPr>
          <w:rStyle w:val="react-xocs-alternative-link"/>
          <w:rFonts w:ascii="Arial" w:hAnsi="Arial" w:cs="Arial"/>
          <w:i/>
          <w:iCs/>
          <w:sz w:val="28"/>
          <w:szCs w:val="28"/>
        </w:rPr>
        <w:t xml:space="preserve">, </w:t>
      </w:r>
      <w:r w:rsidRPr="00C40808">
        <w:rPr>
          <w:rStyle w:val="react-xocs-alternative-link"/>
          <w:rFonts w:ascii="Arial" w:hAnsi="Arial" w:cs="Arial"/>
          <w:sz w:val="28"/>
          <w:szCs w:val="28"/>
        </w:rPr>
        <w:t xml:space="preserve">13/08/2021, </w:t>
      </w:r>
      <w:r w:rsidRPr="00C40808">
        <w:rPr>
          <w:rFonts w:ascii="Arial" w:hAnsi="Arial" w:cs="Arial"/>
          <w:sz w:val="28"/>
          <w:szCs w:val="28"/>
        </w:rPr>
        <w:t>Department of Education, University of Oxford, 15 Norham Gardens, Oxford, OX2 6PY, United States</w:t>
      </w:r>
      <w:r>
        <w:rPr>
          <w:rFonts w:ascii="Arial" w:hAnsi="Arial" w:cs="Arial"/>
          <w:sz w:val="28"/>
          <w:szCs w:val="28"/>
        </w:rPr>
        <w:t>.</w:t>
      </w:r>
    </w:p>
    <w:p w:rsidRPr="00C40808" w:rsidR="00522109" w:rsidP="00522109" w:rsidRDefault="00522109" w14:paraId="5F35BAB4" w14:textId="7DBC24F6">
      <w:pPr>
        <w:spacing w:line="360" w:lineRule="auto"/>
        <w:rPr>
          <w:rFonts w:ascii="Arial" w:hAnsi="Arial" w:cs="Arial"/>
          <w:sz w:val="28"/>
          <w:szCs w:val="28"/>
        </w:rPr>
      </w:pPr>
    </w:p>
    <w:sectPr w:rsidRPr="00C40808" w:rsidR="00522109">
      <w:pgSz w:w="11906" w:h="16838" w:orient="portrait"/>
      <w:pgMar w:top="1440" w:right="1440" w:bottom="1440" w:left="1440" w:header="708" w:footer="708" w:gutter="0"/>
      <w:cols w:space="708"/>
      <w:docGrid w:linePitch="360"/>
      <w:headerReference w:type="default" r:id="Reea4c0a4d1b94ebb"/>
      <w:footerReference w:type="default" r:id="R96862150f1e54e0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60596CF" w:rsidTr="160596CF" w14:paraId="385DEC11">
      <w:trPr>
        <w:trHeight w:val="300"/>
      </w:trPr>
      <w:tc>
        <w:tcPr>
          <w:tcW w:w="3005" w:type="dxa"/>
          <w:tcMar/>
        </w:tcPr>
        <w:p w:rsidR="160596CF" w:rsidP="160596CF" w:rsidRDefault="160596CF" w14:paraId="4E3389C0" w14:textId="70F1340D">
          <w:pPr>
            <w:pStyle w:val="Header"/>
            <w:bidi w:val="0"/>
            <w:ind w:left="-115"/>
            <w:jc w:val="left"/>
          </w:pPr>
        </w:p>
      </w:tc>
      <w:tc>
        <w:tcPr>
          <w:tcW w:w="3005" w:type="dxa"/>
          <w:tcMar/>
        </w:tcPr>
        <w:p w:rsidR="160596CF" w:rsidP="160596CF" w:rsidRDefault="160596CF" w14:paraId="20B03970" w14:textId="7D6DBD74">
          <w:pPr>
            <w:pStyle w:val="Header"/>
            <w:bidi w:val="0"/>
            <w:jc w:val="center"/>
          </w:pPr>
        </w:p>
      </w:tc>
      <w:tc>
        <w:tcPr>
          <w:tcW w:w="3005" w:type="dxa"/>
          <w:tcMar/>
        </w:tcPr>
        <w:p w:rsidR="160596CF" w:rsidP="160596CF" w:rsidRDefault="160596CF" w14:paraId="64A16629" w14:textId="7AC50F26">
          <w:pPr>
            <w:pStyle w:val="Header"/>
            <w:bidi w:val="0"/>
            <w:ind w:right="-115"/>
            <w:jc w:val="right"/>
          </w:pPr>
        </w:p>
      </w:tc>
    </w:tr>
  </w:tbl>
  <w:p w:rsidR="160596CF" w:rsidP="160596CF" w:rsidRDefault="160596CF" w14:paraId="5689D8F9" w14:textId="0CB9E61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60596CF" w:rsidTr="160596CF" w14:paraId="607400F9">
      <w:trPr>
        <w:trHeight w:val="300"/>
      </w:trPr>
      <w:tc>
        <w:tcPr>
          <w:tcW w:w="3005" w:type="dxa"/>
          <w:tcMar/>
        </w:tcPr>
        <w:p w:rsidR="160596CF" w:rsidP="160596CF" w:rsidRDefault="160596CF" w14:paraId="1440B997" w14:textId="4F464977">
          <w:pPr>
            <w:pStyle w:val="Header"/>
            <w:bidi w:val="0"/>
            <w:ind w:left="-115"/>
            <w:jc w:val="left"/>
          </w:pPr>
        </w:p>
      </w:tc>
      <w:tc>
        <w:tcPr>
          <w:tcW w:w="3005" w:type="dxa"/>
          <w:tcMar/>
        </w:tcPr>
        <w:p w:rsidR="160596CF" w:rsidP="160596CF" w:rsidRDefault="160596CF" w14:paraId="1D2953AE" w14:textId="43F744B5">
          <w:pPr>
            <w:pStyle w:val="Header"/>
            <w:bidi w:val="0"/>
            <w:jc w:val="center"/>
          </w:pPr>
        </w:p>
      </w:tc>
      <w:tc>
        <w:tcPr>
          <w:tcW w:w="3005" w:type="dxa"/>
          <w:tcMar/>
        </w:tcPr>
        <w:p w:rsidR="160596CF" w:rsidP="160596CF" w:rsidRDefault="160596CF" w14:paraId="52E45DEC" w14:textId="116D5FAE">
          <w:pPr>
            <w:pStyle w:val="Header"/>
            <w:bidi w:val="0"/>
            <w:ind w:right="-115"/>
            <w:jc w:val="right"/>
          </w:pPr>
        </w:p>
      </w:tc>
    </w:tr>
  </w:tbl>
  <w:p w:rsidR="160596CF" w:rsidP="160596CF" w:rsidRDefault="160596CF" w14:paraId="64EE177B" w14:textId="0A4F0C7E">
    <w:pPr>
      <w:pStyle w:val="Header"/>
      <w:bidi w:val="0"/>
    </w:pPr>
    <w:r w:rsidR="160596CF">
      <w:rPr/>
      <w:t>Student Number: 2208347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47B"/>
    <w:rsid w:val="00075792"/>
    <w:rsid w:val="0019191A"/>
    <w:rsid w:val="00210C3E"/>
    <w:rsid w:val="004C47EE"/>
    <w:rsid w:val="0051347B"/>
    <w:rsid w:val="00522109"/>
    <w:rsid w:val="005225D5"/>
    <w:rsid w:val="00536B16"/>
    <w:rsid w:val="0054466D"/>
    <w:rsid w:val="005568FD"/>
    <w:rsid w:val="00591DC9"/>
    <w:rsid w:val="005C3712"/>
    <w:rsid w:val="006B64F6"/>
    <w:rsid w:val="006D57B4"/>
    <w:rsid w:val="00717884"/>
    <w:rsid w:val="00766A63"/>
    <w:rsid w:val="0081639A"/>
    <w:rsid w:val="008F4AFC"/>
    <w:rsid w:val="00AE1825"/>
    <w:rsid w:val="00AE5D49"/>
    <w:rsid w:val="00B17A44"/>
    <w:rsid w:val="00BD5D46"/>
    <w:rsid w:val="00C40808"/>
    <w:rsid w:val="00D21BC4"/>
    <w:rsid w:val="00E36B75"/>
    <w:rsid w:val="00E80BE6"/>
    <w:rsid w:val="00F32019"/>
    <w:rsid w:val="00F506E4"/>
    <w:rsid w:val="00F67674"/>
    <w:rsid w:val="00F73402"/>
    <w:rsid w:val="00F950EB"/>
    <w:rsid w:val="00FD5932"/>
    <w:rsid w:val="16059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F90AA"/>
  <w15:chartTrackingRefBased/>
  <w15:docId w15:val="{7F5F20C3-4BC3-4282-8E92-9A0FE1B5C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1347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347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34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34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34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34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34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34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347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1347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51347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1347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1347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1347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1347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1347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1347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1347B"/>
    <w:rPr>
      <w:rFonts w:eastAsiaTheme="majorEastAsia" w:cstheme="majorBidi"/>
      <w:color w:val="272727" w:themeColor="text1" w:themeTint="D8"/>
    </w:rPr>
  </w:style>
  <w:style w:type="paragraph" w:styleId="Title">
    <w:name w:val="Title"/>
    <w:basedOn w:val="Normal"/>
    <w:next w:val="Normal"/>
    <w:link w:val="TitleChar"/>
    <w:uiPriority w:val="10"/>
    <w:qFormat/>
    <w:rsid w:val="0051347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1347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1347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134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347B"/>
    <w:pPr>
      <w:spacing w:before="160"/>
      <w:jc w:val="center"/>
    </w:pPr>
    <w:rPr>
      <w:i/>
      <w:iCs/>
      <w:color w:val="404040" w:themeColor="text1" w:themeTint="BF"/>
    </w:rPr>
  </w:style>
  <w:style w:type="character" w:styleId="QuoteChar" w:customStyle="1">
    <w:name w:val="Quote Char"/>
    <w:basedOn w:val="DefaultParagraphFont"/>
    <w:link w:val="Quote"/>
    <w:uiPriority w:val="29"/>
    <w:rsid w:val="0051347B"/>
    <w:rPr>
      <w:i/>
      <w:iCs/>
      <w:color w:val="404040" w:themeColor="text1" w:themeTint="BF"/>
    </w:rPr>
  </w:style>
  <w:style w:type="paragraph" w:styleId="ListParagraph">
    <w:name w:val="List Paragraph"/>
    <w:basedOn w:val="Normal"/>
    <w:uiPriority w:val="34"/>
    <w:qFormat/>
    <w:rsid w:val="0051347B"/>
    <w:pPr>
      <w:ind w:left="720"/>
      <w:contextualSpacing/>
    </w:pPr>
  </w:style>
  <w:style w:type="character" w:styleId="IntenseEmphasis">
    <w:name w:val="Intense Emphasis"/>
    <w:basedOn w:val="DefaultParagraphFont"/>
    <w:uiPriority w:val="21"/>
    <w:qFormat/>
    <w:rsid w:val="0051347B"/>
    <w:rPr>
      <w:i/>
      <w:iCs/>
      <w:color w:val="0F4761" w:themeColor="accent1" w:themeShade="BF"/>
    </w:rPr>
  </w:style>
  <w:style w:type="paragraph" w:styleId="IntenseQuote">
    <w:name w:val="Intense Quote"/>
    <w:basedOn w:val="Normal"/>
    <w:next w:val="Normal"/>
    <w:link w:val="IntenseQuoteChar"/>
    <w:uiPriority w:val="30"/>
    <w:qFormat/>
    <w:rsid w:val="0051347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1347B"/>
    <w:rPr>
      <w:i/>
      <w:iCs/>
      <w:color w:val="0F4761" w:themeColor="accent1" w:themeShade="BF"/>
    </w:rPr>
  </w:style>
  <w:style w:type="character" w:styleId="IntenseReference">
    <w:name w:val="Intense Reference"/>
    <w:basedOn w:val="DefaultParagraphFont"/>
    <w:uiPriority w:val="32"/>
    <w:qFormat/>
    <w:rsid w:val="0051347B"/>
    <w:rPr>
      <w:b/>
      <w:bCs/>
      <w:smallCaps/>
      <w:color w:val="0F4761" w:themeColor="accent1" w:themeShade="BF"/>
      <w:spacing w:val="5"/>
    </w:rPr>
  </w:style>
  <w:style w:type="character" w:styleId="react-xocs-alternative-link" w:customStyle="1">
    <w:name w:val="react-xocs-alternative-link"/>
    <w:basedOn w:val="DefaultParagraphFont"/>
    <w:rsid w:val="00C40808"/>
  </w:style>
  <w:style w:type="character" w:styleId="given-name" w:customStyle="1">
    <w:name w:val="given-name"/>
    <w:basedOn w:val="DefaultParagraphFont"/>
    <w:rsid w:val="00C40808"/>
  </w:style>
  <w:style w:type="character" w:styleId="text" w:customStyle="1">
    <w:name w:val="text"/>
    <w:basedOn w:val="DefaultParagraphFont"/>
    <w:rsid w:val="00C40808"/>
  </w:style>
  <w:style w:type="character" w:styleId="author-ref" w:customStyle="1">
    <w:name w:val="author-ref"/>
    <w:basedOn w:val="DefaultParagraphFont"/>
    <w:rsid w:val="00C40808"/>
  </w:style>
  <w:style w:type="character" w:styleId="Hyperlink">
    <w:name w:val="Hyperlink"/>
    <w:basedOn w:val="DefaultParagraphFont"/>
    <w:uiPriority w:val="99"/>
    <w:unhideWhenUsed/>
    <w:rsid w:val="00AE1825"/>
    <w:rPr>
      <w:color w:val="467886" w:themeColor="hyperlink"/>
      <w:u w:val="single"/>
    </w:rPr>
  </w:style>
  <w:style w:type="character" w:styleId="UnresolvedMention">
    <w:name w:val="Unresolved Mention"/>
    <w:basedOn w:val="DefaultParagraphFont"/>
    <w:uiPriority w:val="99"/>
    <w:semiHidden/>
    <w:unhideWhenUsed/>
    <w:rsid w:val="00AE1825"/>
    <w:rPr>
      <w:color w:val="605E5C"/>
      <w:shd w:val="clear" w:color="auto" w:fill="E1DFDD"/>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9628">
      <w:bodyDiv w:val="1"/>
      <w:marLeft w:val="0"/>
      <w:marRight w:val="0"/>
      <w:marTop w:val="0"/>
      <w:marBottom w:val="0"/>
      <w:divBdr>
        <w:top w:val="none" w:sz="0" w:space="0" w:color="auto"/>
        <w:left w:val="none" w:sz="0" w:space="0" w:color="auto"/>
        <w:bottom w:val="none" w:sz="0" w:space="0" w:color="auto"/>
        <w:right w:val="none" w:sz="0" w:space="0" w:color="auto"/>
      </w:divBdr>
      <w:divsChild>
        <w:div w:id="970747701">
          <w:marLeft w:val="0"/>
          <w:marRight w:val="0"/>
          <w:marTop w:val="0"/>
          <w:marBottom w:val="0"/>
          <w:divBdr>
            <w:top w:val="none" w:sz="0" w:space="0" w:color="auto"/>
            <w:left w:val="none" w:sz="0" w:space="0" w:color="auto"/>
            <w:bottom w:val="none" w:sz="0" w:space="0" w:color="auto"/>
            <w:right w:val="none" w:sz="0" w:space="0" w:color="auto"/>
          </w:divBdr>
        </w:div>
      </w:divsChild>
    </w:div>
    <w:div w:id="960040479">
      <w:bodyDiv w:val="1"/>
      <w:marLeft w:val="0"/>
      <w:marRight w:val="0"/>
      <w:marTop w:val="0"/>
      <w:marBottom w:val="0"/>
      <w:divBdr>
        <w:top w:val="none" w:sz="0" w:space="0" w:color="auto"/>
        <w:left w:val="none" w:sz="0" w:space="0" w:color="auto"/>
        <w:bottom w:val="none" w:sz="0" w:space="0" w:color="auto"/>
        <w:right w:val="none" w:sz="0" w:space="0" w:color="auto"/>
      </w:divBdr>
      <w:divsChild>
        <w:div w:id="816142427">
          <w:marLeft w:val="0"/>
          <w:marRight w:val="0"/>
          <w:marTop w:val="0"/>
          <w:marBottom w:val="0"/>
          <w:divBdr>
            <w:top w:val="none" w:sz="0" w:space="0" w:color="auto"/>
            <w:left w:val="none" w:sz="0" w:space="0" w:color="auto"/>
            <w:bottom w:val="none" w:sz="0" w:space="0" w:color="auto"/>
            <w:right w:val="none" w:sz="0" w:space="0" w:color="auto"/>
          </w:divBdr>
        </w:div>
      </w:divsChild>
    </w:div>
    <w:div w:id="1786996065">
      <w:bodyDiv w:val="1"/>
      <w:marLeft w:val="0"/>
      <w:marRight w:val="0"/>
      <w:marTop w:val="0"/>
      <w:marBottom w:val="0"/>
      <w:divBdr>
        <w:top w:val="none" w:sz="0" w:space="0" w:color="auto"/>
        <w:left w:val="none" w:sz="0" w:space="0" w:color="auto"/>
        <w:bottom w:val="none" w:sz="0" w:space="0" w:color="auto"/>
        <w:right w:val="none" w:sz="0" w:space="0" w:color="auto"/>
      </w:divBdr>
    </w:div>
    <w:div w:id="1837837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4018/978-1-5225-5167-6" TargetMode="External" Id="rId8" /><Relationship Type="http://schemas.openxmlformats.org/officeDocument/2006/relationships/customXml" Target="../customXml/item3.xml" Id="rId3" /><Relationship Type="http://schemas.openxmlformats.org/officeDocument/2006/relationships/hyperlink" Target="https://doi.org/10.1348/000709910X504122" TargetMode="Externa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theme" Target="theme/theme1.xml" Id="rId10" /><Relationship Type="http://schemas.openxmlformats.org/officeDocument/2006/relationships/styles" Target="styles.xml" Id="rId4" /><Relationship Type="http://schemas.openxmlformats.org/officeDocument/2006/relationships/fontTable" Target="fontTable.xml" Id="rId9" /><Relationship Type="http://schemas.openxmlformats.org/officeDocument/2006/relationships/header" Target="header.xml" Id="Reea4c0a4d1b94ebb" /><Relationship Type="http://schemas.openxmlformats.org/officeDocument/2006/relationships/footer" Target="footer.xml" Id="R96862150f1e54e0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9582021e3e8931f2ecea40cf8185992a">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73cb36168ab4a49bd8d184bb8e686c05"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E2CD05CF-A593-4228-BEFF-8F6E6A22A5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06A258-F3F6-4E16-8623-59F4C6B1FCE0}">
  <ds:schemaRefs>
    <ds:schemaRef ds:uri="http://schemas.microsoft.com/sharepoint/v3/contenttype/forms"/>
  </ds:schemaRefs>
</ds:datastoreItem>
</file>

<file path=customXml/itemProps3.xml><?xml version="1.0" encoding="utf-8"?>
<ds:datastoreItem xmlns:ds="http://schemas.openxmlformats.org/officeDocument/2006/customXml" ds:itemID="{F3C8AD20-2814-430B-9E8F-F5897DB7E5EF}">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Brionny Coombes (2208347)</dc:creator>
  <keywords/>
  <dc:description/>
  <lastModifiedBy>Brionny Coombes (2208347)</lastModifiedBy>
  <revision>25</revision>
  <dcterms:created xsi:type="dcterms:W3CDTF">2024-04-26T14:09:00.0000000Z</dcterms:created>
  <dcterms:modified xsi:type="dcterms:W3CDTF">2024-04-28T18:26:51.8279447Z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