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A55E35" w14:textId="30C19FD9" w:rsidR="00910D4F" w:rsidRPr="008F0B92" w:rsidRDefault="00910D4F" w:rsidP="008F0B92">
      <w:pPr>
        <w:pStyle w:val="NormalWeb"/>
        <w:spacing w:line="360" w:lineRule="auto"/>
        <w:jc w:val="center"/>
        <w:rPr>
          <w:rFonts w:asciiTheme="minorHAnsi" w:hAnsiTheme="minorHAnsi" w:cstheme="minorHAnsi"/>
          <w:lang w:val="cy-GB"/>
        </w:rPr>
      </w:pPr>
      <w:r w:rsidRPr="008F0B92">
        <w:rPr>
          <w:rFonts w:asciiTheme="minorHAnsi" w:hAnsiTheme="minorHAnsi" w:cstheme="minorHAnsi"/>
          <w:lang w:val="cy-GB"/>
        </w:rPr>
        <w:t>Written assignment. A critical evaluation and the identification of next teaching and learning steps focusing on a case study of an individual learner or a group of learners, based on an observed critical incident (equivalent to 4000 words).</w:t>
      </w:r>
    </w:p>
    <w:p w14:paraId="62084CCE" w14:textId="77777777" w:rsidR="00D94258" w:rsidRPr="008F0B92" w:rsidRDefault="00D94258" w:rsidP="008F0B92">
      <w:pPr>
        <w:spacing w:line="360" w:lineRule="auto"/>
        <w:rPr>
          <w:rFonts w:asciiTheme="minorHAnsi" w:hAnsiTheme="minorHAnsi" w:cstheme="minorHAnsi"/>
          <w:lang w:val="cy-GB"/>
        </w:rPr>
      </w:pPr>
    </w:p>
    <w:p w14:paraId="7082540C" w14:textId="0F9F017A" w:rsidR="00161F95" w:rsidRPr="008F0B92" w:rsidRDefault="00D94258" w:rsidP="008F0B92">
      <w:pPr>
        <w:spacing w:line="360" w:lineRule="auto"/>
        <w:rPr>
          <w:rFonts w:asciiTheme="minorHAnsi" w:hAnsiTheme="minorHAnsi" w:cstheme="minorHAnsi"/>
          <w:u w:val="single"/>
          <w:lang w:val="cy-GB"/>
        </w:rPr>
      </w:pPr>
      <w:r w:rsidRPr="008F0B92">
        <w:rPr>
          <w:rFonts w:asciiTheme="minorHAnsi" w:hAnsiTheme="minorHAnsi" w:cstheme="minorHAnsi"/>
          <w:u w:val="single"/>
          <w:lang w:val="cy-GB"/>
        </w:rPr>
        <w:t>Cyflwyniad</w:t>
      </w:r>
    </w:p>
    <w:p w14:paraId="5AFD3652" w14:textId="77777777" w:rsidR="00E11BBE" w:rsidRPr="008F0B92" w:rsidRDefault="00E11BBE" w:rsidP="008F0B92">
      <w:pPr>
        <w:spacing w:line="360" w:lineRule="auto"/>
        <w:rPr>
          <w:rFonts w:asciiTheme="minorHAnsi" w:hAnsiTheme="minorHAnsi" w:cstheme="minorHAnsi"/>
          <w:lang w:val="cy-GB"/>
        </w:rPr>
      </w:pPr>
    </w:p>
    <w:p w14:paraId="096EC2D7" w14:textId="5FC53097" w:rsidR="0000672C" w:rsidRPr="008F0B92" w:rsidRDefault="00E54B50" w:rsidP="008F0B92">
      <w:pPr>
        <w:spacing w:line="360" w:lineRule="auto"/>
        <w:rPr>
          <w:rFonts w:asciiTheme="minorHAnsi" w:hAnsiTheme="minorHAnsi" w:cstheme="minorHAnsi"/>
          <w:lang w:val="cy-GB"/>
        </w:rPr>
      </w:pPr>
      <w:r w:rsidRPr="008F0B92">
        <w:rPr>
          <w:rFonts w:asciiTheme="minorHAnsi" w:hAnsiTheme="minorHAnsi" w:cstheme="minorHAnsi"/>
          <w:lang w:val="cy-GB"/>
        </w:rPr>
        <w:t>Trwy gydol y traethawd hwn fyddaf yn canolbwyntio ar ddadansoddi digwyddiad critigol yn seiliedig ar ddigwyddiad penodol wnaeth cymryd rhan o fewn ystafell dosbarth. Fyddaf yn dadansoddi’r digwyddiad trwy ddefnyddio methodoleg (Tripp 1993). Wrth ddadansoddi methodoleg addysgeg Tripp ar ddigwyddiadau critigol, mae’n dadlau fod digwyddiadau critigol yn ddigwyddiadau hollbwysig ar gyfer gwella arferion addysgu, a gwella gallu athrawon i ymateb yn effeithiol i wahanol sefyllfaoedd yn y dosbarth. Canfyddaf hyn gan ddywed Tripp bod digwyddiad yn y dosbarth dim ond yn cael ei ystyried fel digwyddiad critigol pan ei fod yn sbarduno myfyrdod personol</w:t>
      </w:r>
      <w:r w:rsidR="00192924" w:rsidRPr="008F0B92">
        <w:rPr>
          <w:rFonts w:asciiTheme="minorHAnsi" w:hAnsiTheme="minorHAnsi" w:cstheme="minorHAnsi"/>
          <w:lang w:val="cy-GB"/>
        </w:rPr>
        <w:t xml:space="preserve"> [1]</w:t>
      </w:r>
      <w:r w:rsidRPr="008F0B92">
        <w:rPr>
          <w:rFonts w:asciiTheme="minorHAnsi" w:hAnsiTheme="minorHAnsi" w:cstheme="minorHAnsi"/>
          <w:lang w:val="cy-GB"/>
        </w:rPr>
        <w:t>;  i ymhelaethu ar hyn mae’r faith bod digwyddiadau critigol yn ddigwyddiadau sydd heb gael e</w:t>
      </w:r>
      <w:r w:rsidR="00A47FAB" w:rsidRPr="008F0B92">
        <w:rPr>
          <w:rFonts w:asciiTheme="minorHAnsi" w:hAnsiTheme="minorHAnsi" w:cstheme="minorHAnsi"/>
          <w:lang w:val="cy-GB"/>
        </w:rPr>
        <w:t>u c</w:t>
      </w:r>
      <w:r w:rsidRPr="008F0B92">
        <w:rPr>
          <w:rFonts w:asciiTheme="minorHAnsi" w:hAnsiTheme="minorHAnsi" w:cstheme="minorHAnsi"/>
          <w:lang w:val="cy-GB"/>
        </w:rPr>
        <w:t>ynllunio</w:t>
      </w:r>
      <w:r w:rsidR="00192924" w:rsidRPr="008F0B92">
        <w:rPr>
          <w:rFonts w:asciiTheme="minorHAnsi" w:hAnsiTheme="minorHAnsi" w:cstheme="minorHAnsi"/>
          <w:lang w:val="cy-GB"/>
        </w:rPr>
        <w:t xml:space="preserve"> (Farell 2008)</w:t>
      </w:r>
      <w:r w:rsidRPr="008F0B92">
        <w:rPr>
          <w:rFonts w:asciiTheme="minorHAnsi" w:hAnsiTheme="minorHAnsi" w:cstheme="minorHAnsi"/>
          <w:lang w:val="cy-GB"/>
        </w:rPr>
        <w:t xml:space="preserve"> yn rhoi cyfle i athrawon adfyfyrio ar ddigwyddiadau naturiol y dosbarth. Mae hyn yn cefnogi bod yn rhaid i athrawon wneud penderfyniadau holl bwysig mewn amgylchiadau cymhleth ac anodd o fewn gwers</w:t>
      </w:r>
      <w:r w:rsidR="00B554BD" w:rsidRPr="008F0B92">
        <w:rPr>
          <w:rFonts w:asciiTheme="minorHAnsi" w:hAnsiTheme="minorHAnsi" w:cstheme="minorHAnsi"/>
          <w:lang w:val="cy-GB"/>
        </w:rPr>
        <w:t xml:space="preserve"> </w:t>
      </w:r>
      <w:r w:rsidR="00192924" w:rsidRPr="008F0B92">
        <w:rPr>
          <w:rFonts w:asciiTheme="minorHAnsi" w:hAnsiTheme="minorHAnsi" w:cstheme="minorHAnsi"/>
          <w:lang w:val="cy-GB"/>
        </w:rPr>
        <w:t>[1]</w:t>
      </w:r>
      <w:r w:rsidR="00B554BD" w:rsidRPr="008F0B92">
        <w:rPr>
          <w:rFonts w:asciiTheme="minorHAnsi" w:hAnsiTheme="minorHAnsi" w:cstheme="minorHAnsi"/>
          <w:lang w:val="cy-GB"/>
        </w:rPr>
        <w:t>.</w:t>
      </w:r>
      <w:r w:rsidR="00E65BCA" w:rsidRPr="008F0B92">
        <w:rPr>
          <w:rFonts w:asciiTheme="minorHAnsi" w:hAnsiTheme="minorHAnsi" w:cstheme="minorHAnsi"/>
          <w:lang w:val="cy-GB"/>
        </w:rPr>
        <w:t xml:space="preserve"> </w:t>
      </w:r>
      <w:r w:rsidRPr="008F0B92">
        <w:rPr>
          <w:rFonts w:asciiTheme="minorHAnsi" w:hAnsiTheme="minorHAnsi" w:cstheme="minorHAnsi"/>
          <w:lang w:val="cy-GB"/>
        </w:rPr>
        <w:t>Dim ond ar ôl i’r digwyddiad critigol orffen mae athrawon yn medru edrych yn ôl at y digwyddiad a chwestiynu a dadansoddi sut, pam, beth a phryd y digwyddodd ac yna myfyrio ar hyn. Dyma pryd mae tyfiant proffesiynol athrawon yn digwydd a ble maent yn medru cysylltu theori i’w dysgu. Yn debyg i waith Tripp, mae gwaith (Benita G. Bruster &amp; Barbra R. Peterson 2012) yn awgrymu bod ymarfer myfyriol yn medru hybu theori trwy ganolbwyntio ar ddysgu o brofiad.</w:t>
      </w:r>
      <w:r w:rsidR="00167194" w:rsidRPr="008F0B92">
        <w:rPr>
          <w:rFonts w:asciiTheme="minorHAnsi" w:hAnsiTheme="minorHAnsi" w:cstheme="minorHAnsi"/>
          <w:lang w:val="cy-GB"/>
        </w:rPr>
        <w:t xml:space="preserve"> </w:t>
      </w:r>
      <w:r w:rsidRPr="008F0B92">
        <w:rPr>
          <w:rFonts w:asciiTheme="minorHAnsi" w:hAnsiTheme="minorHAnsi" w:cstheme="minorHAnsi"/>
          <w:lang w:val="cy-GB"/>
        </w:rPr>
        <w:t>Dwedant fod ymarfer myfyriol unigolion yn dechrau trwy fyfyrio ar yr hyn maen nhw wedi’i ddysgu o brofiadau blaenorol</w:t>
      </w:r>
      <w:r w:rsidR="00B554BD" w:rsidRPr="008F0B92">
        <w:rPr>
          <w:rFonts w:asciiTheme="minorHAnsi" w:hAnsiTheme="minorHAnsi" w:cstheme="minorHAnsi"/>
          <w:lang w:val="cy-GB"/>
        </w:rPr>
        <w:t xml:space="preserve"> [2]</w:t>
      </w:r>
      <w:r w:rsidRPr="008F0B92">
        <w:rPr>
          <w:rFonts w:asciiTheme="minorHAnsi" w:hAnsiTheme="minorHAnsi" w:cstheme="minorHAnsi"/>
          <w:lang w:val="cy-GB"/>
        </w:rPr>
        <w:t>; maen nhw yn cefnogi hyn trwy dynnu ar waith (Piaget 1967)</w:t>
      </w:r>
      <w:r w:rsidR="00167194" w:rsidRPr="008F0B92">
        <w:rPr>
          <w:rFonts w:asciiTheme="minorHAnsi" w:hAnsiTheme="minorHAnsi" w:cstheme="minorHAnsi"/>
          <w:lang w:val="cy-GB"/>
        </w:rPr>
        <w:t xml:space="preserve"> </w:t>
      </w:r>
      <w:r w:rsidRPr="008F0B92">
        <w:rPr>
          <w:rFonts w:asciiTheme="minorHAnsi" w:hAnsiTheme="minorHAnsi" w:cstheme="minorHAnsi"/>
          <w:lang w:val="cy-GB"/>
        </w:rPr>
        <w:t xml:space="preserve">ble honnodd Piaget bod unigolion yn dysgu’r fwyaf trwy ddadansoddi pob digwyddiad </w:t>
      </w:r>
      <w:r w:rsidR="00167194" w:rsidRPr="008F0B92">
        <w:rPr>
          <w:rFonts w:asciiTheme="minorHAnsi" w:hAnsiTheme="minorHAnsi" w:cstheme="minorHAnsi"/>
          <w:lang w:val="cy-GB"/>
        </w:rPr>
        <w:t xml:space="preserve">wrth </w:t>
      </w:r>
      <w:r w:rsidRPr="008F0B92">
        <w:rPr>
          <w:rFonts w:asciiTheme="minorHAnsi" w:hAnsiTheme="minorHAnsi" w:cstheme="minorHAnsi"/>
          <w:lang w:val="cy-GB"/>
        </w:rPr>
        <w:t>edrych yn ôl ar brofiadau blaenorol</w:t>
      </w:r>
      <w:r w:rsidR="00A35C0A" w:rsidRPr="008F0B92">
        <w:rPr>
          <w:rFonts w:asciiTheme="minorHAnsi" w:hAnsiTheme="minorHAnsi" w:cstheme="minorHAnsi"/>
          <w:lang w:val="cy-GB"/>
        </w:rPr>
        <w:t xml:space="preserve">, </w:t>
      </w:r>
      <w:r w:rsidRPr="008F0B92">
        <w:rPr>
          <w:rFonts w:asciiTheme="minorHAnsi" w:hAnsiTheme="minorHAnsi" w:cstheme="minorHAnsi"/>
          <w:lang w:val="cy-GB"/>
        </w:rPr>
        <w:t>a digwyddiadau critigol sydd yna yn galluogi newid yn y ffyrdd mae unigolyn yn meddwl neu edrych ar rywbeth. Beth allwn dd</w:t>
      </w:r>
      <w:r w:rsidR="00167194" w:rsidRPr="008F0B92">
        <w:rPr>
          <w:rFonts w:asciiTheme="minorHAnsi" w:hAnsiTheme="minorHAnsi" w:cstheme="minorHAnsi"/>
          <w:lang w:val="cy-GB"/>
        </w:rPr>
        <w:t xml:space="preserve">eall </w:t>
      </w:r>
      <w:r w:rsidRPr="008F0B92">
        <w:rPr>
          <w:rFonts w:asciiTheme="minorHAnsi" w:hAnsiTheme="minorHAnsi" w:cstheme="minorHAnsi"/>
          <w:lang w:val="cy-GB"/>
        </w:rPr>
        <w:t xml:space="preserve">o hyn yw bod digwyddiadau critigol yn sbarduno newid mewn addysgeg unigolyn; mae’n gorfodi unigolyn i edrych yn fwy manwl at y rhesymau ti ôl i ddigwyddiadau’r dosbarth a hefyd yn gorfodi’r unigolion i edrych yn ôl at ddigwyddiadau sydd wedi digwydd yn flaenorol er mwyn canfod a ydy’r digwyddiad yma wedi cymryd lle o’r </w:t>
      </w:r>
      <w:r w:rsidRPr="008F0B92">
        <w:rPr>
          <w:rFonts w:asciiTheme="minorHAnsi" w:hAnsiTheme="minorHAnsi" w:cstheme="minorHAnsi"/>
          <w:lang w:val="cy-GB"/>
        </w:rPr>
        <w:lastRenderedPageBreak/>
        <w:t>blaen? Os felly pam hynny? Pam ei fod yn cadw parhau? Fel hyn gellir edrych i mewn i theori er mwyn addasu addysgeg ei hun. Fel y trafodwyd, gan nad yw digwyddiadau critigol yn cael eu cynllunio ac maent yn rhywbeth sydd yn sbarduno myfyrdod personol, mae digwyddiad critigol yn agored i fod yn rhywbeth negatif neu bositif</w:t>
      </w:r>
      <w:r w:rsidR="0065675B" w:rsidRPr="008F0B92">
        <w:rPr>
          <w:rFonts w:asciiTheme="minorHAnsi" w:hAnsiTheme="minorHAnsi" w:cstheme="minorHAnsi"/>
          <w:lang w:val="cy-GB"/>
        </w:rPr>
        <w:t xml:space="preserve"> (Flanagan 1954)</w:t>
      </w:r>
      <w:r w:rsidRPr="008F0B92">
        <w:rPr>
          <w:rFonts w:asciiTheme="minorHAnsi" w:hAnsiTheme="minorHAnsi" w:cstheme="minorHAnsi"/>
          <w:lang w:val="cy-GB"/>
        </w:rPr>
        <w:t xml:space="preserve">, ac felly'r digwyddiad critigol rwyf am ganolbwyntio arno trwy gydol y traethawd hwn fydd y system canmol a gwobrwyo a sut y mae hyn yn chwarae rôl hanfodol </w:t>
      </w:r>
      <w:r w:rsidR="00167194" w:rsidRPr="008F0B92">
        <w:rPr>
          <w:rFonts w:asciiTheme="minorHAnsi" w:hAnsiTheme="minorHAnsi" w:cstheme="minorHAnsi"/>
          <w:lang w:val="cy-GB"/>
        </w:rPr>
        <w:t>er mwyn g</w:t>
      </w:r>
      <w:r w:rsidRPr="008F0B92">
        <w:rPr>
          <w:rFonts w:asciiTheme="minorHAnsi" w:hAnsiTheme="minorHAnsi" w:cstheme="minorHAnsi"/>
          <w:lang w:val="cy-GB"/>
        </w:rPr>
        <w:t>wella addysg disgyblion ac addysgeg athrawon.</w:t>
      </w:r>
      <w:r w:rsidR="00F80995" w:rsidRPr="008F0B92">
        <w:rPr>
          <w:rFonts w:asciiTheme="minorHAnsi" w:hAnsiTheme="minorHAnsi" w:cstheme="minorHAnsi"/>
          <w:lang w:val="cy-GB"/>
        </w:rPr>
        <w:t xml:space="preserve"> </w:t>
      </w:r>
    </w:p>
    <w:p w14:paraId="7833B24D" w14:textId="77777777" w:rsidR="0065675B" w:rsidRPr="008F0B92" w:rsidRDefault="0065675B" w:rsidP="008F0B92">
      <w:pPr>
        <w:spacing w:line="360" w:lineRule="auto"/>
        <w:rPr>
          <w:rFonts w:asciiTheme="minorHAnsi" w:hAnsiTheme="minorHAnsi" w:cstheme="minorHAnsi"/>
          <w:lang w:val="cy-GB"/>
        </w:rPr>
      </w:pPr>
    </w:p>
    <w:p w14:paraId="7FDB2613" w14:textId="267E0D66" w:rsidR="00D94258" w:rsidRPr="008F0B92" w:rsidRDefault="00D94258" w:rsidP="008F0B92">
      <w:pPr>
        <w:spacing w:line="360" w:lineRule="auto"/>
        <w:rPr>
          <w:rFonts w:asciiTheme="minorHAnsi" w:hAnsiTheme="minorHAnsi" w:cstheme="minorHAnsi"/>
          <w:u w:val="single"/>
          <w:lang w:val="cy-GB"/>
        </w:rPr>
      </w:pPr>
      <w:r w:rsidRPr="008F0B92">
        <w:rPr>
          <w:rFonts w:asciiTheme="minorHAnsi" w:hAnsiTheme="minorHAnsi" w:cstheme="minorHAnsi"/>
          <w:u w:val="single"/>
          <w:lang w:val="cy-GB"/>
        </w:rPr>
        <w:t xml:space="preserve">Adolygiad Llenyddiaeth </w:t>
      </w:r>
    </w:p>
    <w:p w14:paraId="1C46FA67" w14:textId="12FE7E6B" w:rsidR="00D94258" w:rsidRPr="008F0B92" w:rsidRDefault="00D94258" w:rsidP="008F0B92">
      <w:pPr>
        <w:spacing w:line="360" w:lineRule="auto"/>
        <w:rPr>
          <w:rFonts w:asciiTheme="minorHAnsi" w:hAnsiTheme="minorHAnsi" w:cstheme="minorHAnsi"/>
          <w:u w:val="single"/>
          <w:lang w:val="cy-GB"/>
        </w:rPr>
      </w:pPr>
    </w:p>
    <w:p w14:paraId="47AF0473" w14:textId="6B7454C7" w:rsidR="00DB1197" w:rsidRPr="008F0B92" w:rsidRDefault="00B554BD" w:rsidP="008F0B92">
      <w:pPr>
        <w:spacing w:line="360" w:lineRule="auto"/>
        <w:textAlignment w:val="baseline"/>
        <w:rPr>
          <w:rFonts w:asciiTheme="minorHAnsi" w:hAnsiTheme="minorHAnsi" w:cstheme="minorHAnsi"/>
          <w:lang w:val="cy-GB"/>
        </w:rPr>
      </w:pPr>
      <w:r w:rsidRPr="008F0B92">
        <w:rPr>
          <w:rFonts w:asciiTheme="minorHAnsi" w:hAnsiTheme="minorHAnsi" w:cstheme="minorHAnsi"/>
          <w:color w:val="1F1F1F"/>
        </w:rPr>
        <w:t xml:space="preserve">Mae </w:t>
      </w:r>
      <w:proofErr w:type="spellStart"/>
      <w:r w:rsidRPr="008F0B92">
        <w:rPr>
          <w:rFonts w:asciiTheme="minorHAnsi" w:hAnsiTheme="minorHAnsi" w:cstheme="minorHAnsi"/>
          <w:color w:val="1F1F1F"/>
        </w:rPr>
        <w:t>defnyddio</w:t>
      </w:r>
      <w:proofErr w:type="spellEnd"/>
      <w:r w:rsidRPr="008F0B92">
        <w:rPr>
          <w:rFonts w:asciiTheme="minorHAnsi" w:hAnsiTheme="minorHAnsi" w:cstheme="minorHAnsi"/>
          <w:color w:val="1F1F1F"/>
        </w:rPr>
        <w:t xml:space="preserve"> system </w:t>
      </w:r>
      <w:proofErr w:type="spellStart"/>
      <w:r w:rsidRPr="008F0B92">
        <w:rPr>
          <w:rFonts w:asciiTheme="minorHAnsi" w:hAnsiTheme="minorHAnsi" w:cstheme="minorHAnsi"/>
          <w:color w:val="1F1F1F"/>
        </w:rPr>
        <w:t>canmol</w:t>
      </w:r>
      <w:proofErr w:type="spellEnd"/>
      <w:r w:rsidRPr="008F0B92">
        <w:rPr>
          <w:rFonts w:asciiTheme="minorHAnsi" w:hAnsiTheme="minorHAnsi" w:cstheme="minorHAnsi"/>
          <w:color w:val="1F1F1F"/>
        </w:rPr>
        <w:t xml:space="preserve"> a </w:t>
      </w:r>
      <w:proofErr w:type="spellStart"/>
      <w:r w:rsidRPr="008F0B92">
        <w:rPr>
          <w:rFonts w:asciiTheme="minorHAnsi" w:hAnsiTheme="minorHAnsi" w:cstheme="minorHAnsi"/>
          <w:color w:val="1F1F1F"/>
        </w:rPr>
        <w:t>gwobrwyo</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yn</w:t>
      </w:r>
      <w:proofErr w:type="spellEnd"/>
      <w:r w:rsidRPr="008F0B92">
        <w:rPr>
          <w:rFonts w:asciiTheme="minorHAnsi" w:hAnsiTheme="minorHAnsi" w:cstheme="minorHAnsi"/>
          <w:color w:val="1F1F1F"/>
        </w:rPr>
        <w:t xml:space="preserve"> y </w:t>
      </w:r>
      <w:proofErr w:type="spellStart"/>
      <w:r w:rsidRPr="008F0B92">
        <w:rPr>
          <w:rFonts w:asciiTheme="minorHAnsi" w:hAnsiTheme="minorHAnsi" w:cstheme="minorHAnsi"/>
          <w:color w:val="1F1F1F"/>
        </w:rPr>
        <w:t>dosbarth</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yn</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cael</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ei</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hystyried</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fel</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digwyddiad</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critigol</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gan</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ei</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fod</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yn</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medru</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cael</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effaith</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mawr</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ar</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ddynamig</w:t>
      </w:r>
      <w:proofErr w:type="spellEnd"/>
      <w:r w:rsidRPr="008F0B92">
        <w:rPr>
          <w:rFonts w:asciiTheme="minorHAnsi" w:hAnsiTheme="minorHAnsi" w:cstheme="minorHAnsi"/>
          <w:color w:val="1F1F1F"/>
        </w:rPr>
        <w:t xml:space="preserve"> y </w:t>
      </w:r>
      <w:proofErr w:type="spellStart"/>
      <w:r w:rsidRPr="008F0B92">
        <w:rPr>
          <w:rFonts w:asciiTheme="minorHAnsi" w:hAnsiTheme="minorHAnsi" w:cstheme="minorHAnsi"/>
          <w:color w:val="1F1F1F"/>
        </w:rPr>
        <w:t>dosbarth</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yr</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athro</w:t>
      </w:r>
      <w:proofErr w:type="spellEnd"/>
      <w:r w:rsidRPr="008F0B92">
        <w:rPr>
          <w:rFonts w:asciiTheme="minorHAnsi" w:hAnsiTheme="minorHAnsi" w:cstheme="minorHAnsi"/>
          <w:color w:val="1F1F1F"/>
        </w:rPr>
        <w:t xml:space="preserve"> ac </w:t>
      </w:r>
      <w:proofErr w:type="spellStart"/>
      <w:r w:rsidRPr="008F0B92">
        <w:rPr>
          <w:rFonts w:asciiTheme="minorHAnsi" w:hAnsiTheme="minorHAnsi" w:cstheme="minorHAnsi"/>
          <w:color w:val="1F1F1F"/>
        </w:rPr>
        <w:t>ar</w:t>
      </w:r>
      <w:proofErr w:type="spellEnd"/>
      <w:r w:rsidRPr="008F0B92">
        <w:rPr>
          <w:rFonts w:asciiTheme="minorHAnsi" w:hAnsiTheme="minorHAnsi" w:cstheme="minorHAnsi"/>
          <w:color w:val="1F1F1F"/>
        </w:rPr>
        <w:t xml:space="preserve"> y </w:t>
      </w:r>
      <w:proofErr w:type="spellStart"/>
      <w:r w:rsidRPr="008F0B92">
        <w:rPr>
          <w:rFonts w:asciiTheme="minorHAnsi" w:hAnsiTheme="minorHAnsi" w:cstheme="minorHAnsi"/>
          <w:color w:val="1F1F1F"/>
        </w:rPr>
        <w:t>disgyblion</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Mae’r</w:t>
      </w:r>
      <w:proofErr w:type="spellEnd"/>
      <w:r w:rsidRPr="008F0B92">
        <w:rPr>
          <w:rFonts w:asciiTheme="minorHAnsi" w:hAnsiTheme="minorHAnsi" w:cstheme="minorHAnsi"/>
          <w:color w:val="1F1F1F"/>
        </w:rPr>
        <w:t xml:space="preserve"> system </w:t>
      </w:r>
      <w:proofErr w:type="spellStart"/>
      <w:r w:rsidRPr="008F0B92">
        <w:rPr>
          <w:rFonts w:asciiTheme="minorHAnsi" w:hAnsiTheme="minorHAnsi" w:cstheme="minorHAnsi"/>
          <w:color w:val="1F1F1F"/>
        </w:rPr>
        <w:t>hwn</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yn</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medru</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cael</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effaith</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mawreddog</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ar</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addysg</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disgyblion</w:t>
      </w:r>
      <w:proofErr w:type="spellEnd"/>
      <w:r w:rsidRPr="008F0B92">
        <w:rPr>
          <w:rFonts w:asciiTheme="minorHAnsi" w:hAnsiTheme="minorHAnsi" w:cstheme="minorHAnsi"/>
          <w:color w:val="1F1F1F"/>
        </w:rPr>
        <w:t xml:space="preserve"> ac </w:t>
      </w:r>
      <w:proofErr w:type="spellStart"/>
      <w:r w:rsidRPr="008F0B92">
        <w:rPr>
          <w:rFonts w:asciiTheme="minorHAnsi" w:hAnsiTheme="minorHAnsi" w:cstheme="minorHAnsi"/>
          <w:color w:val="1F1F1F"/>
        </w:rPr>
        <w:t>addysgeg</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athrawon</w:t>
      </w:r>
      <w:proofErr w:type="spellEnd"/>
      <w:r w:rsidRPr="008F0B92">
        <w:rPr>
          <w:rFonts w:asciiTheme="minorHAnsi" w:hAnsiTheme="minorHAnsi" w:cstheme="minorHAnsi"/>
          <w:color w:val="1F1F1F"/>
        </w:rPr>
        <w:t xml:space="preserve">, ac </w:t>
      </w:r>
      <w:proofErr w:type="spellStart"/>
      <w:r w:rsidRPr="008F0B92">
        <w:rPr>
          <w:rFonts w:asciiTheme="minorHAnsi" w:hAnsiTheme="minorHAnsi" w:cstheme="minorHAnsi"/>
          <w:color w:val="1F1F1F"/>
        </w:rPr>
        <w:t>os</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caiff</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ei</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weithredu’n</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gywir</w:t>
      </w:r>
      <w:proofErr w:type="spellEnd"/>
      <w:r w:rsidRPr="008F0B92">
        <w:rPr>
          <w:rFonts w:asciiTheme="minorHAnsi" w:hAnsiTheme="minorHAnsi" w:cstheme="minorHAnsi"/>
          <w:color w:val="1F1F1F"/>
        </w:rPr>
        <w:t xml:space="preserve"> all </w:t>
      </w:r>
      <w:proofErr w:type="spellStart"/>
      <w:r w:rsidRPr="008F0B92">
        <w:rPr>
          <w:rFonts w:asciiTheme="minorHAnsi" w:hAnsiTheme="minorHAnsi" w:cstheme="minorHAnsi"/>
          <w:color w:val="1F1F1F"/>
        </w:rPr>
        <w:t>creu</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amgylched</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positif</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i’r</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disgyblion</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gweithio</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ynddi</w:t>
      </w:r>
      <w:proofErr w:type="spellEnd"/>
      <w:r w:rsidRPr="008F0B92">
        <w:rPr>
          <w:rFonts w:asciiTheme="minorHAnsi" w:hAnsiTheme="minorHAnsi" w:cstheme="minorHAnsi"/>
          <w:color w:val="1F1F1F"/>
        </w:rPr>
        <w:t xml:space="preserve">. Mae </w:t>
      </w:r>
      <w:proofErr w:type="spellStart"/>
      <w:r w:rsidRPr="008F0B92">
        <w:rPr>
          <w:rFonts w:asciiTheme="minorHAnsi" w:hAnsiTheme="minorHAnsi" w:cstheme="minorHAnsi"/>
          <w:color w:val="1F1F1F"/>
        </w:rPr>
        <w:t>hyn</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yn</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arwain</w:t>
      </w:r>
      <w:proofErr w:type="spellEnd"/>
      <w:r w:rsidRPr="008F0B92">
        <w:rPr>
          <w:rFonts w:asciiTheme="minorHAnsi" w:hAnsiTheme="minorHAnsi" w:cstheme="minorHAnsi"/>
          <w:color w:val="1F1F1F"/>
        </w:rPr>
        <w:t xml:space="preserve"> at </w:t>
      </w:r>
      <w:proofErr w:type="spellStart"/>
      <w:r w:rsidRPr="008F0B92">
        <w:rPr>
          <w:rFonts w:asciiTheme="minorHAnsi" w:hAnsiTheme="minorHAnsi" w:cstheme="minorHAnsi"/>
          <w:color w:val="1F1F1F"/>
        </w:rPr>
        <w:t>wellhad</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nid</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yn</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unig</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i</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ddealltwriaeth</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disgyblion</w:t>
      </w:r>
      <w:proofErr w:type="spellEnd"/>
      <w:r w:rsidRPr="008F0B92">
        <w:rPr>
          <w:rFonts w:asciiTheme="minorHAnsi" w:hAnsiTheme="minorHAnsi" w:cstheme="minorHAnsi"/>
          <w:color w:val="1F1F1F"/>
        </w:rPr>
        <w:t xml:space="preserve"> am </w:t>
      </w:r>
      <w:proofErr w:type="spellStart"/>
      <w:r w:rsidRPr="008F0B92">
        <w:rPr>
          <w:rFonts w:asciiTheme="minorHAnsi" w:hAnsiTheme="minorHAnsi" w:cstheme="minorHAnsi"/>
          <w:color w:val="1F1F1F"/>
        </w:rPr>
        <w:t>waith</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ysgol</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ond</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hefyd</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gwella</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ei</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dealltwriaeth</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ar</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sgiliau</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bywyd</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sydd</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yn</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ffactor</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hanfodol</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wrth</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feddwl</w:t>
      </w:r>
      <w:proofErr w:type="spellEnd"/>
      <w:r w:rsidRPr="008F0B92">
        <w:rPr>
          <w:rFonts w:asciiTheme="minorHAnsi" w:hAnsiTheme="minorHAnsi" w:cstheme="minorHAnsi"/>
          <w:color w:val="1F1F1F"/>
        </w:rPr>
        <w:t xml:space="preserve"> am </w:t>
      </w:r>
      <w:proofErr w:type="spellStart"/>
      <w:r w:rsidRPr="008F0B92">
        <w:rPr>
          <w:rFonts w:asciiTheme="minorHAnsi" w:hAnsiTheme="minorHAnsi" w:cstheme="minorHAnsi"/>
          <w:color w:val="1F1F1F"/>
        </w:rPr>
        <w:t>ofynion</w:t>
      </w:r>
      <w:proofErr w:type="spellEnd"/>
      <w:r w:rsidRPr="008F0B92">
        <w:rPr>
          <w:rFonts w:asciiTheme="minorHAnsi" w:hAnsiTheme="minorHAnsi" w:cstheme="minorHAnsi"/>
          <w:color w:val="1F1F1F"/>
        </w:rPr>
        <w:t xml:space="preserve"> y </w:t>
      </w:r>
      <w:proofErr w:type="spellStart"/>
      <w:r w:rsidRPr="008F0B92">
        <w:rPr>
          <w:rFonts w:asciiTheme="minorHAnsi" w:hAnsiTheme="minorHAnsi" w:cstheme="minorHAnsi"/>
          <w:color w:val="1F1F1F"/>
        </w:rPr>
        <w:t>cwricwlwm</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newydd</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i</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Gymru</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yn</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enwedig</w:t>
      </w:r>
      <w:proofErr w:type="spellEnd"/>
      <w:r w:rsidRPr="008F0B92">
        <w:rPr>
          <w:rFonts w:asciiTheme="minorHAnsi" w:hAnsiTheme="minorHAnsi" w:cstheme="minorHAnsi"/>
          <w:color w:val="1F1F1F"/>
        </w:rPr>
        <w:t xml:space="preserve"> er </w:t>
      </w:r>
      <w:proofErr w:type="spellStart"/>
      <w:r w:rsidRPr="008F0B92">
        <w:rPr>
          <w:rFonts w:asciiTheme="minorHAnsi" w:hAnsiTheme="minorHAnsi" w:cstheme="minorHAnsi"/>
          <w:color w:val="1F1F1F"/>
        </w:rPr>
        <w:t>mwyn</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fod</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yn</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ddysgwyr</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uchelgeisiol</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galluog</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sy'n</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barod</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i</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ddysgu</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gydol</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eu</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bywydau</w:t>
      </w:r>
      <w:proofErr w:type="spellEnd"/>
      <w:proofErr w:type="gramStart"/>
      <w:r w:rsidRPr="008F0B92">
        <w:rPr>
          <w:rFonts w:asciiTheme="minorHAnsi" w:hAnsiTheme="minorHAnsi" w:cstheme="minorHAnsi"/>
          <w:color w:val="1F1F1F"/>
        </w:rPr>
        <w:t>’[</w:t>
      </w:r>
      <w:proofErr w:type="gramEnd"/>
      <w:r w:rsidRPr="008F0B92">
        <w:rPr>
          <w:rFonts w:asciiTheme="minorHAnsi" w:hAnsiTheme="minorHAnsi" w:cstheme="minorHAnsi"/>
          <w:color w:val="1F1F1F"/>
        </w:rPr>
        <w:t>3].</w:t>
      </w:r>
      <w:r w:rsidRPr="008F0B92">
        <w:rPr>
          <w:rFonts w:asciiTheme="minorHAnsi" w:hAnsiTheme="minorHAnsi" w:cstheme="minorHAnsi"/>
          <w:color w:val="1F1F1F"/>
        </w:rPr>
        <w:t xml:space="preserve"> </w:t>
      </w:r>
      <w:r w:rsidRPr="008F0B92">
        <w:rPr>
          <w:rFonts w:asciiTheme="minorHAnsi" w:hAnsiTheme="minorHAnsi" w:cstheme="minorHAnsi"/>
          <w:lang w:val="cy-GB"/>
        </w:rPr>
        <w:t>Dywedaf hyn gan fod codi amgylchedd positif yn y dosbarth trwy ganmol neu roi gwobr yn medru cyflyru disgyblion i ymddwyn a meddwl yn wahanol am waith. Yn 1897 canfed Ivan Pavlov y theori o gyflyru clasurol, ei damcaniaeth oedd bod c</w:t>
      </w:r>
      <w:r w:rsidRPr="008F0B92">
        <w:rPr>
          <w:rFonts w:asciiTheme="minorHAnsi" w:hAnsiTheme="minorHAnsi" w:cstheme="minorHAnsi"/>
          <w:color w:val="000000"/>
        </w:rPr>
        <w:t>ŵ</w:t>
      </w:r>
      <w:r w:rsidRPr="008F0B92">
        <w:rPr>
          <w:rFonts w:asciiTheme="minorHAnsi" w:hAnsiTheme="minorHAnsi" w:cstheme="minorHAnsi"/>
          <w:lang w:val="cy-GB"/>
        </w:rPr>
        <w:t>n yn medru dysgu ymddygiad newydd trwy fyrdd o gyflyru. Profwyd hwn trwy ddefnyddio ‘uncondioned stimilus (US)’ sef bwyd y ci oedd yn achosi ‘unconditioned responce (UR)’ ble oedd y ci yn gynyrchi poer wrth weld bwyd, ac yna cysylltu hyn gyda ‘conditioned stimulus (CS)’ sef sŵn cloch pan gyflwynwyd bwyd i’r ci. Ar ôl amser roedd y ci yna yn medru cysylltu sŵn y gloch gyda bwyd ac yn cynhyrchu poer er nad oedd bwyd yn pressnol o flaen y ci, alwyd hwn yn ‘conditioned response (CR)’ [</w:t>
      </w:r>
      <w:r w:rsidR="00CF67DD" w:rsidRPr="008F0B92">
        <w:rPr>
          <w:rFonts w:asciiTheme="minorHAnsi" w:hAnsiTheme="minorHAnsi" w:cstheme="minorHAnsi"/>
          <w:lang w:val="cy-GB"/>
        </w:rPr>
        <w:t>4</w:t>
      </w:r>
      <w:r w:rsidRPr="008F0B92">
        <w:rPr>
          <w:rFonts w:asciiTheme="minorHAnsi" w:hAnsiTheme="minorHAnsi" w:cstheme="minorHAnsi"/>
          <w:lang w:val="cy-GB"/>
        </w:rPr>
        <w:t>].</w:t>
      </w:r>
      <w:r w:rsidRPr="008F0B92">
        <w:rPr>
          <w:rFonts w:asciiTheme="minorHAnsi" w:hAnsiTheme="minorHAnsi" w:cstheme="minorHAnsi"/>
          <w:lang w:val="cy-GB"/>
        </w:rPr>
        <w:t xml:space="preserve"> </w:t>
      </w:r>
      <w:r w:rsidRPr="008F0B92">
        <w:rPr>
          <w:rFonts w:asciiTheme="minorHAnsi" w:hAnsiTheme="minorHAnsi" w:cstheme="minorHAnsi"/>
          <w:lang w:val="cy-GB"/>
        </w:rPr>
        <w:t>Estynnwyd (Watson, 1919) ar hyn trwy gredu ei fod yn medru cysylltu theori Pavlov gyda chyflyru emosiynau pobl, ble fydd person yn medru newid ei ymddygiad trwy'r ffordd maent yn mynegi emosiwn i rywbeth penodol [</w:t>
      </w:r>
      <w:r w:rsidR="00CF67DD" w:rsidRPr="008F0B92">
        <w:rPr>
          <w:rFonts w:asciiTheme="minorHAnsi" w:hAnsiTheme="minorHAnsi" w:cstheme="minorHAnsi"/>
          <w:lang w:val="cy-GB"/>
        </w:rPr>
        <w:t>5</w:t>
      </w:r>
      <w:r w:rsidRPr="008F0B92">
        <w:rPr>
          <w:rFonts w:asciiTheme="minorHAnsi" w:hAnsiTheme="minorHAnsi" w:cstheme="minorHAnsi"/>
          <w:lang w:val="cy-GB"/>
        </w:rPr>
        <w:t>]. Beth allwn ddeall o gymryd damcaniaethau Pavlov a Watson mewn i ystyried yw bod canmol a rhoi gwobr i ddisgyblion mewn gwers yn medru hybu agwedd bositif a hapus yn y gwersi, sydd yna yn arwain at y disgyblion i newid eu hagwedd trwy gyflyru.</w:t>
      </w:r>
      <w:r w:rsidR="00193904" w:rsidRPr="008F0B92">
        <w:rPr>
          <w:rFonts w:asciiTheme="minorHAnsi" w:hAnsiTheme="minorHAnsi" w:cstheme="minorHAnsi"/>
          <w:lang w:val="cy-GB"/>
        </w:rPr>
        <w:t xml:space="preserve">Rhaid cadw canmol neu wobrwyo disgyblion yn </w:t>
      </w:r>
      <w:r w:rsidR="00193904" w:rsidRPr="008F0B92">
        <w:rPr>
          <w:rFonts w:asciiTheme="minorHAnsi" w:hAnsiTheme="minorHAnsi" w:cstheme="minorHAnsi"/>
          <w:lang w:val="cy-GB"/>
        </w:rPr>
        <w:lastRenderedPageBreak/>
        <w:t>y gobaith y byddant yn parhau i gymhwyso’r ymddygiad da heb feddwl dwywaith amdan, ac yna i gadw cymhwyso hyn ar ôl gadel addysg. Fodd bynnag, mae ymchwil gan (B.F. Skinner 1948), yn cynnig damcaniaeth arall sydd yn galluogi inni edrych ar ddarllediad gwahanol o gyflyru. Edrychwyd Skinner yn seiliedig ar gyflyru gweithredol, ble canolbwyntiodd ar y defnydd o gadarnhad neu gosb er mwyn ail adrodd neu ddiddymu ymddygiad.</w:t>
      </w:r>
      <w:r w:rsidR="00193904" w:rsidRPr="008F0B92">
        <w:rPr>
          <w:rFonts w:asciiTheme="minorHAnsi" w:hAnsiTheme="minorHAnsi" w:cstheme="minorHAnsi"/>
          <w:lang w:val="cy-GB"/>
        </w:rPr>
        <w:t xml:space="preserve"> </w:t>
      </w:r>
      <w:r w:rsidR="00193904" w:rsidRPr="008F0B92">
        <w:rPr>
          <w:rFonts w:asciiTheme="minorHAnsi" w:hAnsiTheme="minorHAnsi" w:cstheme="minorHAnsi"/>
          <w:lang w:val="cy-GB"/>
        </w:rPr>
        <w:t xml:space="preserve">Canfuwyd y theori trwy greu ‘Skinner box’ ble oedd yn arbrofi ar lygod mawr; oes oedd y llygod mawr yn tynnu lawr ar y lifer pan oedd y golau gwyrdd yn dangos byddent yn cael gwobr, ac os oedd y llygod mawr yn tynnu lawr ar lifer pan oedd y golau yn goch </w:t>
      </w:r>
      <w:r w:rsidR="00193904" w:rsidRPr="008F0B92">
        <w:rPr>
          <w:rFonts w:asciiTheme="minorHAnsi" w:hAnsiTheme="minorHAnsi" w:cstheme="minorHAnsi"/>
          <w:lang w:val="cy-GB"/>
        </w:rPr>
        <w:t xml:space="preserve">yn dangos </w:t>
      </w:r>
      <w:r w:rsidR="00193904" w:rsidRPr="008F0B92">
        <w:rPr>
          <w:rFonts w:asciiTheme="minorHAnsi" w:hAnsiTheme="minorHAnsi" w:cstheme="minorHAnsi"/>
          <w:lang w:val="cy-GB"/>
        </w:rPr>
        <w:t>fyddant yn cael cosb. Terfynodd bod gwobr yn medru cael yw defnyddio er mwyn cynyddu ymddygiad, a chosb er mwyn lleihau ymddygiad, daw’r wobr neu gosb wedi’r ymddygiad ddigwydd er mwyn ailadrodd ymddygiad delfrydol neu gael gwared a rhywbeth drwg.[</w:t>
      </w:r>
      <w:r w:rsidR="00A65C25" w:rsidRPr="008F0B92">
        <w:rPr>
          <w:rFonts w:asciiTheme="minorHAnsi" w:hAnsiTheme="minorHAnsi" w:cstheme="minorHAnsi"/>
          <w:lang w:val="cy-GB"/>
        </w:rPr>
        <w:t>6</w:t>
      </w:r>
      <w:r w:rsidR="00193904" w:rsidRPr="008F0B92">
        <w:rPr>
          <w:rFonts w:asciiTheme="minorHAnsi" w:hAnsiTheme="minorHAnsi" w:cstheme="minorHAnsi"/>
          <w:lang w:val="cy-GB"/>
        </w:rPr>
        <w:t>]</w:t>
      </w:r>
    </w:p>
    <w:p w14:paraId="21D4A7C2" w14:textId="77777777" w:rsidR="00193904" w:rsidRPr="008F0B92" w:rsidRDefault="00193904" w:rsidP="008F0B92">
      <w:pPr>
        <w:spacing w:line="360" w:lineRule="auto"/>
        <w:textAlignment w:val="baseline"/>
        <w:rPr>
          <w:rFonts w:asciiTheme="minorHAnsi" w:hAnsiTheme="minorHAnsi" w:cstheme="minorHAnsi"/>
          <w:lang w:val="cy-GB"/>
        </w:rPr>
      </w:pPr>
    </w:p>
    <w:p w14:paraId="35125213" w14:textId="6FC637CC" w:rsidR="003E5357" w:rsidRPr="008F0B92" w:rsidRDefault="00193904" w:rsidP="008F0B92">
      <w:pPr>
        <w:spacing w:line="360" w:lineRule="auto"/>
        <w:textAlignment w:val="baseline"/>
        <w:rPr>
          <w:rFonts w:asciiTheme="minorHAnsi" w:hAnsiTheme="minorHAnsi" w:cstheme="minorHAnsi"/>
          <w:lang w:val="cy-GB"/>
        </w:rPr>
      </w:pPr>
      <w:r w:rsidRPr="008F0B92">
        <w:rPr>
          <w:rFonts w:asciiTheme="minorHAnsi" w:hAnsiTheme="minorHAnsi" w:cstheme="minorHAnsi"/>
          <w:lang w:val="cy-GB"/>
        </w:rPr>
        <w:t>Yn ei waith (Operant Behavior, 1963) dywed Skinner bod organeb yn ymddwyn mewn ffordd benodol gan ei fod yn ceisio cyflawni rhywbeth, neu yn disgwyl effaith penodol i ddigwydd o’r ymddygiad hwnnw, neu fod ymddygiad yn medru ymhlygu cynyddiad neu leihad i rai agweddau</w:t>
      </w:r>
      <w:r w:rsidRPr="008F0B92">
        <w:rPr>
          <w:rFonts w:asciiTheme="minorHAnsi" w:hAnsiTheme="minorHAnsi" w:cstheme="minorHAnsi"/>
          <w:lang w:val="cy-GB"/>
        </w:rPr>
        <w:t xml:space="preserve"> </w:t>
      </w:r>
      <w:r w:rsidRPr="008F0B92">
        <w:rPr>
          <w:rFonts w:asciiTheme="minorHAnsi" w:hAnsiTheme="minorHAnsi" w:cstheme="minorHAnsi"/>
          <w:lang w:val="cy-GB"/>
        </w:rPr>
        <w:t>[</w:t>
      </w:r>
      <w:r w:rsidR="00A65C25" w:rsidRPr="008F0B92">
        <w:rPr>
          <w:rFonts w:asciiTheme="minorHAnsi" w:hAnsiTheme="minorHAnsi" w:cstheme="minorHAnsi"/>
          <w:lang w:val="cy-GB"/>
        </w:rPr>
        <w:t>7</w:t>
      </w:r>
      <w:r w:rsidRPr="008F0B92">
        <w:rPr>
          <w:rFonts w:asciiTheme="minorHAnsi" w:hAnsiTheme="minorHAnsi" w:cstheme="minorHAnsi"/>
          <w:lang w:val="cy-GB"/>
        </w:rPr>
        <w:t>]</w:t>
      </w:r>
      <w:r w:rsidRPr="008F0B92">
        <w:rPr>
          <w:rFonts w:asciiTheme="minorHAnsi" w:hAnsiTheme="minorHAnsi" w:cstheme="minorHAnsi"/>
          <w:lang w:val="cy-GB"/>
        </w:rPr>
        <w:t>.</w:t>
      </w:r>
      <w:r w:rsidRPr="008F0B92">
        <w:rPr>
          <w:rFonts w:asciiTheme="minorHAnsi" w:hAnsiTheme="minorHAnsi" w:cstheme="minorHAnsi"/>
          <w:lang w:val="cy-GB"/>
        </w:rPr>
        <w:t xml:space="preserve"> Er bod astudiaeth Skinner yn canolbwyntio ar ffactor seicoleg o gyflyru gweithredol trwy ddefnyddio anifeiliaid, allwn gymryd ei syniad a’i chysylltu gydag addysg; beth fedrwn ni ddeall o hyn y dwedwyd yw bod cyflyru gweithredol yn medru digwydd yn yr ystafell dosbarth trwy ddefnyddio system canmol a gwobrwyo er mwyn cynyddu ymddygiad da yn y dosbarth.</w:t>
      </w:r>
      <w:r w:rsidRPr="008F0B92">
        <w:rPr>
          <w:rFonts w:asciiTheme="minorHAnsi" w:hAnsiTheme="minorHAnsi" w:cstheme="minorHAnsi"/>
          <w:lang w:val="cy-GB"/>
        </w:rPr>
        <w:t xml:space="preserve"> </w:t>
      </w:r>
      <w:r w:rsidRPr="008F0B92">
        <w:rPr>
          <w:rFonts w:asciiTheme="minorHAnsi" w:hAnsiTheme="minorHAnsi" w:cstheme="minorHAnsi"/>
          <w:lang w:val="cy-GB"/>
        </w:rPr>
        <w:t>Cytunwyd (Geroge G. Bear, Jessica C. Slaughter et al) nid yn unig yw cyflyru gweithredol yn medru cael i weithredu yn addysgeg athrawon, ond bod yr athrawon mwyaf effeithiol yn defnyddio canmol a gwobr</w:t>
      </w:r>
      <w:r w:rsidRPr="008F0B92">
        <w:rPr>
          <w:rFonts w:asciiTheme="minorHAnsi" w:hAnsiTheme="minorHAnsi" w:cstheme="minorHAnsi"/>
          <w:lang w:val="cy-GB"/>
        </w:rPr>
        <w:t xml:space="preserve">wyo </w:t>
      </w:r>
      <w:r w:rsidRPr="008F0B92">
        <w:rPr>
          <w:rFonts w:asciiTheme="minorHAnsi" w:hAnsiTheme="minorHAnsi" w:cstheme="minorHAnsi"/>
          <w:lang w:val="cy-GB"/>
        </w:rPr>
        <w:t>i addysgu ac atgyfnerthu ymddygiad dymunol disgyblion ynghyd a defnyddio cosb er mwyn lleihau ymddygiad annymunol [</w:t>
      </w:r>
      <w:r w:rsidR="00A65C25" w:rsidRPr="008F0B92">
        <w:rPr>
          <w:rFonts w:asciiTheme="minorHAnsi" w:hAnsiTheme="minorHAnsi" w:cstheme="minorHAnsi"/>
          <w:lang w:val="cy-GB"/>
        </w:rPr>
        <w:t>8</w:t>
      </w:r>
      <w:r w:rsidRPr="008F0B92">
        <w:rPr>
          <w:rFonts w:asciiTheme="minorHAnsi" w:hAnsiTheme="minorHAnsi" w:cstheme="minorHAnsi"/>
          <w:lang w:val="cy-GB"/>
        </w:rPr>
        <w:t xml:space="preserve">]. </w:t>
      </w:r>
      <w:r w:rsidR="00DF7A1E" w:rsidRPr="008F0B92">
        <w:rPr>
          <w:rFonts w:asciiTheme="minorHAnsi" w:hAnsiTheme="minorHAnsi" w:cstheme="minorHAnsi"/>
          <w:lang w:val="cy-GB"/>
        </w:rPr>
        <w:t xml:space="preserve">Wrth i </w:t>
      </w:r>
      <w:r w:rsidRPr="008F0B92">
        <w:rPr>
          <w:rFonts w:asciiTheme="minorHAnsi" w:hAnsiTheme="minorHAnsi" w:cstheme="minorHAnsi"/>
          <w:lang w:val="cy-GB"/>
        </w:rPr>
        <w:t xml:space="preserve"> (O. Austin Omomia &amp; T.A. Omonia)</w:t>
      </w:r>
      <w:r w:rsidR="00397FE2" w:rsidRPr="008F0B92">
        <w:rPr>
          <w:rFonts w:asciiTheme="minorHAnsi" w:hAnsiTheme="minorHAnsi" w:cstheme="minorHAnsi"/>
          <w:lang w:val="cy-GB"/>
        </w:rPr>
        <w:t xml:space="preserve"> hefyd </w:t>
      </w:r>
      <w:r w:rsidR="00DF7A1E" w:rsidRPr="008F0B92">
        <w:rPr>
          <w:rFonts w:asciiTheme="minorHAnsi" w:hAnsiTheme="minorHAnsi" w:cstheme="minorHAnsi"/>
          <w:lang w:val="cy-GB"/>
        </w:rPr>
        <w:t xml:space="preserve">greu dadl am ddamcaniaeth Skinner ar werthuso rheolaeth effeithiol ysgol </w:t>
      </w:r>
      <w:r w:rsidRPr="008F0B92">
        <w:rPr>
          <w:rFonts w:asciiTheme="minorHAnsi" w:hAnsiTheme="minorHAnsi" w:cstheme="minorHAnsi"/>
          <w:lang w:val="cy-GB"/>
        </w:rPr>
        <w:t>bod damcaniaeth Skinner</w:t>
      </w:r>
      <w:r w:rsidR="00DF7A1E" w:rsidRPr="008F0B92">
        <w:rPr>
          <w:rFonts w:asciiTheme="minorHAnsi" w:hAnsiTheme="minorHAnsi" w:cstheme="minorHAnsi"/>
          <w:lang w:val="cy-GB"/>
        </w:rPr>
        <w:t>, dywed bod ei damcaniaeth</w:t>
      </w:r>
      <w:r w:rsidRPr="008F0B92">
        <w:rPr>
          <w:rFonts w:asciiTheme="minorHAnsi" w:hAnsiTheme="minorHAnsi" w:cstheme="minorHAnsi"/>
          <w:lang w:val="cy-GB"/>
        </w:rPr>
        <w:t xml:space="preserve"> wedi effeithio ar hyrwyddo addysgu a dysgu</w:t>
      </w:r>
      <w:r w:rsidR="00397FE2" w:rsidRPr="008F0B92">
        <w:rPr>
          <w:rFonts w:asciiTheme="minorHAnsi" w:hAnsiTheme="minorHAnsi" w:cstheme="minorHAnsi"/>
          <w:lang w:val="cy-GB"/>
        </w:rPr>
        <w:t>, gan fod ei</w:t>
      </w:r>
      <w:r w:rsidRPr="008F0B92">
        <w:rPr>
          <w:rFonts w:asciiTheme="minorHAnsi" w:hAnsiTheme="minorHAnsi" w:cstheme="minorHAnsi"/>
          <w:lang w:val="cy-GB"/>
        </w:rPr>
        <w:t xml:space="preserve"> wedi’i chymhwyso’n aml yn y mwyafrif o sefydliadau addysgol ac y gellir gwella canlyniadau addysgol myfyriwr trwy ddefnyddio atgyfnerthiadau cadarnhaol [</w:t>
      </w:r>
      <w:r w:rsidR="00A65C25" w:rsidRPr="008F0B92">
        <w:rPr>
          <w:rFonts w:asciiTheme="minorHAnsi" w:hAnsiTheme="minorHAnsi" w:cstheme="minorHAnsi"/>
          <w:lang w:val="cy-GB"/>
        </w:rPr>
        <w:t>9</w:t>
      </w:r>
      <w:r w:rsidRPr="008F0B92">
        <w:rPr>
          <w:rFonts w:asciiTheme="minorHAnsi" w:hAnsiTheme="minorHAnsi" w:cstheme="minorHAnsi"/>
          <w:lang w:val="cy-GB"/>
        </w:rPr>
        <w:t>].</w:t>
      </w:r>
      <w:r w:rsidR="00397FE2" w:rsidRPr="008F0B92">
        <w:rPr>
          <w:rFonts w:asciiTheme="minorHAnsi" w:hAnsiTheme="minorHAnsi" w:cstheme="minorHAnsi"/>
          <w:lang w:val="cy-GB"/>
        </w:rPr>
        <w:t xml:space="preserve"> </w:t>
      </w:r>
      <w:r w:rsidR="009031CF" w:rsidRPr="008F0B92">
        <w:rPr>
          <w:rFonts w:asciiTheme="minorHAnsi" w:hAnsiTheme="minorHAnsi" w:cstheme="minorHAnsi"/>
          <w:lang w:val="cy-GB"/>
        </w:rPr>
        <w:t xml:space="preserve">Er hyn mae O. Austin Omomia &amp; T.A. Omonia </w:t>
      </w:r>
      <w:r w:rsidR="00D05065" w:rsidRPr="008F0B92">
        <w:rPr>
          <w:rFonts w:asciiTheme="minorHAnsi" w:hAnsiTheme="minorHAnsi" w:cstheme="minorHAnsi"/>
          <w:lang w:val="cy-GB"/>
        </w:rPr>
        <w:t xml:space="preserve">yn ei waith </w:t>
      </w:r>
      <w:r w:rsidR="00A279CA" w:rsidRPr="008F0B92">
        <w:rPr>
          <w:rFonts w:asciiTheme="minorHAnsi" w:hAnsiTheme="minorHAnsi" w:cstheme="minorHAnsi"/>
          <w:lang w:val="cy-GB"/>
        </w:rPr>
        <w:t>yn dod o hyd i wall yn damcaniaeth Skinner. T</w:t>
      </w:r>
      <w:r w:rsidR="009031CF" w:rsidRPr="008F0B92">
        <w:rPr>
          <w:rFonts w:asciiTheme="minorHAnsi" w:hAnsiTheme="minorHAnsi" w:cstheme="minorHAnsi"/>
          <w:lang w:val="cy-GB"/>
        </w:rPr>
        <w:t xml:space="preserve">rwy gymryd gwaith (Kohn 2004) </w:t>
      </w:r>
      <w:r w:rsidR="00A279CA" w:rsidRPr="008F0B92">
        <w:rPr>
          <w:rFonts w:asciiTheme="minorHAnsi" w:hAnsiTheme="minorHAnsi" w:cstheme="minorHAnsi"/>
          <w:lang w:val="cy-GB"/>
        </w:rPr>
        <w:t xml:space="preserve">mewn i ystyraieth </w:t>
      </w:r>
      <w:r w:rsidR="009D3E34" w:rsidRPr="008F0B92">
        <w:rPr>
          <w:rFonts w:asciiTheme="minorHAnsi" w:hAnsiTheme="minorHAnsi" w:cstheme="minorHAnsi"/>
          <w:lang w:val="cy-GB"/>
        </w:rPr>
        <w:t>main</w:t>
      </w:r>
      <w:r w:rsidR="00A279CA" w:rsidRPr="008F0B92">
        <w:rPr>
          <w:rFonts w:asciiTheme="minorHAnsi" w:hAnsiTheme="minorHAnsi" w:cstheme="minorHAnsi"/>
          <w:lang w:val="cy-GB"/>
        </w:rPr>
        <w:t>t</w:t>
      </w:r>
      <w:r w:rsidR="009D3E34" w:rsidRPr="008F0B92">
        <w:rPr>
          <w:rFonts w:asciiTheme="minorHAnsi" w:hAnsiTheme="minorHAnsi" w:cstheme="minorHAnsi"/>
          <w:lang w:val="cy-GB"/>
        </w:rPr>
        <w:t xml:space="preserve"> yn dweud</w:t>
      </w:r>
      <w:r w:rsidR="00A279CA" w:rsidRPr="008F0B92">
        <w:rPr>
          <w:rFonts w:asciiTheme="minorHAnsi" w:hAnsiTheme="minorHAnsi" w:cstheme="minorHAnsi"/>
          <w:lang w:val="cy-GB"/>
        </w:rPr>
        <w:t xml:space="preserve"> bod, </w:t>
      </w:r>
      <w:r w:rsidR="002E1130" w:rsidRPr="008F0B92">
        <w:rPr>
          <w:rFonts w:asciiTheme="minorHAnsi" w:hAnsiTheme="minorHAnsi" w:cstheme="minorHAnsi"/>
          <w:lang w:val="cy-GB"/>
        </w:rPr>
        <w:t>c</w:t>
      </w:r>
      <w:r w:rsidR="0011406F" w:rsidRPr="008F0B92">
        <w:rPr>
          <w:rFonts w:asciiTheme="minorHAnsi" w:hAnsiTheme="minorHAnsi" w:cstheme="minorHAnsi"/>
          <w:lang w:val="cy-GB"/>
        </w:rPr>
        <w:t>yflyru gweithredol yn medru achosi bobl i ddibynnu ar gwobrau, i’r pwynt ble mae nhw methu â dod o hyd i gymhelliant pan nid oes yna unrhyw gowbr neu glod yw rhoi</w:t>
      </w:r>
      <w:r w:rsidR="00B519CF" w:rsidRPr="008F0B92">
        <w:rPr>
          <w:rFonts w:asciiTheme="minorHAnsi" w:hAnsiTheme="minorHAnsi" w:cstheme="minorHAnsi"/>
          <w:lang w:val="cy-GB"/>
        </w:rPr>
        <w:t xml:space="preserve">. </w:t>
      </w:r>
      <w:r w:rsidR="00BD0BEF" w:rsidRPr="008F0B92">
        <w:rPr>
          <w:rFonts w:asciiTheme="minorHAnsi" w:hAnsiTheme="minorHAnsi" w:cstheme="minorHAnsi"/>
          <w:lang w:val="cy-GB"/>
        </w:rPr>
        <w:t xml:space="preserve">Fodd bynnag, </w:t>
      </w:r>
      <w:r w:rsidR="00076F0D" w:rsidRPr="008F0B92">
        <w:rPr>
          <w:rFonts w:asciiTheme="minorHAnsi" w:hAnsiTheme="minorHAnsi" w:cstheme="minorHAnsi"/>
          <w:lang w:val="cy-GB"/>
        </w:rPr>
        <w:t xml:space="preserve">wrth fynd yn ôl i waith Skinner ar </w:t>
      </w:r>
      <w:r w:rsidR="00076F0D" w:rsidRPr="008F0B92">
        <w:rPr>
          <w:rFonts w:asciiTheme="minorHAnsi" w:hAnsiTheme="minorHAnsi" w:cstheme="minorHAnsi"/>
          <w:lang w:val="cy-GB"/>
        </w:rPr>
        <w:lastRenderedPageBreak/>
        <w:t>(Operant Behavior, 1963)</w:t>
      </w:r>
      <w:r w:rsidR="002118DE" w:rsidRPr="008F0B92">
        <w:rPr>
          <w:rFonts w:asciiTheme="minorHAnsi" w:hAnsiTheme="minorHAnsi" w:cstheme="minorHAnsi"/>
          <w:lang w:val="cy-GB"/>
        </w:rPr>
        <w:t xml:space="preserve"> mae’n cyffwrdd ar y syniad yma wrth iddo ddweud bod yna newud wedi digwydd pan newudodd ef y gair ‘reward’ i ‘reinforcmement’</w:t>
      </w:r>
      <w:r w:rsidR="002D55E8" w:rsidRPr="008F0B92">
        <w:rPr>
          <w:rFonts w:asciiTheme="minorHAnsi" w:hAnsiTheme="minorHAnsi" w:cstheme="minorHAnsi"/>
          <w:lang w:val="cy-GB"/>
        </w:rPr>
        <w:t>.</w:t>
      </w:r>
      <w:r w:rsidR="002118DE" w:rsidRPr="008F0B92">
        <w:rPr>
          <w:rFonts w:asciiTheme="minorHAnsi" w:hAnsiTheme="minorHAnsi" w:cstheme="minorHAnsi"/>
          <w:lang w:val="cy-GB"/>
        </w:rPr>
        <w:t xml:space="preserve"> </w:t>
      </w:r>
      <w:r w:rsidR="00397FE2" w:rsidRPr="008F0B92">
        <w:rPr>
          <w:rFonts w:asciiTheme="minorHAnsi" w:hAnsiTheme="minorHAnsi" w:cstheme="minorHAnsi"/>
          <w:lang w:val="cy-GB"/>
        </w:rPr>
        <w:t>Ei bwrpas dros hyn oedd bod gwobr yn awgrymu iawndal am ymddwyn mewn ffyrdd penodol, yn aml mewn ffyrdd cytundebol. Wrth ddefnyddio atgyfnerthu yn ei ystyr etymolegol mae hyn yn meddwl i gryfhau ymateb; sydd yn golygu bod newid mewn ymddygiad trwy atgyfnerthiad yn osgoi’r ffactor o ddibynnu ar wobrau</w:t>
      </w:r>
      <w:r w:rsidR="00397FE2" w:rsidRPr="008F0B92">
        <w:rPr>
          <w:rFonts w:asciiTheme="minorHAnsi" w:hAnsiTheme="minorHAnsi" w:cstheme="minorHAnsi"/>
          <w:lang w:val="cy-GB"/>
        </w:rPr>
        <w:t xml:space="preserve"> [</w:t>
      </w:r>
      <w:r w:rsidR="00A65C25" w:rsidRPr="008F0B92">
        <w:rPr>
          <w:rFonts w:asciiTheme="minorHAnsi" w:hAnsiTheme="minorHAnsi" w:cstheme="minorHAnsi"/>
          <w:lang w:val="cy-GB"/>
        </w:rPr>
        <w:t>7</w:t>
      </w:r>
      <w:r w:rsidR="00397FE2" w:rsidRPr="008F0B92">
        <w:rPr>
          <w:rFonts w:asciiTheme="minorHAnsi" w:hAnsiTheme="minorHAnsi" w:cstheme="minorHAnsi"/>
          <w:lang w:val="cy-GB"/>
        </w:rPr>
        <w:t xml:space="preserve">]. </w:t>
      </w:r>
      <w:r w:rsidR="00397FE2" w:rsidRPr="008F0B92">
        <w:rPr>
          <w:rFonts w:asciiTheme="minorHAnsi" w:hAnsiTheme="minorHAnsi" w:cstheme="minorHAnsi"/>
          <w:lang w:val="cy-GB"/>
        </w:rPr>
        <w:t>Codwyd (Richard E. May</w:t>
      </w:r>
      <w:r w:rsidR="00A65C25" w:rsidRPr="008F0B92">
        <w:rPr>
          <w:rFonts w:asciiTheme="minorHAnsi" w:hAnsiTheme="minorHAnsi" w:cstheme="minorHAnsi"/>
          <w:lang w:val="cy-GB"/>
        </w:rPr>
        <w:t>e</w:t>
      </w:r>
      <w:r w:rsidR="00397FE2" w:rsidRPr="008F0B92">
        <w:rPr>
          <w:rFonts w:asciiTheme="minorHAnsi" w:hAnsiTheme="minorHAnsi" w:cstheme="minorHAnsi"/>
          <w:lang w:val="cy-GB"/>
        </w:rPr>
        <w:t>r) dadl arall sydd yn gysylltiedig gyda defnyddio cyflyru gweithredol yn addysg, dadleuwyd bod yna drafferth gyda’r meddylfryd wrth awgrymu bod dysgu’n digwydd o ganlyniad i ymatebion yn hytrach nag o ganlyniad i awydd i ddysgu [</w:t>
      </w:r>
      <w:r w:rsidR="00A65C25" w:rsidRPr="008F0B92">
        <w:rPr>
          <w:rFonts w:asciiTheme="minorHAnsi" w:hAnsiTheme="minorHAnsi" w:cstheme="minorHAnsi"/>
          <w:lang w:val="cy-GB"/>
        </w:rPr>
        <w:t>10</w:t>
      </w:r>
      <w:r w:rsidR="00397FE2" w:rsidRPr="008F0B92">
        <w:rPr>
          <w:rFonts w:asciiTheme="minorHAnsi" w:hAnsiTheme="minorHAnsi" w:cstheme="minorHAnsi"/>
          <w:lang w:val="cy-GB"/>
        </w:rPr>
        <w:t>]. Ond yn dweud hyn arsylwodd Estyn ar ysgol oedd wedi mabwysiadu rhaglen yn seiliedig ar wobrau a chlod, mewn ymateb i’r problemau ymddygiadol yn yr ysgol. Effaith y rhaglen hon oedd bod myfyriwr yr ysgol wedi galli reoli eu hymddygiad yn llwyddiannus, ac o ganlyniad oedd y disgyblion hynny oedd gyda phroblemau ymddygiadol, wedi dechrau mynychu’r ysgol yn fwy rheolaidd a thrin eraill gyda pharch.</w:t>
      </w:r>
      <w:r w:rsidR="00397FE2" w:rsidRPr="008F0B92">
        <w:rPr>
          <w:rFonts w:asciiTheme="minorHAnsi" w:hAnsiTheme="minorHAnsi" w:cstheme="minorHAnsi"/>
          <w:lang w:val="cy-GB"/>
        </w:rPr>
        <w:t xml:space="preserve"> </w:t>
      </w:r>
      <w:r w:rsidR="00397FE2" w:rsidRPr="008F0B92">
        <w:rPr>
          <w:rFonts w:asciiTheme="minorHAnsi" w:hAnsiTheme="minorHAnsi" w:cstheme="minorHAnsi"/>
          <w:lang w:val="cy-GB"/>
        </w:rPr>
        <w:t>Roeddwn nhw hefyd wedi dechrau cymryd baich dros ei addysg trwy fynychu colegau a lleoliadau profiad gwaith. Wrth i’r disgyblion ddangos gwellhad yn eu hymddygiad, yn academaidd, ac yn gymdeithasol oeddent yn medru cael mynediad at ystod ehangach o weithgareddau atgyfnerthu</w:t>
      </w:r>
      <w:r w:rsidR="00397FE2" w:rsidRPr="008F0B92">
        <w:rPr>
          <w:rFonts w:asciiTheme="minorHAnsi" w:hAnsiTheme="minorHAnsi" w:cstheme="minorHAnsi"/>
          <w:lang w:val="cy-GB"/>
        </w:rPr>
        <w:t>, ond a</w:t>
      </w:r>
      <w:r w:rsidR="00397FE2" w:rsidRPr="008F0B92">
        <w:rPr>
          <w:rFonts w:asciiTheme="minorHAnsi" w:hAnsiTheme="minorHAnsi" w:cstheme="minorHAnsi"/>
          <w:lang w:val="cy-GB"/>
        </w:rPr>
        <w:t>r yr un pryd, oedd y disgyblion yn treulio mwy o amser ar dasgau academaidd a llai ar weithgareddau gwobrwyo, i wneud yn siŵr i gadw awydd ddysgu disgyblion yn uchel [1</w:t>
      </w:r>
      <w:r w:rsidR="00A65C25" w:rsidRPr="008F0B92">
        <w:rPr>
          <w:rFonts w:asciiTheme="minorHAnsi" w:hAnsiTheme="minorHAnsi" w:cstheme="minorHAnsi"/>
          <w:lang w:val="cy-GB"/>
        </w:rPr>
        <w:t>1</w:t>
      </w:r>
      <w:r w:rsidR="00397FE2" w:rsidRPr="008F0B92">
        <w:rPr>
          <w:rFonts w:asciiTheme="minorHAnsi" w:hAnsiTheme="minorHAnsi" w:cstheme="minorHAnsi"/>
          <w:lang w:val="cy-GB"/>
        </w:rPr>
        <w:t>].</w:t>
      </w:r>
      <w:r w:rsidR="00E8101D" w:rsidRPr="008F0B92">
        <w:rPr>
          <w:rFonts w:asciiTheme="minorHAnsi" w:hAnsiTheme="minorHAnsi" w:cstheme="minorHAnsi"/>
          <w:lang w:val="cy-GB"/>
        </w:rPr>
        <w:t>Mae’r llenyddiaeth o gwmpas gwaith (Robert Gagné, 1985) hefyd yn hanfodol i gymryd mewn i ystyriaeth, yn ei waith ar ‘Instructions and the Conditions of Learning’ mae’n trafod model a dylinwyd yn seiliedig ar egwyddorion cyflyru gweithredol. Cynigwyd yn ei waith y dylai gweithgareddau yn y dosbarth hyrwyddo gwahanol fathau o ddeilliannau dysgu trwy ymgorffori sgiliau megis, sgiliau deallusol a gwybodaeth lafar trwy ddefnyddio amryw o strategaethau cyfarwyddiadol.Beth ddadleuwyd Gagné yw wrth ddefnyddio cyflyru gweithredol, mae sgiliau deall cyfarwyddiadau yn medru gwella os yw disgyblion yn cael ei chanmol am wrando, mae hyn yna yn naturiol yn dysgu disgyblion i alli ddehongli sgiliau gwrando a siarad [1</w:t>
      </w:r>
      <w:r w:rsidR="00A65C25" w:rsidRPr="008F0B92">
        <w:rPr>
          <w:rFonts w:asciiTheme="minorHAnsi" w:hAnsiTheme="minorHAnsi" w:cstheme="minorHAnsi"/>
          <w:lang w:val="cy-GB"/>
        </w:rPr>
        <w:t>2</w:t>
      </w:r>
      <w:r w:rsidR="00E8101D" w:rsidRPr="008F0B92">
        <w:rPr>
          <w:rFonts w:asciiTheme="minorHAnsi" w:hAnsiTheme="minorHAnsi" w:cstheme="minorHAnsi"/>
          <w:lang w:val="cy-GB"/>
        </w:rPr>
        <w:t xml:space="preserve">].Yr hyn y gallwn ddod i gasgliad ohono trwy edrych ar ddadleuon y llenyddiaeth y soniwyd amdani, yw bod defnyddio canmol a gwobrwyo yn medru fod yn ddull llwyddiannus iawn i gyflyru ymddygiad delfrydol yn ddisgyblion; ond fel y codwyd a ydy’r digwyddiad critigol yma yn fwy effeithiol ar gyfer rheoli ymddygiad na dysgu? A Ydi’r digwyddiad critigol yma yn ffocysu disgyblion yn fwy ar dderbyn rhywbeth na fod yn awyddus i ddysgu? Wrth ddadansoddi'r ffactorau cadarnhaol </w:t>
      </w:r>
      <w:r w:rsidR="00E8101D" w:rsidRPr="008F0B92">
        <w:rPr>
          <w:rFonts w:asciiTheme="minorHAnsi" w:hAnsiTheme="minorHAnsi" w:cstheme="minorHAnsi"/>
          <w:lang w:val="cy-GB"/>
        </w:rPr>
        <w:lastRenderedPageBreak/>
        <w:t>wedi</w:t>
      </w:r>
      <w:r w:rsidR="00E8101D" w:rsidRPr="008F0B92">
        <w:rPr>
          <w:rFonts w:asciiTheme="minorHAnsi" w:hAnsiTheme="minorHAnsi" w:cstheme="minorHAnsi"/>
          <w:lang w:val="cy-GB"/>
        </w:rPr>
        <w:t>’i g</w:t>
      </w:r>
      <w:r w:rsidR="00E8101D" w:rsidRPr="008F0B92">
        <w:rPr>
          <w:rFonts w:asciiTheme="minorHAnsi" w:hAnsiTheme="minorHAnsi" w:cstheme="minorHAnsi"/>
          <w:lang w:val="cy-GB"/>
        </w:rPr>
        <w:t>ymryd oddi o’r llenyddiaeth, allwn ddeall bod gwella ymddygiad yn y dosbarth yn medru hybu cymhelliad a awyddid disgyblion i ddysgu trwy greu amgylchedd gwell i’r dosbarth i ddysgu yn. Trwy wella ffactorau sylfaenol fel ymddygiad, mae addysg disgyblion yna yn medru gwella, gan ei fod yn lleihau ffactora sy’n tynnu sylw yn y dosbarth.</w:t>
      </w:r>
    </w:p>
    <w:p w14:paraId="70B5D144" w14:textId="77777777" w:rsidR="003001E6" w:rsidRPr="008F0B92" w:rsidRDefault="003001E6" w:rsidP="008F0B92">
      <w:pPr>
        <w:spacing w:line="360" w:lineRule="auto"/>
        <w:textAlignment w:val="baseline"/>
        <w:rPr>
          <w:rFonts w:asciiTheme="minorHAnsi" w:hAnsiTheme="minorHAnsi" w:cstheme="minorHAnsi"/>
          <w:lang w:val="cy-GB"/>
        </w:rPr>
      </w:pPr>
    </w:p>
    <w:p w14:paraId="35D602A5" w14:textId="77777777" w:rsidR="00E27BEA" w:rsidRPr="008F0B92" w:rsidRDefault="00E27BEA" w:rsidP="008F0B92">
      <w:pPr>
        <w:spacing w:line="360" w:lineRule="auto"/>
        <w:textAlignment w:val="baseline"/>
        <w:rPr>
          <w:rFonts w:asciiTheme="minorHAnsi" w:hAnsiTheme="minorHAnsi" w:cstheme="minorHAnsi"/>
          <w:u w:val="single"/>
          <w:lang w:val="cy-GB"/>
        </w:rPr>
      </w:pPr>
    </w:p>
    <w:p w14:paraId="2491528F" w14:textId="25F4A7CC" w:rsidR="003E5357" w:rsidRPr="008F0B92" w:rsidRDefault="00F7118D" w:rsidP="008F0B92">
      <w:pPr>
        <w:spacing w:line="360" w:lineRule="auto"/>
        <w:textAlignment w:val="baseline"/>
        <w:rPr>
          <w:rFonts w:asciiTheme="minorHAnsi" w:hAnsiTheme="minorHAnsi" w:cstheme="minorHAnsi"/>
          <w:u w:val="single"/>
          <w:lang w:val="cy-GB"/>
        </w:rPr>
      </w:pPr>
      <w:r w:rsidRPr="008F0B92">
        <w:rPr>
          <w:rFonts w:asciiTheme="minorHAnsi" w:hAnsiTheme="minorHAnsi" w:cstheme="minorHAnsi"/>
          <w:u w:val="single"/>
          <w:lang w:val="cy-GB"/>
        </w:rPr>
        <w:t>Astudiaeth Achos</w:t>
      </w:r>
    </w:p>
    <w:p w14:paraId="6253CF5F" w14:textId="77777777" w:rsidR="006E3B11" w:rsidRPr="008F0B92" w:rsidRDefault="006E3B11" w:rsidP="008F0B92">
      <w:pPr>
        <w:spacing w:line="360" w:lineRule="auto"/>
        <w:textAlignment w:val="baseline"/>
        <w:rPr>
          <w:rFonts w:asciiTheme="minorHAnsi" w:hAnsiTheme="minorHAnsi" w:cstheme="minorHAnsi"/>
          <w:u w:val="single"/>
          <w:lang w:val="cy-GB"/>
        </w:rPr>
      </w:pPr>
    </w:p>
    <w:p w14:paraId="5B81BEB2" w14:textId="166EF9CA" w:rsidR="00962915" w:rsidRPr="008F0B92" w:rsidRDefault="00FD37B6" w:rsidP="008F0B92">
      <w:pPr>
        <w:spacing w:line="360" w:lineRule="auto"/>
        <w:textAlignment w:val="baseline"/>
        <w:rPr>
          <w:rFonts w:asciiTheme="minorHAnsi" w:hAnsiTheme="minorHAnsi" w:cstheme="minorHAnsi"/>
          <w:lang w:val="cy-GB"/>
        </w:rPr>
      </w:pPr>
      <w:r w:rsidRPr="008F0B92">
        <w:rPr>
          <w:rFonts w:asciiTheme="minorHAnsi" w:hAnsiTheme="minorHAnsi" w:cstheme="minorHAnsi"/>
          <w:lang w:val="cy-GB"/>
        </w:rPr>
        <w:t>Mae’r digwyddiad critigol rwyf wedi arsylwi arno, wedi’i gymryd o fideo a darparwyd gan ysgol cyfrwng y Gymraeg. Mi fydd yr ysgol a ddarparwyd y fideo yn aros yn anhysbys. Darparwyd yr ysgol fideo o wers mathemateg oedd yn cynnwys tua 24 disgybl o flwyddyn wyth, lle oedd pawb o allu gwahanol. Wrth i’r fideo mynd yn ei flaen daeth y defnydd o ganmol a gwobrwyo yn amlwg iawn yn ystod y wers. Gyda’r digwyddiad cyntaf yn cymryd lle tua saith munud i mewn i’r fideo. Y digwyddiad hwn oedd bod yr athrawes wedi rhoi canmoliaeth i’r disgyblion oedd wedi ceisio ateb y cwestiwn fwyaf heriol. Beth allwn ddod i gasgliad gyda hyn wrth feddwl am y llenyddiaeth yr ydym wedi’i drafod yw</w:t>
      </w:r>
      <w:r w:rsidRPr="008F0B92">
        <w:rPr>
          <w:rFonts w:asciiTheme="minorHAnsi" w:hAnsiTheme="minorHAnsi" w:cstheme="minorHAnsi"/>
          <w:lang w:val="cy-GB"/>
        </w:rPr>
        <w:t xml:space="preserve"> bod </w:t>
      </w:r>
      <w:r w:rsidRPr="008F0B92">
        <w:rPr>
          <w:rFonts w:asciiTheme="minorHAnsi" w:hAnsiTheme="minorHAnsi" w:cstheme="minorHAnsi"/>
          <w:lang w:val="cy-GB"/>
        </w:rPr>
        <w:t>yr athrawes yn ceisio cael pob disgybl i anelu at ateb y cwestiynau fwyaf heriol trwy ddefnyddio canmol neu wobr er mwyn cymell disgyblion i wthio eu hunain yn academaidd.</w:t>
      </w:r>
      <w:r w:rsidR="00962915" w:rsidRPr="008F0B92">
        <w:rPr>
          <w:rFonts w:asciiTheme="minorHAnsi" w:hAnsiTheme="minorHAnsi" w:cstheme="minorHAnsi"/>
          <w:lang w:val="cy-GB"/>
        </w:rPr>
        <w:t xml:space="preserve"> </w:t>
      </w:r>
      <w:r w:rsidR="00962915" w:rsidRPr="008F0B92">
        <w:rPr>
          <w:rFonts w:asciiTheme="minorHAnsi" w:hAnsiTheme="minorHAnsi" w:cstheme="minorHAnsi"/>
          <w:lang w:val="cy-GB"/>
        </w:rPr>
        <w:t>Wrth wneud hyn mae’r athrawes yn ei wers yn cymhwyso’r cwricwlwm newydd yn enwedig pedwar diben Donaldson trwy geisio sicrhau bod disgyblion yn anelu i fod yn ‘ddysgwyr uchelgeisiol’[</w:t>
      </w:r>
      <w:r w:rsidR="00A65C25" w:rsidRPr="008F0B92">
        <w:rPr>
          <w:rFonts w:asciiTheme="minorHAnsi" w:hAnsiTheme="minorHAnsi" w:cstheme="minorHAnsi"/>
          <w:lang w:val="cy-GB"/>
        </w:rPr>
        <w:t>3</w:t>
      </w:r>
      <w:r w:rsidR="00962915" w:rsidRPr="008F0B92">
        <w:rPr>
          <w:rFonts w:asciiTheme="minorHAnsi" w:hAnsiTheme="minorHAnsi" w:cstheme="minorHAnsi"/>
          <w:lang w:val="cy-GB"/>
        </w:rPr>
        <w:t>]. Er hyn effaith negyddol bosibl all digwydd o ganlyniad i hwn yw bod yr athrawes yn edrych fel ei bod hi yn cymharu disgyblion, neu ffafri rhai dros eraill [1</w:t>
      </w:r>
      <w:r w:rsidR="00A65C25" w:rsidRPr="008F0B92">
        <w:rPr>
          <w:rFonts w:asciiTheme="minorHAnsi" w:hAnsiTheme="minorHAnsi" w:cstheme="minorHAnsi"/>
          <w:lang w:val="cy-GB"/>
        </w:rPr>
        <w:t>3</w:t>
      </w:r>
      <w:r w:rsidR="00962915" w:rsidRPr="008F0B92">
        <w:rPr>
          <w:rFonts w:asciiTheme="minorHAnsi" w:hAnsiTheme="minorHAnsi" w:cstheme="minorHAnsi"/>
          <w:lang w:val="cy-GB"/>
        </w:rPr>
        <w:t>]; fod</w:t>
      </w:r>
      <w:r w:rsidR="00962915" w:rsidRPr="008F0B92">
        <w:rPr>
          <w:rFonts w:asciiTheme="minorHAnsi" w:hAnsiTheme="minorHAnsi" w:cstheme="minorHAnsi"/>
          <w:lang w:val="cy-GB"/>
        </w:rPr>
        <w:t>d</w:t>
      </w:r>
      <w:r w:rsidR="00962915" w:rsidRPr="008F0B92">
        <w:rPr>
          <w:rFonts w:asciiTheme="minorHAnsi" w:hAnsiTheme="minorHAnsi" w:cstheme="minorHAnsi"/>
          <w:lang w:val="cy-GB"/>
        </w:rPr>
        <w:t xml:space="preserve"> bynnag, yn y wers mae’r athrawes yn rhoi canmoliaethau allan eto o gwmpas y marc 16 munud. Y tro yma mae’r plant sy’n rhoi llaw i fynnu er mwyn cynnig ateb ac yn cael yr ateb yn gywir yn cael pwynt clod. Ar ben hyn mae’r athrawes yn defnyddio cyfuniad o’r defnydd o law i fyny a galw plant ar hap i sicrhau fod pawb yn cael yr un tegwch i ateb cwestiwn, er mwyn iddynt gael tro ar ennill canmoliaeth.</w:t>
      </w:r>
    </w:p>
    <w:p w14:paraId="04A4EDE1" w14:textId="77777777" w:rsidR="00962915" w:rsidRPr="008F0B92" w:rsidRDefault="00962915" w:rsidP="008F0B92">
      <w:pPr>
        <w:spacing w:line="360" w:lineRule="auto"/>
        <w:textAlignment w:val="baseline"/>
        <w:rPr>
          <w:rFonts w:asciiTheme="minorHAnsi" w:hAnsiTheme="minorHAnsi" w:cstheme="minorHAnsi"/>
          <w:lang w:val="cy-GB"/>
        </w:rPr>
      </w:pPr>
    </w:p>
    <w:p w14:paraId="000EE271" w14:textId="6D0ECBB3" w:rsidR="009A175C" w:rsidRPr="008F0B92" w:rsidRDefault="00962915" w:rsidP="008F0B92">
      <w:pPr>
        <w:spacing w:line="360" w:lineRule="auto"/>
        <w:textAlignment w:val="baseline"/>
        <w:rPr>
          <w:rFonts w:asciiTheme="minorHAnsi" w:hAnsiTheme="minorHAnsi" w:cstheme="minorHAnsi"/>
          <w:lang w:val="cy-GB"/>
        </w:rPr>
      </w:pPr>
      <w:r w:rsidRPr="008F0B92">
        <w:rPr>
          <w:rFonts w:asciiTheme="minorHAnsi" w:hAnsiTheme="minorHAnsi" w:cstheme="minorHAnsi"/>
          <w:lang w:val="cy-GB"/>
        </w:rPr>
        <w:t xml:space="preserve">Arsylwad arall oedd trwy gydol y wers mae’r athrawes yn rhoi canmol ar lafar wrth ddweud ‘gwych’ pan fod disgyblion yn rhoi cynnig ar ateb ac yn cael yr ateb yn gywir. Mae’r defnydd o ganmol yma yn medru gwneud i’r disgyblion sylweddoli bod nhw’n gwneud y gwaith yn iawn a'u fod nhw’n deall, sydd yna yn medru codi hyder ddisgyblion, a’u gwneud yn fwy </w:t>
      </w:r>
      <w:r w:rsidRPr="008F0B92">
        <w:rPr>
          <w:rFonts w:asciiTheme="minorHAnsi" w:hAnsiTheme="minorHAnsi" w:cstheme="minorHAnsi"/>
          <w:lang w:val="cy-GB"/>
        </w:rPr>
        <w:lastRenderedPageBreak/>
        <w:t>tueddol i gyfranogi wrth ateb mwy o gwestiynau, yn y dosbarth roedd y plant oedd yn cynnig ateb ac yn cael yn iawn ac yn cael gwybod trwy’r atgyfnerthiad ‘gwych’, yna yn cynnig neu yn rhoi ei ddwylo lan er mwyn ceisio ateb fwy o gwestiynau. Os oedd y disgybl heb gael yr ateb yn iawn y tro cyntaf  roedd yr athrawes yna yn scafaldu er mwyn arwain y disgybl ar y trywydd iawn i ganfod yr ateb cywir, ac yna yn ei chanmol gyda ‘gwych’.</w:t>
      </w:r>
      <w:r w:rsidRPr="008F0B92">
        <w:rPr>
          <w:rFonts w:asciiTheme="minorHAnsi" w:hAnsiTheme="minorHAnsi" w:cstheme="minorHAnsi"/>
        </w:rPr>
        <w:t xml:space="preserve"> </w:t>
      </w:r>
      <w:r w:rsidRPr="008F0B92">
        <w:rPr>
          <w:rFonts w:asciiTheme="minorHAnsi" w:hAnsiTheme="minorHAnsi" w:cstheme="minorHAnsi"/>
          <w:lang w:val="cy-GB"/>
        </w:rPr>
        <w:t>Roedd hyn yn digwydd llawer gydag un unigol yn y dosbarth oedd yn dangos ychydig o broblemau ymddygiadol, nid yn unig oedd yr athrawes yn scafaldu ac yn ei ganmol wrth gael ateb yn iawn a’i gwnaeth yn debycach o geisio ateb cwestiwn, ond pan wnaeth ateb sawl cwestiwn ar ôl ei gilydd yn iawn, dywed yr athrawes ‘ti ar rôl’ oedd nid yn unig yn eu canmol ar lafar, ond hefyd yn rhoi geiriau o anogaeth i’r disgybl. Yn y fan yma, beth mae’r defnydd o ganmol a gwobrwyo wedi gwneud yw dangos i’r dosbarth os ydynt yn cymryd rhan maent yn meithrin perthynas dda gyda’r athrawes, gan ei bod hi yn ymateb mewn ffyrdd positif. Fyrdd o gyflyru yw hyn gan fod y disgyblion yn cysylltu ymateb postif’ gan yr athrawes gyda chymryd rhan yn y dosbarth, oedd hyn yna yn hybu fwy o ddisgyblion i geisio rhoi cynnig ar ateb a chyfrannu i drafodaeth y dosbarth</w:t>
      </w:r>
      <w:r w:rsidR="00A65C25" w:rsidRPr="008F0B92">
        <w:rPr>
          <w:rFonts w:asciiTheme="minorHAnsi" w:hAnsiTheme="minorHAnsi" w:cstheme="minorHAnsi"/>
          <w:lang w:val="cy-GB"/>
        </w:rPr>
        <w:t xml:space="preserve"> [14]</w:t>
      </w:r>
      <w:r w:rsidRPr="008F0B92">
        <w:rPr>
          <w:rFonts w:asciiTheme="minorHAnsi" w:hAnsiTheme="minorHAnsi" w:cstheme="minorHAnsi"/>
          <w:lang w:val="cy-GB"/>
        </w:rPr>
        <w:t>.</w:t>
      </w:r>
      <w:r w:rsidR="00167623" w:rsidRPr="008F0B92">
        <w:rPr>
          <w:rFonts w:asciiTheme="minorHAnsi" w:hAnsiTheme="minorHAnsi" w:cstheme="minorHAnsi"/>
          <w:lang w:val="cy-GB"/>
        </w:rPr>
        <w:t xml:space="preserve"> </w:t>
      </w:r>
      <w:r w:rsidR="00167623" w:rsidRPr="008F0B92">
        <w:rPr>
          <w:rFonts w:asciiTheme="minorHAnsi" w:hAnsiTheme="minorHAnsi" w:cstheme="minorHAnsi"/>
          <w:lang w:val="cy-GB"/>
        </w:rPr>
        <w:t>Ffactor arall a godwyd wrth arsylwi ar y fideo yw bod y defnydd o ganmol neu wobrwyo yn gynnil iawn, mae’n digwydd yn esmwyth heb amharu ar nod y wers, a heb i deimlo’n orfodol. Sydd yn gwneud y defnydd o glod a chanmol yn ffactor bwysig yn addysgeg athrawon gan ei fod yn ffactor sydd gyda manteision mawr ac sydd yn medru cael ei defnyddio o fewn gwers heb dynnu sylw disgyblion ato.</w:t>
      </w:r>
    </w:p>
    <w:p w14:paraId="228100FE" w14:textId="77777777" w:rsidR="00743658" w:rsidRPr="008F0B92" w:rsidRDefault="00743658" w:rsidP="008F0B92">
      <w:pPr>
        <w:spacing w:line="360" w:lineRule="auto"/>
        <w:textAlignment w:val="baseline"/>
        <w:rPr>
          <w:rFonts w:asciiTheme="minorHAnsi" w:hAnsiTheme="minorHAnsi" w:cstheme="minorHAnsi"/>
          <w:u w:val="single"/>
          <w:lang w:val="cy-GB"/>
        </w:rPr>
      </w:pPr>
    </w:p>
    <w:p w14:paraId="704B5873" w14:textId="5D1C51F5" w:rsidR="009A175C" w:rsidRPr="008F0B92" w:rsidRDefault="009A175C" w:rsidP="008F0B92">
      <w:pPr>
        <w:spacing w:line="360" w:lineRule="auto"/>
        <w:textAlignment w:val="baseline"/>
        <w:rPr>
          <w:rFonts w:asciiTheme="minorHAnsi" w:hAnsiTheme="minorHAnsi" w:cstheme="minorHAnsi"/>
          <w:u w:val="single"/>
          <w:lang w:val="cy-GB"/>
        </w:rPr>
      </w:pPr>
      <w:r w:rsidRPr="008F0B92">
        <w:rPr>
          <w:rFonts w:asciiTheme="minorHAnsi" w:hAnsiTheme="minorHAnsi" w:cstheme="minorHAnsi"/>
          <w:u w:val="single"/>
          <w:lang w:val="cy-GB"/>
        </w:rPr>
        <w:t xml:space="preserve">Dulliau Dysgu ac Addysgu </w:t>
      </w:r>
    </w:p>
    <w:p w14:paraId="6A63B613" w14:textId="77777777" w:rsidR="00903952" w:rsidRPr="008F0B92" w:rsidRDefault="00903952" w:rsidP="008F0B92">
      <w:pPr>
        <w:spacing w:line="360" w:lineRule="auto"/>
        <w:textAlignment w:val="baseline"/>
        <w:rPr>
          <w:rFonts w:asciiTheme="minorHAnsi" w:hAnsiTheme="minorHAnsi" w:cstheme="minorHAnsi"/>
          <w:lang w:val="cy-GB"/>
        </w:rPr>
      </w:pPr>
    </w:p>
    <w:p w14:paraId="13E7051B" w14:textId="59672621" w:rsidR="00D15181" w:rsidRPr="008F0B92" w:rsidRDefault="00903952" w:rsidP="008F0B92">
      <w:pPr>
        <w:spacing w:line="360" w:lineRule="auto"/>
        <w:textAlignment w:val="baseline"/>
        <w:rPr>
          <w:rFonts w:asciiTheme="minorHAnsi" w:hAnsiTheme="minorHAnsi" w:cstheme="minorHAnsi"/>
          <w:color w:val="1F1F1F"/>
          <w:lang w:val="cy-GB"/>
        </w:rPr>
      </w:pPr>
      <w:r w:rsidRPr="008F0B92">
        <w:rPr>
          <w:rFonts w:asciiTheme="minorHAnsi" w:hAnsiTheme="minorHAnsi" w:cstheme="minorHAnsi"/>
          <w:lang w:val="cy-GB"/>
        </w:rPr>
        <w:t>Wrth ganolbwyntio ar y defnydd o ganmol a  gwobrwyo yn y dosbarth, mae hi’n hanfodol i edrych ar beth all hyn gwneud i gynnydd addysg blant, a sut y medrwn fesur y cynnydd yma. Er mwyn ennill dealltwriaeth ar hyn rhaid troi at fodelau adfyfyrio i geisio gwella ein dysgu ac addysgu. Wrth edrych ar y defnydd o ganmol a gwobrwyo, rydym wedi canfod bod yna bethau cadarnhaol a negyddol trwy ei weithredu yn y dosbarth. Er enghraifft wrth edych yn ôl at beth ddywed (George G. Bear, Johanna Homan &amp; Sydney Morales) [1</w:t>
      </w:r>
      <w:r w:rsidR="00045B75" w:rsidRPr="008F0B92">
        <w:rPr>
          <w:rFonts w:asciiTheme="minorHAnsi" w:hAnsiTheme="minorHAnsi" w:cstheme="minorHAnsi"/>
          <w:lang w:val="cy-GB"/>
        </w:rPr>
        <w:t>3</w:t>
      </w:r>
      <w:r w:rsidRPr="008F0B92">
        <w:rPr>
          <w:rFonts w:asciiTheme="minorHAnsi" w:hAnsiTheme="minorHAnsi" w:cstheme="minorHAnsi"/>
          <w:lang w:val="cy-GB"/>
        </w:rPr>
        <w:t>], am gymhelliant anghenid (extrinsic motivation), ble mae’r disgybl yn tueddu arddangos agwedd dymunol dim ond y pryd maent yn disgwyl gwobr neu gosb; er mwyn geisio atal hyn rhag digwydd rhaid myfyrio er mwyn sicrhau bod plant yn dangos cynnydd yn ymddygiad ac yn ei waith yn hytrach na gostyngiad, rhaid troi at theori er mwyn myfyrio.</w:t>
      </w:r>
      <w:r w:rsidRPr="008F0B92">
        <w:rPr>
          <w:rFonts w:asciiTheme="minorHAnsi" w:hAnsiTheme="minorHAnsi" w:cstheme="minorHAnsi"/>
          <w:lang w:val="cy-GB"/>
        </w:rPr>
        <w:t xml:space="preserve"> </w:t>
      </w:r>
      <w:r w:rsidRPr="008F0B92">
        <w:rPr>
          <w:rFonts w:asciiTheme="minorHAnsi" w:hAnsiTheme="minorHAnsi" w:cstheme="minorHAnsi"/>
          <w:color w:val="1F1F1F"/>
          <w:lang w:val="cy-GB"/>
        </w:rPr>
        <w:t xml:space="preserve">Mae yna bedwar prif </w:t>
      </w:r>
      <w:r w:rsidRPr="008F0B92">
        <w:rPr>
          <w:rFonts w:asciiTheme="minorHAnsi" w:hAnsiTheme="minorHAnsi" w:cstheme="minorHAnsi"/>
          <w:color w:val="1F1F1F"/>
          <w:lang w:val="cy-GB"/>
        </w:rPr>
        <w:lastRenderedPageBreak/>
        <w:t>fodel wedi i greu ar gyfer gwella dysgu athrawon. Dadleuwyd (David Kolb, 1975 a 1984) taw'r ffordd gorau o adfyfyrio oedd profi rhywbeth, yna i feddwl am y profiad hwnnw, wedyn i ddysgu o’r profiad, ac yn olaf rhoi’r hyn yr ydych wedi ei ddysgu yn eich arfer [1</w:t>
      </w:r>
      <w:r w:rsidR="006317AC" w:rsidRPr="008F0B92">
        <w:rPr>
          <w:rFonts w:asciiTheme="minorHAnsi" w:hAnsiTheme="minorHAnsi" w:cstheme="minorHAnsi"/>
          <w:color w:val="1F1F1F"/>
          <w:lang w:val="cy-GB"/>
        </w:rPr>
        <w:t>5</w:t>
      </w:r>
      <w:r w:rsidRPr="008F0B92">
        <w:rPr>
          <w:rFonts w:asciiTheme="minorHAnsi" w:hAnsiTheme="minorHAnsi" w:cstheme="minorHAnsi"/>
          <w:color w:val="1F1F1F"/>
          <w:lang w:val="cy-GB"/>
        </w:rPr>
        <w:t>]; i dreialu ffordd newydd o ddysgu er mwyn deall a dethol beth sy’n helpu disgyblion i wella yn academiaeth ac fel i fod yn ‘ddinasyddion egwyddorol, gwybodus yng Nghymru a’r byd’ [</w:t>
      </w:r>
      <w:r w:rsidR="006317AC" w:rsidRPr="008F0B92">
        <w:rPr>
          <w:rFonts w:asciiTheme="minorHAnsi" w:hAnsiTheme="minorHAnsi" w:cstheme="minorHAnsi"/>
          <w:color w:val="1F1F1F"/>
          <w:lang w:val="cy-GB"/>
        </w:rPr>
        <w:t>3</w:t>
      </w:r>
      <w:r w:rsidRPr="008F0B92">
        <w:rPr>
          <w:rFonts w:asciiTheme="minorHAnsi" w:hAnsiTheme="minorHAnsi" w:cstheme="minorHAnsi"/>
          <w:color w:val="1F1F1F"/>
          <w:lang w:val="cy-GB"/>
        </w:rPr>
        <w:t>]. Un o gryfderau’r damcaniaeth Kolb yw ei fod yn annog profi a methu er mwyn i athrawon medru adolygu’n gyson ar eu haddysgu ac i barhau i ddiweddaru eu haddysgeg. Ar y llaw arall Dadleuwyd (Donald Schön, 1978) theori debyg, ond gyda 2 cam adfyfyrio yn hytrach na phedwar, dywed Schön, bod yn gyntaf angen myfyrio ar yr adeg y mae’r digwyddiad yn digwydd trwy feddwl am y profiad ei hun yn ystod y digwyddiad, yna penderfynu sut i weithredu ar y pryd.</w:t>
      </w:r>
      <w:r w:rsidRPr="008F0B92">
        <w:rPr>
          <w:rFonts w:asciiTheme="minorHAnsi" w:hAnsiTheme="minorHAnsi" w:cstheme="minorHAnsi"/>
        </w:rPr>
        <w:t xml:space="preserve"> </w:t>
      </w:r>
      <w:r w:rsidRPr="008F0B92">
        <w:rPr>
          <w:rFonts w:asciiTheme="minorHAnsi" w:hAnsiTheme="minorHAnsi" w:cstheme="minorHAnsi"/>
          <w:color w:val="1F1F1F"/>
          <w:lang w:val="cy-GB"/>
        </w:rPr>
        <w:t>Ei ail gam oedd myfyrio ar ôl y digwyddiad, trwy fyfyrio ar rywbeth sydd wedi digwydd, meddwl beth allech chi ei wneud yn wahanol pe bai’n digwydd eto, ac yna cymhwyso’r wybodaeth newydd a ddysgwyd [1</w:t>
      </w:r>
      <w:r w:rsidR="006317AC" w:rsidRPr="008F0B92">
        <w:rPr>
          <w:rFonts w:asciiTheme="minorHAnsi" w:hAnsiTheme="minorHAnsi" w:cstheme="minorHAnsi"/>
          <w:color w:val="1F1F1F"/>
          <w:lang w:val="cy-GB"/>
        </w:rPr>
        <w:t>6</w:t>
      </w:r>
      <w:r w:rsidRPr="008F0B92">
        <w:rPr>
          <w:rFonts w:asciiTheme="minorHAnsi" w:hAnsiTheme="minorHAnsi" w:cstheme="minorHAnsi"/>
          <w:color w:val="1F1F1F"/>
          <w:lang w:val="cy-GB"/>
        </w:rPr>
        <w:t>]. Un broblem gyda theori Schön, yw ei fod yn anodd iawn i weithredu ar y pryd gyda chanmol a gwobrwyo, oherwydd nid allwch ei gymryd yn ôl ar ôl ei roi. Ar ben theori Kolb, y damcaniaeth mwyaf perthnasol imi er mwyn medru adfyfyrio ar y defnydd o ganmol a gwobrwyo yw damcaniaeth (Brookfield 1998 &amp; 2005).</w:t>
      </w:r>
    </w:p>
    <w:p w14:paraId="4D9D089F" w14:textId="77777777" w:rsidR="00903952" w:rsidRPr="008F0B92" w:rsidRDefault="00903952" w:rsidP="008F0B92">
      <w:pPr>
        <w:spacing w:line="360" w:lineRule="auto"/>
        <w:textAlignment w:val="baseline"/>
        <w:rPr>
          <w:rFonts w:asciiTheme="minorHAnsi" w:hAnsiTheme="minorHAnsi" w:cstheme="minorHAnsi"/>
          <w:color w:val="1F1F1F"/>
          <w:lang w:val="cy-GB"/>
        </w:rPr>
      </w:pPr>
    </w:p>
    <w:p w14:paraId="1B94487D" w14:textId="7BD31447" w:rsidR="00CC4D4D" w:rsidRPr="008F0B92" w:rsidRDefault="00D12711" w:rsidP="008F0B92">
      <w:pPr>
        <w:spacing w:line="360" w:lineRule="auto"/>
        <w:textAlignment w:val="baseline"/>
        <w:rPr>
          <w:rFonts w:asciiTheme="minorHAnsi" w:hAnsiTheme="minorHAnsi" w:cstheme="minorHAnsi"/>
          <w:color w:val="1F1F1F"/>
          <w:lang w:val="cy-GB"/>
        </w:rPr>
      </w:pPr>
      <w:r w:rsidRPr="008F0B92">
        <w:rPr>
          <w:rFonts w:asciiTheme="minorHAnsi" w:hAnsiTheme="minorHAnsi" w:cstheme="minorHAnsi"/>
          <w:color w:val="1F1F1F"/>
          <w:lang w:val="cy-GB"/>
        </w:rPr>
        <w:t>Damcaniaeth Brookfield yw defnyddio pedwar lens fel proses o adfyfyrio’n feirniadol. Dywed bod hi’n bwysig i fyfyrio trwy edrych yn hunangofiannol, trwy lygaid y myfyrwyr, trwy edrych ar brofiadau ein cydweithwyr ac yna trwy edrych ar lenyddiaeth ddamcaniaethol [1</w:t>
      </w:r>
      <w:r w:rsidR="006317AC" w:rsidRPr="008F0B92">
        <w:rPr>
          <w:rFonts w:asciiTheme="minorHAnsi" w:hAnsiTheme="minorHAnsi" w:cstheme="minorHAnsi"/>
          <w:color w:val="1F1F1F"/>
          <w:lang w:val="cy-GB"/>
        </w:rPr>
        <w:t>7</w:t>
      </w:r>
      <w:r w:rsidRPr="008F0B92">
        <w:rPr>
          <w:rFonts w:asciiTheme="minorHAnsi" w:hAnsiTheme="minorHAnsi" w:cstheme="minorHAnsi"/>
          <w:color w:val="1F1F1F"/>
          <w:lang w:val="cy-GB"/>
        </w:rPr>
        <w:t>]. Yn gyntaf mae’r pedwar lens yma yn hanfodol wrth feddwl am ddamcaniaeth Bronfenbrenner, ble mae’n edrych ar dyfiant plant trwy system ecolegol, ble mae'n adnabod bod datblygiad plant yn digwydd trwy system gymhleth iawn. Mae eu damcaniaeth yn diffinio haenau cymhleth o amgylchedd, ble mae pob un yn cael effaith ar ddatblygiad plentyn [1</w:t>
      </w:r>
      <w:r w:rsidR="006317AC" w:rsidRPr="008F0B92">
        <w:rPr>
          <w:rFonts w:asciiTheme="minorHAnsi" w:hAnsiTheme="minorHAnsi" w:cstheme="minorHAnsi"/>
          <w:color w:val="1F1F1F"/>
          <w:lang w:val="cy-GB"/>
        </w:rPr>
        <w:t>8</w:t>
      </w:r>
      <w:r w:rsidRPr="008F0B92">
        <w:rPr>
          <w:rFonts w:asciiTheme="minorHAnsi" w:hAnsiTheme="minorHAnsi" w:cstheme="minorHAnsi"/>
          <w:color w:val="1F1F1F"/>
          <w:lang w:val="cy-GB"/>
        </w:rPr>
        <w:t xml:space="preserve">]. Felly mae medru edrych trwy lygaid y myfyrwyr yn hanfodol i geisio deall beth maen nhw’n eu teimlo ac yn dysgu er mwyn gwella eu datblygiadau nhw. Mae edrych ar brofiadau ein cydweithwyr a’i drafod hefyd yn hanfodol. Un peth yr wyf wedi sylweddoli wrth gychwyn fy mhrofiad dysgu yn ysgolion yw bod disgyblion yn ymddwyn mewn ffyrdd mor wahanol yn dibynnu ar bwy sydd yn eu dysgu. Mae medru cymryd mewn barn broffesiynol a phrofiadau cydweithwyr eraill mewn i ystyriaeth yn galluogi inni roi cynnig ar fwy strategaethau gwahanol yn ein gwersi a hefyd yn medru ehangu ein </w:t>
      </w:r>
      <w:r w:rsidRPr="008F0B92">
        <w:rPr>
          <w:rFonts w:asciiTheme="minorHAnsi" w:hAnsiTheme="minorHAnsi" w:cstheme="minorHAnsi"/>
          <w:color w:val="1F1F1F"/>
          <w:lang w:val="cy-GB"/>
        </w:rPr>
        <w:lastRenderedPageBreak/>
        <w:t>haddysgeg. Nid yn unig hyn ond dywed ‘The Education Trust’ medrith  perthnasoedd cryf ag athrawon a staff ysgol wella cymhelliant myfyrwyr yn ddramatig ac felly hybu dysgu</w:t>
      </w:r>
      <w:r w:rsidR="006317AC" w:rsidRPr="008F0B92">
        <w:rPr>
          <w:rFonts w:asciiTheme="minorHAnsi" w:hAnsiTheme="minorHAnsi" w:cstheme="minorHAnsi"/>
          <w:color w:val="1F1F1F"/>
          <w:lang w:val="cy-GB"/>
        </w:rPr>
        <w:t xml:space="preserve"> </w:t>
      </w:r>
      <w:r w:rsidRPr="008F0B92">
        <w:rPr>
          <w:rFonts w:asciiTheme="minorHAnsi" w:hAnsiTheme="minorHAnsi" w:cstheme="minorHAnsi"/>
          <w:color w:val="1F1F1F"/>
          <w:lang w:val="cy-GB"/>
        </w:rPr>
        <w:t>[1</w:t>
      </w:r>
      <w:r w:rsidR="006317AC" w:rsidRPr="008F0B92">
        <w:rPr>
          <w:rFonts w:asciiTheme="minorHAnsi" w:hAnsiTheme="minorHAnsi" w:cstheme="minorHAnsi"/>
          <w:color w:val="1F1F1F"/>
          <w:lang w:val="cy-GB"/>
        </w:rPr>
        <w:t>9</w:t>
      </w:r>
      <w:r w:rsidRPr="008F0B92">
        <w:rPr>
          <w:rFonts w:asciiTheme="minorHAnsi" w:hAnsiTheme="minorHAnsi" w:cstheme="minorHAnsi"/>
          <w:color w:val="1F1F1F"/>
          <w:lang w:val="cy-GB"/>
        </w:rPr>
        <w:t>]. Mae hyn wir yn bwysig wrth ymchwilio ac adfyfyrio ar y defnydd o ganmol a gwobrwyo plant yn yr ysgol, gan fod gwahanol blant gydag anghenion gwahanol, anghenion na fyddech wedi bod yn ymwybodol ohonynt pe na fyddech wedi trafod gyda chydweithwyr eraill. Mae hyn unwaith eto yn ymgorffori damcaniaeth Bronfonbrennor i sicrhau bod disgyblion yn cael yr addysg sydd fwyaf addas at eu hanghenion nhw er mwyn iddynt ddatblygu yn y ffordd orau bosib.</w:t>
      </w:r>
    </w:p>
    <w:p w14:paraId="28712731" w14:textId="77777777" w:rsidR="00E6263D" w:rsidRPr="008F0B92" w:rsidRDefault="00E6263D" w:rsidP="008F0B92">
      <w:pPr>
        <w:spacing w:line="360" w:lineRule="auto"/>
        <w:textAlignment w:val="baseline"/>
        <w:rPr>
          <w:rFonts w:asciiTheme="minorHAnsi" w:hAnsiTheme="minorHAnsi" w:cstheme="minorHAnsi"/>
          <w:color w:val="1F1F1F"/>
          <w:lang w:val="cy-GB"/>
        </w:rPr>
      </w:pPr>
    </w:p>
    <w:p w14:paraId="516173E9" w14:textId="0367CA8A" w:rsidR="00E6263D" w:rsidRPr="008F0B92" w:rsidRDefault="00E6263D" w:rsidP="008F0B92">
      <w:pPr>
        <w:spacing w:line="360" w:lineRule="auto"/>
        <w:textAlignment w:val="baseline"/>
        <w:rPr>
          <w:rFonts w:asciiTheme="minorHAnsi" w:hAnsiTheme="minorHAnsi" w:cstheme="minorHAnsi"/>
          <w:color w:val="1F1F1F"/>
          <w:u w:val="single"/>
          <w:lang w:val="cy-GB"/>
        </w:rPr>
      </w:pPr>
      <w:r w:rsidRPr="008F0B92">
        <w:rPr>
          <w:rFonts w:asciiTheme="minorHAnsi" w:hAnsiTheme="minorHAnsi" w:cstheme="minorHAnsi"/>
          <w:color w:val="1F1F1F"/>
          <w:u w:val="single"/>
          <w:lang w:val="cy-GB"/>
        </w:rPr>
        <w:t>Trafodaeth</w:t>
      </w:r>
    </w:p>
    <w:p w14:paraId="4592F244" w14:textId="77777777" w:rsidR="00E6365C" w:rsidRPr="008F0B92" w:rsidRDefault="00E6365C" w:rsidP="008F0B92">
      <w:pPr>
        <w:spacing w:line="360" w:lineRule="auto"/>
        <w:textAlignment w:val="baseline"/>
        <w:rPr>
          <w:rFonts w:asciiTheme="minorHAnsi" w:hAnsiTheme="minorHAnsi" w:cstheme="minorHAnsi"/>
          <w:color w:val="1F1F1F"/>
          <w:lang w:val="cy-GB"/>
        </w:rPr>
      </w:pPr>
    </w:p>
    <w:p w14:paraId="11FF655B" w14:textId="250096AE" w:rsidR="00CA50AA" w:rsidRPr="008F0B92" w:rsidRDefault="00E6365C" w:rsidP="008F0B92">
      <w:pPr>
        <w:spacing w:line="360" w:lineRule="auto"/>
        <w:textAlignment w:val="baseline"/>
        <w:rPr>
          <w:rFonts w:asciiTheme="minorHAnsi" w:hAnsiTheme="minorHAnsi" w:cstheme="minorHAnsi"/>
          <w:color w:val="1F1F1F"/>
          <w:lang w:val="cy-GB"/>
        </w:rPr>
      </w:pPr>
      <w:r w:rsidRPr="008F0B92">
        <w:rPr>
          <w:rFonts w:asciiTheme="minorHAnsi" w:hAnsiTheme="minorHAnsi" w:cstheme="minorHAnsi"/>
          <w:color w:val="1F1F1F"/>
          <w:lang w:val="cy-GB"/>
        </w:rPr>
        <w:t>Trwy ddechrau fy lleoliad rwyf yn barod wedi bod yn canolbwyntio ac arsylwi'r defnydd o ganmol a gwobrwyo yn y dosbarth. Yr hyn rwyf wedi canfod yn barod yw bod defnyddio gwobr a chanmol yn strategaeth enfawr er mwyn gwella ymddygiad plant, a trwy hynny yn creu amgylchedd positif i’r disgyblion. Ar ben hyn, rwyf wedi arsylwi fod y defnydd o gosb yr un pa mor bwysig a rhoi gwobr a chlod, ond nid cosb mewn ystyr ddrwg ond cosb gadarnhaol (posative punishement). Sydd yn dod a ni yn ôl i pa mor bwysig yw theori Skinner a faint mae ei damcaniaeth yn cael ei defnyddio yn y byd addysg. Pan yr wyf yn siarad am gosb gadarnhaol enghraifft a welais yn digwydd yn y dosbarth oedd bod plentyn yn camymddwyn ac yn lle ei gosbi trwy ei gadw mewn amser cinio neu amser egwyl, penderfynwyd athrawes y dosbarth defnyddio cyfuniad o ganmol a chosb  er mwyn i leihau'r ymddygiad drwg.</w:t>
      </w:r>
      <w:r w:rsidRPr="008F0B92">
        <w:rPr>
          <w:rFonts w:asciiTheme="minorHAnsi" w:hAnsiTheme="minorHAnsi" w:cstheme="minorHAnsi"/>
        </w:rPr>
        <w:t xml:space="preserve"> </w:t>
      </w:r>
      <w:r w:rsidRPr="008F0B92">
        <w:rPr>
          <w:rFonts w:asciiTheme="minorHAnsi" w:hAnsiTheme="minorHAnsi" w:cstheme="minorHAnsi"/>
          <w:color w:val="1F1F1F"/>
          <w:lang w:val="cy-GB"/>
        </w:rPr>
        <w:t>Cosbodd hi’r disgybl trwy ganmol pa mor dda oedd ei waith a'i hymddygiad yn y gwersi diwethaf, i’r pwynt oedd hi wedi gadel canmoliaeth ar y system ysgol, wnaeth hi wedyn troi hwn i ddweud os oedd ei ymddygiad drwg yn parhau bydd yn rhaid iddi’r tynnu’r pwynt clod oddi wrth y system ysgol. Felly, roedd y disgybl hwn yn medru cysylltu ymddygiad drwg gyda cholli rhywbeth da, arweiniodd hyn at y disgybl i fod yn fwy cymell i ganolbwyntio’n fwy ar y dasg a oedden yn gwneud trwy hefyd amharu yn llai ar y dosbarth.</w:t>
      </w:r>
      <w:r w:rsidRPr="008F0B92">
        <w:rPr>
          <w:rFonts w:asciiTheme="minorHAnsi" w:hAnsiTheme="minorHAnsi" w:cstheme="minorHAnsi"/>
          <w:color w:val="1F1F1F"/>
          <w:lang w:val="cy-GB"/>
        </w:rPr>
        <w:t xml:space="preserve"> </w:t>
      </w:r>
      <w:r w:rsidRPr="008F0B92">
        <w:rPr>
          <w:rFonts w:asciiTheme="minorHAnsi" w:hAnsiTheme="minorHAnsi" w:cstheme="minorHAnsi"/>
          <w:color w:val="1F1F1F"/>
          <w:lang w:val="cy-GB"/>
        </w:rPr>
        <w:t xml:space="preserve">Mae hyn yn rhywbeth mawr yr wyf eisiau ymgorffori yn fy addysgeg, yn enwedig gan fod yna adran yn y </w:t>
      </w:r>
      <w:r w:rsidRPr="008F0B92">
        <w:rPr>
          <w:rFonts w:asciiTheme="minorHAnsi" w:hAnsiTheme="minorHAnsi" w:cstheme="minorHAnsi"/>
          <w:color w:val="1F1F1F"/>
          <w:lang w:val="cy-GB"/>
        </w:rPr>
        <w:t>(</w:t>
      </w:r>
      <w:r w:rsidRPr="008F0B92">
        <w:rPr>
          <w:rFonts w:asciiTheme="minorHAnsi" w:hAnsiTheme="minorHAnsi" w:cstheme="minorHAnsi"/>
          <w:color w:val="1F1F1F"/>
          <w:lang w:val="cy-GB"/>
        </w:rPr>
        <w:t>Great Teaching Toolkit 2020</w:t>
      </w:r>
      <w:r w:rsidRPr="008F0B92">
        <w:rPr>
          <w:rFonts w:asciiTheme="minorHAnsi" w:hAnsiTheme="minorHAnsi" w:cstheme="minorHAnsi"/>
          <w:color w:val="1F1F1F"/>
          <w:lang w:val="cy-GB"/>
        </w:rPr>
        <w:t>)</w:t>
      </w:r>
      <w:r w:rsidRPr="008F0B92">
        <w:rPr>
          <w:rFonts w:asciiTheme="minorHAnsi" w:hAnsiTheme="minorHAnsi" w:cstheme="minorHAnsi"/>
          <w:color w:val="1F1F1F"/>
          <w:lang w:val="cy-GB"/>
        </w:rPr>
        <w:t xml:space="preserve"> ar ‘creating a supportive environment’ sydd yn argymell athrawon i fabwysiadu perthnasoedd da gyda myfyrwyr yn seiliedig ar barch, gofal ac empathi, trwy osgoi emosiynau negyddol. I wneud yn siŵr i adeiladu amgylchedd positif a hapus yn yr ystafell dosbarth trwy fod yn sensitif i anghenion </w:t>
      </w:r>
      <w:r w:rsidRPr="008F0B92">
        <w:rPr>
          <w:rFonts w:asciiTheme="minorHAnsi" w:hAnsiTheme="minorHAnsi" w:cstheme="minorHAnsi"/>
          <w:color w:val="1F1F1F"/>
          <w:lang w:val="cy-GB"/>
        </w:rPr>
        <w:lastRenderedPageBreak/>
        <w:t>unigolion. Sicrhau bod disgyblion yn medru cynnig atebion i heriau a roddir yn yr ystafell dosbarth trwy groesawu llwyddiant a methiant [</w:t>
      </w:r>
      <w:r w:rsidR="00766D9B" w:rsidRPr="008F0B92">
        <w:rPr>
          <w:rFonts w:asciiTheme="minorHAnsi" w:hAnsiTheme="minorHAnsi" w:cstheme="minorHAnsi"/>
          <w:color w:val="1F1F1F"/>
          <w:lang w:val="cy-GB"/>
        </w:rPr>
        <w:t>20</w:t>
      </w:r>
      <w:r w:rsidRPr="008F0B92">
        <w:rPr>
          <w:rFonts w:asciiTheme="minorHAnsi" w:hAnsiTheme="minorHAnsi" w:cstheme="minorHAnsi"/>
          <w:color w:val="1F1F1F"/>
          <w:lang w:val="cy-GB"/>
        </w:rPr>
        <w:t>]. Siaradwyd hefyd yn uniongyrchol ar y ffactorau o ddefnyddio strategaethau canmol a chosb yn y dosbarth trwy ganolbwyntio ar waith Praterious et al. (2018), Deci and Ryan’s (2008) self-deteminatation theory (SDT) ac (Guay et al., 2008); lle maent yn canolbwyntio ar y pwysigrwydd o beidio â syrthio i mewn i’r ffactorau negyddol o ddefnyddio canmol a chosb o ganlyniad i ‘intrnsic’ o’r ‘extrinsic motiavtion’.</w:t>
      </w:r>
      <w:r w:rsidR="00CA50AA" w:rsidRPr="008F0B92">
        <w:rPr>
          <w:rFonts w:asciiTheme="minorHAnsi" w:hAnsiTheme="minorHAnsi" w:cstheme="minorHAnsi"/>
          <w:color w:val="1F1F1F"/>
          <w:lang w:val="cy-GB"/>
        </w:rPr>
        <w:t xml:space="preserve"> </w:t>
      </w:r>
      <w:r w:rsidR="003851CC" w:rsidRPr="008F0B92">
        <w:rPr>
          <w:rFonts w:asciiTheme="minorHAnsi" w:hAnsiTheme="minorHAnsi" w:cstheme="minorHAnsi"/>
          <w:color w:val="1F1F1F"/>
          <w:lang w:val="cy-GB"/>
        </w:rPr>
        <w:t>Lle gall hyn arwain at y disgyblion i deimlo o dan bwysau i feddwl, neu ymddwyn mewn ffyrdd arbennig, a allai  niweidio cynnydd disgybl. Yn hytrach mae angen i ddisgyblion deimlo bod eu hanghenion yn cael eu diwallu yn y dosbarth. Felly, y byddaf yn sicrhau i gadw adfyfyrio ar fy strategaethau o ddefnyddio clod, gwobr a chosb yn fy ngwersi trwy ddefnyddio damcaniaeth Brookfield a Bronsonbrennor i ymgorffori’r teimladau hyn wrth gynllunio strategaethau gorau ar sut i ddefnyddio gwobr a chosb yn fy ngwersi.</w:t>
      </w:r>
    </w:p>
    <w:p w14:paraId="66971204" w14:textId="77777777" w:rsidR="00E6365C" w:rsidRPr="008F0B92" w:rsidRDefault="00E6365C" w:rsidP="008F0B92">
      <w:pPr>
        <w:spacing w:line="360" w:lineRule="auto"/>
        <w:textAlignment w:val="baseline"/>
        <w:rPr>
          <w:rFonts w:asciiTheme="minorHAnsi" w:hAnsiTheme="minorHAnsi" w:cstheme="minorHAnsi"/>
          <w:color w:val="1F1F1F"/>
          <w:u w:val="single"/>
          <w:lang w:val="cy-GB"/>
        </w:rPr>
      </w:pPr>
    </w:p>
    <w:p w14:paraId="669963EC" w14:textId="16C38A23" w:rsidR="00CA50AA" w:rsidRPr="008F0B92" w:rsidRDefault="007853A4" w:rsidP="008F0B92">
      <w:pPr>
        <w:spacing w:line="360" w:lineRule="auto"/>
        <w:textAlignment w:val="baseline"/>
        <w:rPr>
          <w:rFonts w:asciiTheme="minorHAnsi" w:hAnsiTheme="minorHAnsi" w:cstheme="minorHAnsi"/>
          <w:color w:val="1F1F1F"/>
          <w:u w:val="single"/>
          <w:lang w:val="cy-GB"/>
        </w:rPr>
      </w:pPr>
      <w:r w:rsidRPr="008F0B92">
        <w:rPr>
          <w:rFonts w:asciiTheme="minorHAnsi" w:hAnsiTheme="minorHAnsi" w:cstheme="minorHAnsi"/>
          <w:color w:val="1F1F1F"/>
          <w:u w:val="single"/>
          <w:lang w:val="cy-GB"/>
        </w:rPr>
        <w:t>Casgliad</w:t>
      </w:r>
    </w:p>
    <w:p w14:paraId="54C524B3" w14:textId="77777777" w:rsidR="003851CC" w:rsidRPr="008F0B92" w:rsidRDefault="003851CC" w:rsidP="008F0B92">
      <w:pPr>
        <w:spacing w:line="360" w:lineRule="auto"/>
        <w:rPr>
          <w:rFonts w:asciiTheme="minorHAnsi" w:hAnsiTheme="minorHAnsi" w:cstheme="minorHAnsi"/>
          <w:lang w:val="cy-GB"/>
        </w:rPr>
      </w:pPr>
    </w:p>
    <w:p w14:paraId="16D9A96C" w14:textId="6890C4C3" w:rsidR="00F92F80" w:rsidRPr="008F0B92" w:rsidRDefault="003851CC" w:rsidP="008F0B92">
      <w:pPr>
        <w:spacing w:line="360" w:lineRule="auto"/>
        <w:rPr>
          <w:rFonts w:asciiTheme="minorHAnsi" w:hAnsiTheme="minorHAnsi" w:cstheme="minorHAnsi"/>
          <w:lang w:val="cy-GB"/>
        </w:rPr>
      </w:pPr>
      <w:r w:rsidRPr="008F0B92">
        <w:rPr>
          <w:rFonts w:asciiTheme="minorHAnsi" w:hAnsiTheme="minorHAnsi" w:cstheme="minorHAnsi"/>
          <w:lang w:val="cy-GB"/>
        </w:rPr>
        <w:t>Mae’r weithred o arsylwi digwyddiad critigol yn hanfodol er mwyn i athrawon datblygu a gwella eu haddysgeg. Trwy arsylwi digwyddiadau critigol y mae datblygiad proffesiynol athrawon yn digwydd o ganlyniad i fyfyrio yn gyson ar ddigwyddiadau critigol y dosbarth. Maent yn annog athrawon i fod yn ddysgwyr gydol oes, sydd yn ysbrydoli’r disgyblion i ddilyn. Mae’n medru sicrhau bod athrawon yn chwilio o hyd am fyrdd o wella ac addasu i anghenion yn enwedig i siwtio anghenion eu myfyrwyr sydd yn newid yn gyson. Mae’r defnydd o wobr a chlod o fewn wers yn ffurf effeithiol o addysgu sydd yn egluro pam ei fod yn cael defnydd eang o fewn ysgolion, yn enwedig trwy ymgorffori pedwar diben Donaldson.</w:t>
      </w:r>
      <w:r w:rsidRPr="008F0B92">
        <w:rPr>
          <w:rFonts w:asciiTheme="minorHAnsi" w:hAnsiTheme="minorHAnsi" w:cstheme="minorHAnsi"/>
          <w:lang w:val="cy-GB"/>
        </w:rPr>
        <w:t xml:space="preserve"> </w:t>
      </w:r>
      <w:r w:rsidRPr="008F0B92">
        <w:rPr>
          <w:rFonts w:asciiTheme="minorHAnsi" w:hAnsiTheme="minorHAnsi" w:cstheme="minorHAnsi"/>
          <w:lang w:val="cy-GB"/>
        </w:rPr>
        <w:t>Fodd bynnag, fel y trafodwyd rhaid bod yn ofalus wrth ei defnyddio gan all arwain i niwed yn gynnydd ac yn ddatblygiad disgybl os yw’n cael ei ddefnyddio yn anghywir. Er hyn, os wŷd yn medru ei ddefnyddio yn gywir all creu amgylchedd positif yn y dosbarth lle mae disgyblion yn teimlo eu bod yn cael i werthfawrogi a’u cydnabod am eu gwaith caled, sydd yn arwain at eu cymell i fod yn fyfyrwyr uchelgeisiol.</w:t>
      </w:r>
    </w:p>
    <w:p w14:paraId="70F4964D" w14:textId="77777777" w:rsidR="009352C0" w:rsidRPr="008F0B92" w:rsidRDefault="009352C0" w:rsidP="008F0B92">
      <w:pPr>
        <w:spacing w:line="360" w:lineRule="auto"/>
        <w:rPr>
          <w:rFonts w:asciiTheme="minorHAnsi" w:hAnsiTheme="minorHAnsi" w:cstheme="minorHAnsi"/>
          <w:lang w:val="cy-GB"/>
        </w:rPr>
      </w:pPr>
    </w:p>
    <w:p w14:paraId="7CECE416" w14:textId="77777777" w:rsidR="00F92F80" w:rsidRPr="008F0B92" w:rsidRDefault="00F92F80" w:rsidP="008F0B92">
      <w:pPr>
        <w:spacing w:line="360" w:lineRule="auto"/>
        <w:textAlignment w:val="baseline"/>
        <w:rPr>
          <w:rFonts w:asciiTheme="minorHAnsi" w:hAnsiTheme="minorHAnsi" w:cstheme="minorHAnsi"/>
          <w:color w:val="1F1F1F"/>
          <w:u w:val="single"/>
        </w:rPr>
      </w:pPr>
    </w:p>
    <w:p w14:paraId="5B4A39E2" w14:textId="3A53BA60" w:rsidR="000D2608" w:rsidRPr="008F0B92" w:rsidRDefault="000D2608" w:rsidP="008F0B92">
      <w:pPr>
        <w:spacing w:line="360" w:lineRule="auto"/>
        <w:textAlignment w:val="baseline"/>
        <w:rPr>
          <w:rFonts w:asciiTheme="minorHAnsi" w:hAnsiTheme="minorHAnsi" w:cstheme="minorHAnsi"/>
          <w:color w:val="1F1F1F"/>
        </w:rPr>
      </w:pPr>
      <w:proofErr w:type="spellStart"/>
      <w:r w:rsidRPr="008F0B92">
        <w:rPr>
          <w:rFonts w:asciiTheme="minorHAnsi" w:hAnsiTheme="minorHAnsi" w:cstheme="minorHAnsi"/>
          <w:color w:val="1F1F1F"/>
        </w:rPr>
        <w:t>Cyfrif</w:t>
      </w:r>
      <w:proofErr w:type="spellEnd"/>
      <w:r w:rsidRPr="008F0B92">
        <w:rPr>
          <w:rFonts w:asciiTheme="minorHAnsi" w:hAnsiTheme="minorHAnsi" w:cstheme="minorHAnsi"/>
          <w:color w:val="1F1F1F"/>
        </w:rPr>
        <w:t xml:space="preserve"> </w:t>
      </w:r>
      <w:proofErr w:type="spellStart"/>
      <w:r w:rsidRPr="008F0B92">
        <w:rPr>
          <w:rFonts w:asciiTheme="minorHAnsi" w:hAnsiTheme="minorHAnsi" w:cstheme="minorHAnsi"/>
          <w:color w:val="1F1F1F"/>
        </w:rPr>
        <w:t>geiriau</w:t>
      </w:r>
      <w:proofErr w:type="spellEnd"/>
      <w:r w:rsidRPr="008F0B92">
        <w:rPr>
          <w:rFonts w:asciiTheme="minorHAnsi" w:hAnsiTheme="minorHAnsi" w:cstheme="minorHAnsi"/>
          <w:color w:val="1F1F1F"/>
        </w:rPr>
        <w:t>: 3810</w:t>
      </w:r>
    </w:p>
    <w:p w14:paraId="6E49A60E" w14:textId="77777777" w:rsidR="006D26C7" w:rsidRPr="008F0B92" w:rsidRDefault="006D26C7" w:rsidP="008F0B92">
      <w:pPr>
        <w:spacing w:line="360" w:lineRule="auto"/>
        <w:textAlignment w:val="baseline"/>
        <w:rPr>
          <w:rFonts w:asciiTheme="minorHAnsi" w:hAnsiTheme="minorHAnsi" w:cstheme="minorHAnsi"/>
          <w:color w:val="1F1F1F"/>
          <w:u w:val="single"/>
        </w:rPr>
      </w:pPr>
    </w:p>
    <w:p w14:paraId="191C88CF" w14:textId="1CECAE52" w:rsidR="0029686A" w:rsidRPr="008F0B92" w:rsidRDefault="000B5C5F" w:rsidP="008F0B92">
      <w:pPr>
        <w:spacing w:line="360" w:lineRule="auto"/>
        <w:textAlignment w:val="baseline"/>
        <w:rPr>
          <w:rFonts w:asciiTheme="minorHAnsi" w:hAnsiTheme="minorHAnsi" w:cstheme="minorHAnsi"/>
          <w:color w:val="1F1F1F"/>
          <w:u w:val="single"/>
        </w:rPr>
      </w:pPr>
      <w:proofErr w:type="spellStart"/>
      <w:r w:rsidRPr="008F0B92">
        <w:rPr>
          <w:rFonts w:asciiTheme="minorHAnsi" w:hAnsiTheme="minorHAnsi" w:cstheme="minorHAnsi"/>
          <w:color w:val="1F1F1F"/>
          <w:u w:val="single"/>
        </w:rPr>
        <w:lastRenderedPageBreak/>
        <w:t>Rhestr</w:t>
      </w:r>
      <w:proofErr w:type="spellEnd"/>
      <w:r w:rsidRPr="008F0B92">
        <w:rPr>
          <w:rFonts w:asciiTheme="minorHAnsi" w:hAnsiTheme="minorHAnsi" w:cstheme="minorHAnsi"/>
          <w:color w:val="1F1F1F"/>
          <w:u w:val="single"/>
        </w:rPr>
        <w:t xml:space="preserve"> </w:t>
      </w:r>
      <w:proofErr w:type="spellStart"/>
      <w:r w:rsidRPr="008F0B92">
        <w:rPr>
          <w:rFonts w:asciiTheme="minorHAnsi" w:hAnsiTheme="minorHAnsi" w:cstheme="minorHAnsi"/>
          <w:color w:val="1F1F1F"/>
          <w:u w:val="single"/>
        </w:rPr>
        <w:t>gyfeiro</w:t>
      </w:r>
      <w:proofErr w:type="spellEnd"/>
      <w:r w:rsidRPr="008F0B92">
        <w:rPr>
          <w:rFonts w:asciiTheme="minorHAnsi" w:hAnsiTheme="minorHAnsi" w:cstheme="minorHAnsi"/>
          <w:color w:val="1F1F1F"/>
          <w:u w:val="single"/>
        </w:rPr>
        <w:t xml:space="preserve"> </w:t>
      </w:r>
    </w:p>
    <w:p w14:paraId="31D29C34" w14:textId="77777777" w:rsidR="0029686A" w:rsidRPr="008F0B92" w:rsidRDefault="0029686A" w:rsidP="008F0B92">
      <w:pPr>
        <w:pStyle w:val="NormalWeb"/>
        <w:spacing w:before="0" w:beforeAutospacing="0" w:after="240" w:afterAutospacing="0" w:line="360" w:lineRule="auto"/>
        <w:rPr>
          <w:rFonts w:asciiTheme="minorHAnsi" w:hAnsiTheme="minorHAnsi" w:cstheme="minorHAnsi"/>
          <w:color w:val="000000"/>
        </w:rPr>
      </w:pPr>
    </w:p>
    <w:p w14:paraId="2A136ACB" w14:textId="3F6C1E49" w:rsidR="0029686A" w:rsidRPr="008F0B92" w:rsidRDefault="0029686A" w:rsidP="008F0B92">
      <w:pPr>
        <w:pStyle w:val="NormalWeb"/>
        <w:spacing w:before="0" w:beforeAutospacing="0" w:after="240" w:afterAutospacing="0" w:line="360" w:lineRule="auto"/>
        <w:rPr>
          <w:rFonts w:asciiTheme="minorHAnsi" w:hAnsiTheme="minorHAnsi" w:cstheme="minorHAnsi"/>
          <w:color w:val="000000"/>
        </w:rPr>
      </w:pPr>
      <w:r w:rsidRPr="008F0B92">
        <w:rPr>
          <w:rFonts w:asciiTheme="minorHAnsi" w:hAnsiTheme="minorHAnsi" w:cstheme="minorHAnsi"/>
          <w:color w:val="000000"/>
        </w:rPr>
        <w:t>[13] Bear, G., Homan, J. and Morales, S. (2018).</w:t>
      </w:r>
      <w:r w:rsidRPr="008F0B92">
        <w:rPr>
          <w:rStyle w:val="apple-converted-space"/>
          <w:rFonts w:asciiTheme="minorHAnsi" w:hAnsiTheme="minorHAnsi" w:cstheme="minorHAnsi"/>
          <w:color w:val="000000"/>
        </w:rPr>
        <w:t> </w:t>
      </w:r>
      <w:r w:rsidRPr="008F0B92">
        <w:rPr>
          <w:rFonts w:asciiTheme="minorHAnsi" w:hAnsiTheme="minorHAnsi" w:cstheme="minorHAnsi"/>
          <w:i/>
          <w:iCs/>
          <w:color w:val="000000"/>
        </w:rPr>
        <w:t>Using Praise and Rewards Wisely: Helping Handout for School and Home</w:t>
      </w:r>
      <w:r w:rsidRPr="008F0B92">
        <w:rPr>
          <w:rFonts w:asciiTheme="minorHAnsi" w:hAnsiTheme="minorHAnsi" w:cstheme="minorHAnsi"/>
          <w:color w:val="000000"/>
        </w:rPr>
        <w:t>. [online] Available at</w:t>
      </w:r>
    </w:p>
    <w:p w14:paraId="1CFA202B" w14:textId="77777777" w:rsidR="0029686A" w:rsidRPr="008F0B92" w:rsidRDefault="0029686A" w:rsidP="008F0B92">
      <w:pPr>
        <w:pStyle w:val="NormalWeb"/>
        <w:spacing w:before="0" w:beforeAutospacing="0" w:after="240" w:afterAutospacing="0" w:line="360" w:lineRule="auto"/>
        <w:rPr>
          <w:rFonts w:asciiTheme="minorHAnsi" w:hAnsiTheme="minorHAnsi" w:cstheme="minorHAnsi"/>
          <w:color w:val="000000"/>
        </w:rPr>
      </w:pPr>
      <w:r w:rsidRPr="008F0B92">
        <w:rPr>
          <w:rFonts w:asciiTheme="minorHAnsi" w:hAnsiTheme="minorHAnsi" w:cstheme="minorHAnsi"/>
          <w:color w:val="000000"/>
        </w:rPr>
        <w:t xml:space="preserve">[8] Bear, G.G., Slaughter, J.C., </w:t>
      </w:r>
      <w:proofErr w:type="spellStart"/>
      <w:r w:rsidRPr="008F0B92">
        <w:rPr>
          <w:rFonts w:asciiTheme="minorHAnsi" w:hAnsiTheme="minorHAnsi" w:cstheme="minorHAnsi"/>
          <w:color w:val="000000"/>
        </w:rPr>
        <w:t>Mantz</w:t>
      </w:r>
      <w:proofErr w:type="spellEnd"/>
      <w:r w:rsidRPr="008F0B92">
        <w:rPr>
          <w:rFonts w:asciiTheme="minorHAnsi" w:hAnsiTheme="minorHAnsi" w:cstheme="minorHAnsi"/>
          <w:color w:val="000000"/>
        </w:rPr>
        <w:t>, L.S. and Farley-Ripple, E. (2017). Rewards, Praise, and Punitive Consequences: Relations with Intrinsic and Extrinsic Motivation.</w:t>
      </w:r>
      <w:r w:rsidRPr="008F0B92">
        <w:rPr>
          <w:rStyle w:val="apple-converted-space"/>
          <w:rFonts w:asciiTheme="minorHAnsi" w:hAnsiTheme="minorHAnsi" w:cstheme="minorHAnsi"/>
          <w:color w:val="000000"/>
        </w:rPr>
        <w:t> </w:t>
      </w:r>
      <w:r w:rsidRPr="008F0B92">
        <w:rPr>
          <w:rFonts w:asciiTheme="minorHAnsi" w:hAnsiTheme="minorHAnsi" w:cstheme="minorHAnsi"/>
          <w:i/>
          <w:iCs/>
          <w:color w:val="000000"/>
        </w:rPr>
        <w:t>Teaching and Teacher Education</w:t>
      </w:r>
      <w:r w:rsidRPr="008F0B92">
        <w:rPr>
          <w:rFonts w:asciiTheme="minorHAnsi" w:hAnsiTheme="minorHAnsi" w:cstheme="minorHAnsi"/>
          <w:color w:val="000000"/>
        </w:rPr>
        <w:t xml:space="preserve">, 65, pp.10–20. </w:t>
      </w:r>
      <w:proofErr w:type="spellStart"/>
      <w:r w:rsidRPr="008F0B92">
        <w:rPr>
          <w:rFonts w:asciiTheme="minorHAnsi" w:hAnsiTheme="minorHAnsi" w:cstheme="minorHAnsi"/>
          <w:color w:val="000000"/>
        </w:rPr>
        <w:t>doi</w:t>
      </w:r>
      <w:proofErr w:type="spellEnd"/>
      <w:r w:rsidRPr="008F0B92">
        <w:rPr>
          <w:rFonts w:asciiTheme="minorHAnsi" w:hAnsiTheme="minorHAnsi" w:cstheme="minorHAnsi"/>
          <w:color w:val="000000"/>
        </w:rPr>
        <w:t xml:space="preserve">: </w:t>
      </w:r>
      <w:hyperlink r:id="rId8" w:history="1">
        <w:r w:rsidRPr="008F0B92">
          <w:rPr>
            <w:rStyle w:val="Hyperlink"/>
            <w:rFonts w:asciiTheme="minorHAnsi" w:hAnsiTheme="minorHAnsi" w:cstheme="minorHAnsi"/>
          </w:rPr>
          <w:t>https://doi.org/10.1016/j.tate.2017.03.001</w:t>
        </w:r>
      </w:hyperlink>
      <w:r w:rsidRPr="008F0B92">
        <w:rPr>
          <w:rFonts w:asciiTheme="minorHAnsi" w:hAnsiTheme="minorHAnsi" w:cstheme="minorHAnsi"/>
          <w:color w:val="000000"/>
        </w:rPr>
        <w:t>.</w:t>
      </w:r>
      <w:r w:rsidRPr="008F0B92">
        <w:rPr>
          <w:rFonts w:asciiTheme="minorHAnsi" w:hAnsiTheme="minorHAnsi" w:cstheme="minorHAnsi"/>
          <w:color w:val="000000"/>
        </w:rPr>
        <w:t xml:space="preserve"> </w:t>
      </w:r>
    </w:p>
    <w:p w14:paraId="77CD8FE8" w14:textId="42B0D6EE" w:rsidR="0029686A" w:rsidRPr="008F0B92" w:rsidRDefault="0029686A" w:rsidP="008F0B92">
      <w:pPr>
        <w:pStyle w:val="NormalWeb"/>
        <w:spacing w:before="0" w:beforeAutospacing="0" w:after="240" w:afterAutospacing="0" w:line="360" w:lineRule="auto"/>
        <w:rPr>
          <w:rFonts w:asciiTheme="minorHAnsi" w:hAnsiTheme="minorHAnsi" w:cstheme="minorHAnsi"/>
          <w:color w:val="000000"/>
        </w:rPr>
      </w:pPr>
      <w:r w:rsidRPr="008F0B92">
        <w:rPr>
          <w:rFonts w:asciiTheme="minorHAnsi" w:hAnsiTheme="minorHAnsi" w:cstheme="minorHAnsi"/>
          <w:color w:val="000000"/>
        </w:rPr>
        <w:t xml:space="preserve">[17] </w:t>
      </w:r>
      <w:r w:rsidRPr="008F0B92">
        <w:rPr>
          <w:rFonts w:asciiTheme="minorHAnsi" w:hAnsiTheme="minorHAnsi" w:cstheme="minorHAnsi"/>
          <w:color w:val="1C1D1E"/>
          <w:shd w:val="clear" w:color="auto" w:fill="FFFFFF"/>
        </w:rPr>
        <w:t>Brookfield, S. (1998), Critically reflective practice. J. Contin. Educ. Health Prof., 18: 197-205.</w:t>
      </w:r>
      <w:r w:rsidRPr="008F0B92">
        <w:rPr>
          <w:rStyle w:val="apple-converted-space"/>
          <w:rFonts w:asciiTheme="minorHAnsi" w:hAnsiTheme="minorHAnsi" w:cstheme="minorHAnsi"/>
          <w:color w:val="1C1D1E"/>
          <w:shd w:val="clear" w:color="auto" w:fill="FFFFFF"/>
        </w:rPr>
        <w:t> </w:t>
      </w:r>
      <w:hyperlink r:id="rId9" w:history="1">
        <w:r w:rsidRPr="008F0B92">
          <w:rPr>
            <w:rStyle w:val="Hyperlink"/>
            <w:rFonts w:asciiTheme="minorHAnsi" w:hAnsiTheme="minorHAnsi" w:cstheme="minorHAnsi"/>
          </w:rPr>
          <w:t>https://doi.org/10.1002/chp.1340180402</w:t>
        </w:r>
      </w:hyperlink>
    </w:p>
    <w:p w14:paraId="1FC9D492" w14:textId="19B96111" w:rsidR="0029686A" w:rsidRPr="008F0B92" w:rsidRDefault="0029686A" w:rsidP="008F0B92">
      <w:pPr>
        <w:pStyle w:val="NormalWeb"/>
        <w:spacing w:before="0" w:beforeAutospacing="0" w:after="240" w:afterAutospacing="0" w:line="360" w:lineRule="auto"/>
        <w:rPr>
          <w:rFonts w:asciiTheme="minorHAnsi" w:hAnsiTheme="minorHAnsi" w:cstheme="minorHAnsi"/>
          <w:color w:val="000000"/>
        </w:rPr>
      </w:pPr>
      <w:r w:rsidRPr="008F0B92">
        <w:rPr>
          <w:rFonts w:asciiTheme="minorHAnsi" w:hAnsiTheme="minorHAnsi" w:cstheme="minorHAnsi"/>
          <w:color w:val="000000"/>
        </w:rPr>
        <w:t xml:space="preserve">[2] </w:t>
      </w:r>
      <w:proofErr w:type="spellStart"/>
      <w:r w:rsidRPr="008F0B92">
        <w:rPr>
          <w:rFonts w:asciiTheme="minorHAnsi" w:hAnsiTheme="minorHAnsi" w:cstheme="minorHAnsi"/>
          <w:color w:val="000000"/>
        </w:rPr>
        <w:t>Bruster</w:t>
      </w:r>
      <w:proofErr w:type="spellEnd"/>
      <w:r w:rsidRPr="008F0B92">
        <w:rPr>
          <w:rFonts w:asciiTheme="minorHAnsi" w:hAnsiTheme="minorHAnsi" w:cstheme="minorHAnsi"/>
          <w:color w:val="000000"/>
        </w:rPr>
        <w:t>, B.G. and Peterson, B.R. (2013). Using Critical Incidents in Teaching to Promote Reflective Practice.</w:t>
      </w:r>
      <w:r w:rsidRPr="008F0B92">
        <w:rPr>
          <w:rStyle w:val="apple-converted-space"/>
          <w:rFonts w:asciiTheme="minorHAnsi" w:hAnsiTheme="minorHAnsi" w:cstheme="minorHAnsi"/>
          <w:color w:val="000000"/>
        </w:rPr>
        <w:t> </w:t>
      </w:r>
      <w:r w:rsidRPr="008F0B92">
        <w:rPr>
          <w:rFonts w:asciiTheme="minorHAnsi" w:hAnsiTheme="minorHAnsi" w:cstheme="minorHAnsi"/>
          <w:i/>
          <w:iCs/>
          <w:color w:val="000000"/>
        </w:rPr>
        <w:t>Reflective Practice</w:t>
      </w:r>
      <w:r w:rsidRPr="008F0B92">
        <w:rPr>
          <w:rFonts w:asciiTheme="minorHAnsi" w:hAnsiTheme="minorHAnsi" w:cstheme="minorHAnsi"/>
          <w:color w:val="000000"/>
        </w:rPr>
        <w:t xml:space="preserve">, 14(2), pp.171 </w:t>
      </w:r>
      <w:proofErr w:type="spellStart"/>
      <w:r w:rsidRPr="008F0B92">
        <w:rPr>
          <w:rFonts w:asciiTheme="minorHAnsi" w:hAnsiTheme="minorHAnsi" w:cstheme="minorHAnsi"/>
          <w:color w:val="000000"/>
        </w:rPr>
        <w:t>doi</w:t>
      </w:r>
      <w:proofErr w:type="spellEnd"/>
      <w:r w:rsidRPr="008F0B92">
        <w:rPr>
          <w:rFonts w:asciiTheme="minorHAnsi" w:hAnsiTheme="minorHAnsi" w:cstheme="minorHAnsi"/>
          <w:color w:val="000000"/>
        </w:rPr>
        <w:t xml:space="preserve">: </w:t>
      </w:r>
      <w:hyperlink r:id="rId10" w:history="1">
        <w:r w:rsidRPr="008F0B92">
          <w:rPr>
            <w:rStyle w:val="Hyperlink"/>
            <w:rFonts w:asciiTheme="minorHAnsi" w:hAnsiTheme="minorHAnsi" w:cstheme="minorHAnsi"/>
          </w:rPr>
          <w:t>https://doi.org/10.1080/14623943.2012.732945</w:t>
        </w:r>
      </w:hyperlink>
      <w:r w:rsidRPr="008F0B92">
        <w:rPr>
          <w:rFonts w:asciiTheme="minorHAnsi" w:hAnsiTheme="minorHAnsi" w:cstheme="minorHAnsi"/>
          <w:color w:val="000000"/>
        </w:rPr>
        <w:t>.</w:t>
      </w:r>
    </w:p>
    <w:p w14:paraId="337A389F" w14:textId="77777777" w:rsidR="0029686A" w:rsidRPr="008F0B92" w:rsidRDefault="0029686A" w:rsidP="008F0B92">
      <w:pPr>
        <w:pStyle w:val="NormalWeb"/>
        <w:spacing w:before="0" w:beforeAutospacing="0" w:after="240" w:afterAutospacing="0" w:line="360" w:lineRule="auto"/>
        <w:rPr>
          <w:rFonts w:asciiTheme="minorHAnsi" w:hAnsiTheme="minorHAnsi" w:cstheme="minorHAnsi"/>
          <w:color w:val="000000"/>
        </w:rPr>
      </w:pPr>
      <w:r w:rsidRPr="008F0B92">
        <w:rPr>
          <w:rFonts w:asciiTheme="minorHAnsi" w:hAnsiTheme="minorHAnsi" w:cstheme="minorHAnsi"/>
          <w:lang w:val="cy-GB"/>
        </w:rPr>
        <w:t xml:space="preserve">[4] </w:t>
      </w:r>
      <w:r w:rsidRPr="008F0B92">
        <w:rPr>
          <w:rFonts w:asciiTheme="minorHAnsi" w:hAnsiTheme="minorHAnsi" w:cstheme="minorHAnsi"/>
          <w:color w:val="000000"/>
        </w:rPr>
        <w:t>Clark, R.E. (2004). The Classical Origins of Pavlov’s Conditioning.</w:t>
      </w:r>
      <w:r w:rsidRPr="008F0B92">
        <w:rPr>
          <w:rStyle w:val="apple-converted-space"/>
          <w:rFonts w:asciiTheme="minorHAnsi" w:hAnsiTheme="minorHAnsi" w:cstheme="minorHAnsi"/>
          <w:color w:val="000000"/>
        </w:rPr>
        <w:t> </w:t>
      </w:r>
      <w:r w:rsidRPr="008F0B92">
        <w:rPr>
          <w:rFonts w:asciiTheme="minorHAnsi" w:hAnsiTheme="minorHAnsi" w:cstheme="minorHAnsi"/>
          <w:i/>
          <w:iCs/>
          <w:color w:val="000000"/>
        </w:rPr>
        <w:t xml:space="preserve">Integrative Physiological &amp; </w:t>
      </w:r>
      <w:proofErr w:type="spellStart"/>
      <w:r w:rsidRPr="008F0B92">
        <w:rPr>
          <w:rFonts w:asciiTheme="minorHAnsi" w:hAnsiTheme="minorHAnsi" w:cstheme="minorHAnsi"/>
          <w:i/>
          <w:iCs/>
          <w:color w:val="000000"/>
        </w:rPr>
        <w:t>Behavioral</w:t>
      </w:r>
      <w:proofErr w:type="spellEnd"/>
      <w:r w:rsidRPr="008F0B92">
        <w:rPr>
          <w:rFonts w:asciiTheme="minorHAnsi" w:hAnsiTheme="minorHAnsi" w:cstheme="minorHAnsi"/>
          <w:i/>
          <w:iCs/>
          <w:color w:val="000000"/>
        </w:rPr>
        <w:t xml:space="preserve"> Science</w:t>
      </w:r>
      <w:r w:rsidRPr="008F0B92">
        <w:rPr>
          <w:rFonts w:asciiTheme="minorHAnsi" w:hAnsiTheme="minorHAnsi" w:cstheme="minorHAnsi"/>
          <w:color w:val="000000"/>
        </w:rPr>
        <w:t xml:space="preserve">, [online] 39(4), pp.279–294. </w:t>
      </w:r>
      <w:proofErr w:type="spellStart"/>
      <w:r w:rsidRPr="008F0B92">
        <w:rPr>
          <w:rFonts w:asciiTheme="minorHAnsi" w:hAnsiTheme="minorHAnsi" w:cstheme="minorHAnsi"/>
          <w:color w:val="000000"/>
        </w:rPr>
        <w:t>doi</w:t>
      </w:r>
      <w:proofErr w:type="spellEnd"/>
      <w:r w:rsidRPr="008F0B92">
        <w:rPr>
          <w:rFonts w:asciiTheme="minorHAnsi" w:hAnsiTheme="minorHAnsi" w:cstheme="minorHAnsi"/>
          <w:color w:val="000000"/>
        </w:rPr>
        <w:t xml:space="preserve">: </w:t>
      </w:r>
      <w:hyperlink r:id="rId11" w:history="1">
        <w:r w:rsidRPr="008F0B92">
          <w:rPr>
            <w:rStyle w:val="Hyperlink"/>
            <w:rFonts w:asciiTheme="minorHAnsi" w:hAnsiTheme="minorHAnsi" w:cstheme="minorHAnsi"/>
          </w:rPr>
          <w:t>https://doi.org/10.1007/bf02734167.pp.279</w:t>
        </w:r>
      </w:hyperlink>
    </w:p>
    <w:p w14:paraId="189C33B6" w14:textId="77777777" w:rsidR="0029686A" w:rsidRPr="008F0B92" w:rsidRDefault="0029686A" w:rsidP="008F0B92">
      <w:pPr>
        <w:pStyle w:val="NormalWeb"/>
        <w:spacing w:before="0" w:beforeAutospacing="0" w:after="240" w:afterAutospacing="0" w:line="360" w:lineRule="auto"/>
        <w:rPr>
          <w:rFonts w:asciiTheme="minorHAnsi" w:hAnsiTheme="minorHAnsi" w:cstheme="minorHAnsi"/>
          <w:color w:val="000000"/>
        </w:rPr>
      </w:pPr>
      <w:r w:rsidRPr="008F0B92">
        <w:rPr>
          <w:rFonts w:asciiTheme="minorHAnsi" w:hAnsiTheme="minorHAnsi" w:cstheme="minorHAnsi"/>
          <w:lang w:val="cy-GB"/>
        </w:rPr>
        <w:t xml:space="preserve">[20] </w:t>
      </w:r>
      <w:r w:rsidRPr="008F0B92">
        <w:rPr>
          <w:rFonts w:asciiTheme="minorHAnsi" w:hAnsiTheme="minorHAnsi" w:cstheme="minorHAnsi"/>
          <w:color w:val="000000"/>
        </w:rPr>
        <w:t xml:space="preserve">Coe, R., Rauch, C., </w:t>
      </w:r>
      <w:proofErr w:type="spellStart"/>
      <w:r w:rsidRPr="008F0B92">
        <w:rPr>
          <w:rFonts w:asciiTheme="minorHAnsi" w:hAnsiTheme="minorHAnsi" w:cstheme="minorHAnsi"/>
          <w:color w:val="000000"/>
        </w:rPr>
        <w:t>Kime</w:t>
      </w:r>
      <w:proofErr w:type="spellEnd"/>
      <w:r w:rsidRPr="008F0B92">
        <w:rPr>
          <w:rFonts w:asciiTheme="minorHAnsi" w:hAnsiTheme="minorHAnsi" w:cstheme="minorHAnsi"/>
          <w:color w:val="000000"/>
        </w:rPr>
        <w:t>, S. and Singleton, D. (2020).</w:t>
      </w:r>
      <w:r w:rsidRPr="008F0B92">
        <w:rPr>
          <w:rStyle w:val="apple-converted-space"/>
          <w:rFonts w:asciiTheme="minorHAnsi" w:hAnsiTheme="minorHAnsi" w:cstheme="minorHAnsi"/>
          <w:color w:val="000000"/>
        </w:rPr>
        <w:t> </w:t>
      </w:r>
      <w:r w:rsidRPr="008F0B92">
        <w:rPr>
          <w:rFonts w:asciiTheme="minorHAnsi" w:hAnsiTheme="minorHAnsi" w:cstheme="minorHAnsi"/>
          <w:i/>
          <w:iCs/>
          <w:color w:val="000000"/>
        </w:rPr>
        <w:t>Evidence Review Great Teaching Toolkit In partnership with</w:t>
      </w:r>
      <w:r w:rsidRPr="008F0B92">
        <w:rPr>
          <w:rFonts w:asciiTheme="minorHAnsi" w:hAnsiTheme="minorHAnsi" w:cstheme="minorHAnsi"/>
          <w:color w:val="000000"/>
        </w:rPr>
        <w:t xml:space="preserve">. [online] Available at: </w:t>
      </w:r>
      <w:hyperlink r:id="rId12" w:history="1">
        <w:r w:rsidRPr="008F0B92">
          <w:rPr>
            <w:rStyle w:val="Hyperlink"/>
            <w:rFonts w:asciiTheme="minorHAnsi" w:hAnsiTheme="minorHAnsi" w:cstheme="minorHAnsi"/>
          </w:rPr>
          <w:t>https://assets.website-files.com/5ee28729f7b4a5fa99bef2b3/5ee9f507021911ae35ac6c4d_EBE_GTT_EVIDENCE%20REVIEW_DIGITAL.pdf?utm_referrer=https%3A%2F%2Fwww.greatteaching.com%2F</w:t>
        </w:r>
      </w:hyperlink>
    </w:p>
    <w:p w14:paraId="3B20624F" w14:textId="77777777" w:rsidR="0029686A" w:rsidRPr="008F0B92" w:rsidRDefault="0029686A" w:rsidP="008F0B92">
      <w:pPr>
        <w:pStyle w:val="NormalWeb"/>
        <w:spacing w:line="360" w:lineRule="auto"/>
        <w:rPr>
          <w:rFonts w:asciiTheme="minorHAnsi" w:hAnsiTheme="minorHAnsi" w:cstheme="minorHAnsi"/>
        </w:rPr>
      </w:pPr>
      <w:r w:rsidRPr="008F0B92">
        <w:rPr>
          <w:rFonts w:asciiTheme="minorHAnsi" w:hAnsiTheme="minorHAnsi" w:cstheme="minorHAnsi"/>
        </w:rPr>
        <w:t xml:space="preserve">Deci, E. L., &amp; Ryan, R. M. (2008). Self-determination theory: A </w:t>
      </w:r>
      <w:proofErr w:type="spellStart"/>
      <w:r w:rsidRPr="008F0B92">
        <w:rPr>
          <w:rFonts w:asciiTheme="minorHAnsi" w:hAnsiTheme="minorHAnsi" w:cstheme="minorHAnsi"/>
        </w:rPr>
        <w:t>macrotheory</w:t>
      </w:r>
      <w:proofErr w:type="spellEnd"/>
      <w:r w:rsidRPr="008F0B92">
        <w:rPr>
          <w:rFonts w:asciiTheme="minorHAnsi" w:hAnsiTheme="minorHAnsi" w:cstheme="minorHAnsi"/>
        </w:rPr>
        <w:t xml:space="preserve"> of human motivation, development, and health. </w:t>
      </w:r>
      <w:r w:rsidRPr="008F0B92">
        <w:rPr>
          <w:rFonts w:asciiTheme="minorHAnsi" w:hAnsiTheme="minorHAnsi" w:cstheme="minorHAnsi"/>
          <w:i/>
          <w:iCs/>
        </w:rPr>
        <w:t>Canadian Psychology</w:t>
      </w:r>
      <w:r w:rsidRPr="008F0B92">
        <w:rPr>
          <w:rFonts w:asciiTheme="minorHAnsi" w:hAnsiTheme="minorHAnsi" w:cstheme="minorHAnsi"/>
        </w:rPr>
        <w:t xml:space="preserve">, </w:t>
      </w:r>
      <w:r w:rsidRPr="008F0B92">
        <w:rPr>
          <w:rFonts w:asciiTheme="minorHAnsi" w:hAnsiTheme="minorHAnsi" w:cstheme="minorHAnsi"/>
          <w:i/>
          <w:iCs/>
        </w:rPr>
        <w:t>49</w:t>
      </w:r>
      <w:r w:rsidRPr="008F0B92">
        <w:rPr>
          <w:rFonts w:asciiTheme="minorHAnsi" w:hAnsiTheme="minorHAnsi" w:cstheme="minorHAnsi"/>
        </w:rPr>
        <w:t xml:space="preserve">(3), 182–185. https://doi.org/10.1037/ a0012801. </w:t>
      </w:r>
    </w:p>
    <w:p w14:paraId="6B399CAE" w14:textId="77777777" w:rsidR="00A2786A" w:rsidRPr="008F0B92" w:rsidRDefault="0029686A" w:rsidP="008F0B92">
      <w:pPr>
        <w:pStyle w:val="NormalWeb"/>
        <w:spacing w:before="0" w:beforeAutospacing="0" w:after="240" w:afterAutospacing="0" w:line="360" w:lineRule="auto"/>
        <w:rPr>
          <w:rFonts w:asciiTheme="minorHAnsi" w:hAnsiTheme="minorHAnsi" w:cstheme="minorHAnsi"/>
          <w:color w:val="000000"/>
        </w:rPr>
      </w:pPr>
      <w:r w:rsidRPr="008F0B92">
        <w:rPr>
          <w:rFonts w:asciiTheme="minorHAnsi" w:hAnsiTheme="minorHAnsi" w:cstheme="minorHAnsi"/>
          <w:lang w:val="cy-GB"/>
        </w:rPr>
        <w:t xml:space="preserve">[19] </w:t>
      </w:r>
      <w:r w:rsidRPr="008F0B92">
        <w:rPr>
          <w:rFonts w:asciiTheme="minorHAnsi" w:hAnsiTheme="minorHAnsi" w:cstheme="minorHAnsi"/>
          <w:color w:val="000000"/>
        </w:rPr>
        <w:t>Ed Trust and MDRC (2021a).</w:t>
      </w:r>
      <w:r w:rsidRPr="008F0B92">
        <w:rPr>
          <w:rStyle w:val="apple-converted-space"/>
          <w:rFonts w:asciiTheme="minorHAnsi" w:hAnsiTheme="minorHAnsi" w:cstheme="minorHAnsi"/>
          <w:color w:val="000000"/>
        </w:rPr>
        <w:t> </w:t>
      </w:r>
      <w:r w:rsidRPr="008F0B92">
        <w:rPr>
          <w:rFonts w:asciiTheme="minorHAnsi" w:hAnsiTheme="minorHAnsi" w:cstheme="minorHAnsi"/>
          <w:i/>
          <w:iCs/>
          <w:color w:val="000000"/>
        </w:rPr>
        <w:t>The Importance of Strong Relationships - A Strategy to Solve Unfinished Learning</w:t>
      </w:r>
      <w:r w:rsidRPr="008F0B92">
        <w:rPr>
          <w:rFonts w:asciiTheme="minorHAnsi" w:hAnsiTheme="minorHAnsi" w:cstheme="minorHAnsi"/>
          <w:color w:val="000000"/>
        </w:rPr>
        <w:t xml:space="preserve">. [online] The Education Trust. Available at: </w:t>
      </w:r>
      <w:hyperlink r:id="rId13" w:history="1">
        <w:r w:rsidRPr="008F0B92">
          <w:rPr>
            <w:rStyle w:val="Hyperlink"/>
            <w:rFonts w:asciiTheme="minorHAnsi" w:hAnsiTheme="minorHAnsi" w:cstheme="minorHAnsi"/>
          </w:rPr>
          <w:t>https://edtrust.org/resource/the-importance-of-strong-relationships/</w:t>
        </w:r>
      </w:hyperlink>
      <w:r w:rsidRPr="008F0B92">
        <w:rPr>
          <w:rFonts w:asciiTheme="minorHAnsi" w:hAnsiTheme="minorHAnsi" w:cstheme="minorHAnsi"/>
          <w:color w:val="000000"/>
        </w:rPr>
        <w:t>.</w:t>
      </w:r>
    </w:p>
    <w:p w14:paraId="2A98CCD5" w14:textId="408FE464" w:rsidR="005C74A8" w:rsidRPr="008F0B92" w:rsidRDefault="0029686A" w:rsidP="008F0B92">
      <w:pPr>
        <w:pStyle w:val="NormalWeb"/>
        <w:spacing w:before="0" w:beforeAutospacing="0" w:after="240" w:afterAutospacing="0" w:line="360" w:lineRule="auto"/>
        <w:rPr>
          <w:rFonts w:asciiTheme="minorHAnsi" w:hAnsiTheme="minorHAnsi" w:cstheme="minorHAnsi"/>
          <w:color w:val="000000"/>
        </w:rPr>
      </w:pPr>
      <w:r w:rsidRPr="008F0B92">
        <w:rPr>
          <w:rFonts w:asciiTheme="minorHAnsi" w:hAnsiTheme="minorHAnsi" w:cstheme="minorHAnsi"/>
          <w:color w:val="000000"/>
        </w:rPr>
        <w:lastRenderedPageBreak/>
        <w:t>[11] Estyn (2018).</w:t>
      </w:r>
      <w:r w:rsidRPr="008F0B92">
        <w:rPr>
          <w:rStyle w:val="apple-converted-space"/>
          <w:rFonts w:asciiTheme="minorHAnsi" w:hAnsiTheme="minorHAnsi" w:cstheme="minorHAnsi"/>
          <w:color w:val="000000"/>
        </w:rPr>
        <w:t> </w:t>
      </w:r>
      <w:r w:rsidRPr="008F0B92">
        <w:rPr>
          <w:rFonts w:asciiTheme="minorHAnsi" w:hAnsiTheme="minorHAnsi" w:cstheme="minorHAnsi"/>
          <w:i/>
          <w:iCs/>
          <w:color w:val="000000"/>
        </w:rPr>
        <w:t>Successful Behaviours through reward-based Programme | Estyn</w:t>
      </w:r>
      <w:r w:rsidRPr="008F0B92">
        <w:rPr>
          <w:rFonts w:asciiTheme="minorHAnsi" w:hAnsiTheme="minorHAnsi" w:cstheme="minorHAnsi"/>
          <w:color w:val="000000"/>
        </w:rPr>
        <w:t xml:space="preserve">. [online] www.estyn.gov.wales. Available at: </w:t>
      </w:r>
      <w:hyperlink r:id="rId14" w:history="1">
        <w:r w:rsidRPr="008F0B92">
          <w:rPr>
            <w:rStyle w:val="Hyperlink"/>
            <w:rFonts w:asciiTheme="minorHAnsi" w:hAnsiTheme="minorHAnsi" w:cstheme="minorHAnsi"/>
          </w:rPr>
          <w:t>https://www.estyn.gov.wales/effective-practice/successful-behaviours-through-reward-based-progra</w:t>
        </w:r>
        <w:r w:rsidRPr="008F0B92">
          <w:rPr>
            <w:rStyle w:val="Hyperlink"/>
            <w:rFonts w:asciiTheme="minorHAnsi" w:hAnsiTheme="minorHAnsi" w:cstheme="minorHAnsi"/>
          </w:rPr>
          <w:t>m</w:t>
        </w:r>
        <w:r w:rsidRPr="008F0B92">
          <w:rPr>
            <w:rStyle w:val="Hyperlink"/>
            <w:rFonts w:asciiTheme="minorHAnsi" w:hAnsiTheme="minorHAnsi" w:cstheme="minorHAnsi"/>
          </w:rPr>
          <w:t>me</w:t>
        </w:r>
      </w:hyperlink>
      <w:r w:rsidRPr="008F0B92">
        <w:rPr>
          <w:rFonts w:asciiTheme="minorHAnsi" w:hAnsiTheme="minorHAnsi" w:cstheme="minorHAnsi"/>
          <w:color w:val="000000"/>
        </w:rPr>
        <w:t xml:space="preserve"> [Accessed 6 Nov. 2023].</w:t>
      </w:r>
    </w:p>
    <w:p w14:paraId="11CC6E4E" w14:textId="373D9340" w:rsidR="005C74A8" w:rsidRPr="008F0B92" w:rsidRDefault="001661DF" w:rsidP="008F0B92">
      <w:pPr>
        <w:pStyle w:val="NormalWeb"/>
        <w:spacing w:before="0" w:beforeAutospacing="0" w:after="240" w:afterAutospacing="0" w:line="360" w:lineRule="auto"/>
        <w:rPr>
          <w:rFonts w:asciiTheme="minorHAnsi" w:hAnsiTheme="minorHAnsi" w:cstheme="minorHAnsi"/>
          <w:color w:val="000000"/>
        </w:rPr>
      </w:pPr>
      <w:r w:rsidRPr="008F0B92">
        <w:rPr>
          <w:rFonts w:asciiTheme="minorHAnsi" w:hAnsiTheme="minorHAnsi" w:cstheme="minorHAnsi"/>
          <w:color w:val="000000"/>
        </w:rPr>
        <w:t>Flanagan, J.C. (1954). Psychological Bulletin THE CRITICAL INCIDENT TECHNIQUE.</w:t>
      </w:r>
      <w:r w:rsidRPr="008F0B92">
        <w:rPr>
          <w:rStyle w:val="apple-converted-space"/>
          <w:rFonts w:asciiTheme="minorHAnsi" w:hAnsiTheme="minorHAnsi" w:cstheme="minorHAnsi"/>
          <w:color w:val="000000"/>
        </w:rPr>
        <w:t> </w:t>
      </w:r>
      <w:r w:rsidRPr="008F0B92">
        <w:rPr>
          <w:rFonts w:asciiTheme="minorHAnsi" w:hAnsiTheme="minorHAnsi" w:cstheme="minorHAnsi"/>
          <w:i/>
          <w:iCs/>
          <w:color w:val="000000"/>
        </w:rPr>
        <w:t>JULY</w:t>
      </w:r>
      <w:r w:rsidRPr="008F0B92">
        <w:rPr>
          <w:rFonts w:asciiTheme="minorHAnsi" w:hAnsiTheme="minorHAnsi" w:cstheme="minorHAnsi"/>
          <w:color w:val="000000"/>
        </w:rPr>
        <w:t xml:space="preserve">, [online] 51(4). Available at: </w:t>
      </w:r>
      <w:hyperlink r:id="rId15" w:history="1">
        <w:r w:rsidRPr="008F0B92">
          <w:rPr>
            <w:rStyle w:val="Hyperlink"/>
            <w:rFonts w:asciiTheme="minorHAnsi" w:hAnsiTheme="minorHAnsi" w:cstheme="minorHAnsi"/>
          </w:rPr>
          <w:t>https://www.apa.org/pubs/databases/psycinfo/cit-article.pdf</w:t>
        </w:r>
      </w:hyperlink>
      <w:r w:rsidRPr="008F0B92">
        <w:rPr>
          <w:rFonts w:asciiTheme="minorHAnsi" w:hAnsiTheme="minorHAnsi" w:cstheme="minorHAnsi"/>
          <w:color w:val="000000"/>
        </w:rPr>
        <w:t>.</w:t>
      </w:r>
    </w:p>
    <w:p w14:paraId="12B9F899" w14:textId="77777777" w:rsidR="001661DF" w:rsidRPr="008F0B92" w:rsidRDefault="001661DF" w:rsidP="008F0B92">
      <w:pPr>
        <w:pStyle w:val="NormalWeb"/>
        <w:spacing w:before="0" w:beforeAutospacing="0" w:after="240" w:afterAutospacing="0" w:line="360" w:lineRule="auto"/>
        <w:rPr>
          <w:rFonts w:asciiTheme="minorHAnsi" w:hAnsiTheme="minorHAnsi" w:cstheme="minorHAnsi"/>
        </w:rPr>
      </w:pPr>
      <w:proofErr w:type="spellStart"/>
      <w:r w:rsidRPr="008F0B92">
        <w:rPr>
          <w:rFonts w:asciiTheme="minorHAnsi" w:hAnsiTheme="minorHAnsi" w:cstheme="minorHAnsi"/>
        </w:rPr>
        <w:t>Guay</w:t>
      </w:r>
      <w:proofErr w:type="spellEnd"/>
      <w:r w:rsidRPr="008F0B92">
        <w:rPr>
          <w:rFonts w:asciiTheme="minorHAnsi" w:hAnsiTheme="minorHAnsi" w:cstheme="minorHAnsi"/>
        </w:rPr>
        <w:t xml:space="preserve">, F., </w:t>
      </w:r>
      <w:proofErr w:type="spellStart"/>
      <w:r w:rsidRPr="008F0B92">
        <w:rPr>
          <w:rFonts w:asciiTheme="minorHAnsi" w:hAnsiTheme="minorHAnsi" w:cstheme="minorHAnsi"/>
        </w:rPr>
        <w:t>Ratelle</w:t>
      </w:r>
      <w:proofErr w:type="spellEnd"/>
      <w:r w:rsidRPr="008F0B92">
        <w:rPr>
          <w:rFonts w:asciiTheme="minorHAnsi" w:hAnsiTheme="minorHAnsi" w:cstheme="minorHAnsi"/>
        </w:rPr>
        <w:t xml:space="preserve">, C. F., &amp; </w:t>
      </w:r>
      <w:proofErr w:type="spellStart"/>
      <w:r w:rsidRPr="008F0B92">
        <w:rPr>
          <w:rFonts w:asciiTheme="minorHAnsi" w:hAnsiTheme="minorHAnsi" w:cstheme="minorHAnsi"/>
        </w:rPr>
        <w:t>Chanal</w:t>
      </w:r>
      <w:proofErr w:type="spellEnd"/>
      <w:r w:rsidRPr="008F0B92">
        <w:rPr>
          <w:rFonts w:asciiTheme="minorHAnsi" w:hAnsiTheme="minorHAnsi" w:cstheme="minorHAnsi"/>
        </w:rPr>
        <w:t xml:space="preserve">, J. (2008). Optimal learning in optimal contexts: The role of self- determination in education. </w:t>
      </w:r>
      <w:r w:rsidRPr="008F0B92">
        <w:rPr>
          <w:rFonts w:asciiTheme="minorHAnsi" w:hAnsiTheme="minorHAnsi" w:cstheme="minorHAnsi"/>
          <w:i/>
          <w:iCs/>
        </w:rPr>
        <w:t>Canadian Psychology/</w:t>
      </w:r>
      <w:proofErr w:type="spellStart"/>
      <w:r w:rsidRPr="008F0B92">
        <w:rPr>
          <w:rFonts w:asciiTheme="minorHAnsi" w:hAnsiTheme="minorHAnsi" w:cstheme="minorHAnsi"/>
          <w:i/>
          <w:iCs/>
        </w:rPr>
        <w:t>Psychologie</w:t>
      </w:r>
      <w:proofErr w:type="spellEnd"/>
      <w:r w:rsidRPr="008F0B92">
        <w:rPr>
          <w:rFonts w:asciiTheme="minorHAnsi" w:hAnsiTheme="minorHAnsi" w:cstheme="minorHAnsi"/>
          <w:i/>
          <w:iCs/>
        </w:rPr>
        <w:t xml:space="preserve"> Canadienne</w:t>
      </w:r>
      <w:r w:rsidRPr="008F0B92">
        <w:rPr>
          <w:rFonts w:asciiTheme="minorHAnsi" w:hAnsiTheme="minorHAnsi" w:cstheme="minorHAnsi"/>
        </w:rPr>
        <w:t xml:space="preserve">, </w:t>
      </w:r>
      <w:r w:rsidRPr="008F0B92">
        <w:rPr>
          <w:rFonts w:asciiTheme="minorHAnsi" w:hAnsiTheme="minorHAnsi" w:cstheme="minorHAnsi"/>
          <w:i/>
          <w:iCs/>
        </w:rPr>
        <w:t>49</w:t>
      </w:r>
      <w:r w:rsidRPr="008F0B92">
        <w:rPr>
          <w:rFonts w:asciiTheme="minorHAnsi" w:hAnsiTheme="minorHAnsi" w:cstheme="minorHAnsi"/>
        </w:rPr>
        <w:t xml:space="preserve">(3), 233– 240. </w:t>
      </w:r>
      <w:hyperlink r:id="rId16" w:history="1">
        <w:r w:rsidRPr="008F0B92">
          <w:rPr>
            <w:rStyle w:val="Hyperlink"/>
            <w:rFonts w:asciiTheme="minorHAnsi" w:hAnsiTheme="minorHAnsi" w:cstheme="minorHAnsi"/>
          </w:rPr>
          <w:t>https://doi.org/10.1037/a0012758</w:t>
        </w:r>
      </w:hyperlink>
    </w:p>
    <w:p w14:paraId="69683F8F" w14:textId="0382BC82" w:rsidR="001661DF" w:rsidRPr="008F0B92" w:rsidRDefault="001661DF" w:rsidP="008F0B92">
      <w:pPr>
        <w:pStyle w:val="NormalWeb"/>
        <w:spacing w:before="0" w:beforeAutospacing="0" w:after="240" w:afterAutospacing="0" w:line="360" w:lineRule="auto"/>
        <w:rPr>
          <w:rFonts w:asciiTheme="minorHAnsi" w:hAnsiTheme="minorHAnsi" w:cstheme="minorHAnsi"/>
          <w:color w:val="000000"/>
        </w:rPr>
      </w:pPr>
      <w:r w:rsidRPr="008F0B92">
        <w:rPr>
          <w:rFonts w:asciiTheme="minorHAnsi" w:hAnsiTheme="minorHAnsi" w:cstheme="minorHAnsi"/>
          <w:color w:val="000000"/>
        </w:rPr>
        <w:t xml:space="preserve">[15] </w:t>
      </w:r>
      <w:r w:rsidRPr="008F0B92">
        <w:rPr>
          <w:rFonts w:asciiTheme="minorHAnsi" w:hAnsiTheme="minorHAnsi" w:cstheme="minorHAnsi"/>
          <w:color w:val="000000"/>
          <w:shd w:val="clear" w:color="auto" w:fill="FFFFFF"/>
        </w:rPr>
        <w:t>Hopkins, R. (1993). David Kolb's Experiential Learning Machine.</w:t>
      </w:r>
      <w:r w:rsidRPr="008F0B92">
        <w:rPr>
          <w:rStyle w:val="apple-converted-space"/>
          <w:rFonts w:asciiTheme="minorHAnsi" w:hAnsiTheme="minorHAnsi" w:cstheme="minorHAnsi"/>
          <w:color w:val="000000"/>
          <w:shd w:val="clear" w:color="auto" w:fill="FFFFFF"/>
        </w:rPr>
        <w:t> </w:t>
      </w:r>
      <w:r w:rsidRPr="008F0B92">
        <w:rPr>
          <w:rStyle w:val="Emphasis"/>
          <w:rFonts w:asciiTheme="minorHAnsi" w:hAnsiTheme="minorHAnsi" w:cstheme="minorHAnsi"/>
          <w:color w:val="000000"/>
        </w:rPr>
        <w:t>Journal of Phenomenological Psychology</w:t>
      </w:r>
      <w:r w:rsidRPr="008F0B92">
        <w:rPr>
          <w:rFonts w:asciiTheme="minorHAnsi" w:hAnsiTheme="minorHAnsi" w:cstheme="minorHAnsi"/>
          <w:color w:val="000000"/>
          <w:shd w:val="clear" w:color="auto" w:fill="FFFFFF"/>
        </w:rPr>
        <w:t>,</w:t>
      </w:r>
      <w:r w:rsidRPr="008F0B92">
        <w:rPr>
          <w:rStyle w:val="apple-converted-space"/>
          <w:rFonts w:asciiTheme="minorHAnsi" w:hAnsiTheme="minorHAnsi" w:cstheme="minorHAnsi"/>
          <w:color w:val="000000"/>
          <w:shd w:val="clear" w:color="auto" w:fill="FFFFFF"/>
        </w:rPr>
        <w:t> </w:t>
      </w:r>
      <w:r w:rsidRPr="008F0B92">
        <w:rPr>
          <w:rStyle w:val="Emphasis"/>
          <w:rFonts w:asciiTheme="minorHAnsi" w:hAnsiTheme="minorHAnsi" w:cstheme="minorHAnsi"/>
          <w:color w:val="000000"/>
        </w:rPr>
        <w:t>24</w:t>
      </w:r>
      <w:r w:rsidRPr="008F0B92">
        <w:rPr>
          <w:rFonts w:asciiTheme="minorHAnsi" w:hAnsiTheme="minorHAnsi" w:cstheme="minorHAnsi"/>
          <w:color w:val="000000"/>
          <w:shd w:val="clear" w:color="auto" w:fill="FFFFFF"/>
        </w:rPr>
        <w:t>(1), 46-62.</w:t>
      </w:r>
      <w:r w:rsidRPr="008F0B92">
        <w:rPr>
          <w:rStyle w:val="apple-converted-space"/>
          <w:rFonts w:asciiTheme="minorHAnsi" w:hAnsiTheme="minorHAnsi" w:cstheme="minorHAnsi"/>
          <w:color w:val="000000"/>
          <w:shd w:val="clear" w:color="auto" w:fill="FFFFFF"/>
        </w:rPr>
        <w:t> </w:t>
      </w:r>
      <w:hyperlink r:id="rId17" w:tgtFrame="_blank" w:history="1">
        <w:r w:rsidRPr="008F0B92">
          <w:rPr>
            <w:rStyle w:val="Hyperlink"/>
            <w:rFonts w:asciiTheme="minorHAnsi" w:hAnsiTheme="minorHAnsi" w:cstheme="minorHAnsi"/>
          </w:rPr>
          <w:t>https://doi.org/10.1163/156916293X00035</w:t>
        </w:r>
      </w:hyperlink>
    </w:p>
    <w:p w14:paraId="3C776140" w14:textId="77777777" w:rsidR="001661DF" w:rsidRPr="008F0B92" w:rsidRDefault="001661DF" w:rsidP="008F0B92">
      <w:pPr>
        <w:pStyle w:val="NormalWeb"/>
        <w:spacing w:before="0" w:beforeAutospacing="0" w:after="240" w:afterAutospacing="0" w:line="360" w:lineRule="auto"/>
        <w:rPr>
          <w:rFonts w:asciiTheme="minorHAnsi" w:hAnsiTheme="minorHAnsi" w:cstheme="minorHAnsi"/>
          <w:color w:val="000000"/>
        </w:rPr>
      </w:pPr>
      <w:r w:rsidRPr="008F0B92">
        <w:rPr>
          <w:rFonts w:asciiTheme="minorHAnsi" w:hAnsiTheme="minorHAnsi" w:cstheme="minorHAnsi"/>
          <w:color w:val="000000"/>
        </w:rPr>
        <w:t xml:space="preserve">[3] </w:t>
      </w:r>
      <w:proofErr w:type="spellStart"/>
      <w:proofErr w:type="gramStart"/>
      <w:r w:rsidRPr="008F0B92">
        <w:rPr>
          <w:rFonts w:asciiTheme="minorHAnsi" w:hAnsiTheme="minorHAnsi" w:cstheme="minorHAnsi"/>
          <w:color w:val="000000"/>
        </w:rPr>
        <w:t>hwb.gov.wales</w:t>
      </w:r>
      <w:proofErr w:type="spellEnd"/>
      <w:proofErr w:type="gramEnd"/>
      <w:r w:rsidRPr="008F0B92">
        <w:rPr>
          <w:rFonts w:asciiTheme="minorHAnsi" w:hAnsiTheme="minorHAnsi" w:cstheme="minorHAnsi"/>
          <w:color w:val="000000"/>
        </w:rPr>
        <w:t>. (n.d.).</w:t>
      </w:r>
      <w:r w:rsidRPr="008F0B92">
        <w:rPr>
          <w:rStyle w:val="apple-converted-space"/>
          <w:rFonts w:asciiTheme="minorHAnsi" w:hAnsiTheme="minorHAnsi" w:cstheme="minorHAnsi"/>
          <w:color w:val="000000"/>
        </w:rPr>
        <w:t> </w:t>
      </w:r>
      <w:proofErr w:type="spellStart"/>
      <w:r w:rsidRPr="008F0B92">
        <w:rPr>
          <w:rFonts w:asciiTheme="minorHAnsi" w:hAnsiTheme="minorHAnsi" w:cstheme="minorHAnsi"/>
          <w:i/>
          <w:iCs/>
          <w:color w:val="000000"/>
        </w:rPr>
        <w:t>Datblygu</w:t>
      </w:r>
      <w:proofErr w:type="spellEnd"/>
      <w:r w:rsidRPr="008F0B92">
        <w:rPr>
          <w:rFonts w:asciiTheme="minorHAnsi" w:hAnsiTheme="minorHAnsi" w:cstheme="minorHAnsi"/>
          <w:i/>
          <w:iCs/>
          <w:color w:val="000000"/>
        </w:rPr>
        <w:t xml:space="preserve"> </w:t>
      </w:r>
      <w:proofErr w:type="spellStart"/>
      <w:r w:rsidRPr="008F0B92">
        <w:rPr>
          <w:rFonts w:asciiTheme="minorHAnsi" w:hAnsiTheme="minorHAnsi" w:cstheme="minorHAnsi"/>
          <w:i/>
          <w:iCs/>
          <w:color w:val="000000"/>
        </w:rPr>
        <w:t>Gweledigaeth</w:t>
      </w:r>
      <w:proofErr w:type="spellEnd"/>
      <w:r w:rsidRPr="008F0B92">
        <w:rPr>
          <w:rFonts w:asciiTheme="minorHAnsi" w:hAnsiTheme="minorHAnsi" w:cstheme="minorHAnsi"/>
          <w:i/>
          <w:iCs/>
          <w:color w:val="000000"/>
        </w:rPr>
        <w:t xml:space="preserve"> </w:t>
      </w:r>
      <w:proofErr w:type="spellStart"/>
      <w:r w:rsidRPr="008F0B92">
        <w:rPr>
          <w:rFonts w:asciiTheme="minorHAnsi" w:hAnsiTheme="minorHAnsi" w:cstheme="minorHAnsi"/>
          <w:i/>
          <w:iCs/>
          <w:color w:val="000000"/>
        </w:rPr>
        <w:t>Ar</w:t>
      </w:r>
      <w:proofErr w:type="spellEnd"/>
      <w:r w:rsidRPr="008F0B92">
        <w:rPr>
          <w:rFonts w:asciiTheme="minorHAnsi" w:hAnsiTheme="minorHAnsi" w:cstheme="minorHAnsi"/>
          <w:i/>
          <w:iCs/>
          <w:color w:val="000000"/>
        </w:rPr>
        <w:t xml:space="preserve"> </w:t>
      </w:r>
      <w:proofErr w:type="spellStart"/>
      <w:r w:rsidRPr="008F0B92">
        <w:rPr>
          <w:rFonts w:asciiTheme="minorHAnsi" w:hAnsiTheme="minorHAnsi" w:cstheme="minorHAnsi"/>
          <w:i/>
          <w:iCs/>
          <w:color w:val="000000"/>
        </w:rPr>
        <w:t>Gyfer</w:t>
      </w:r>
      <w:proofErr w:type="spellEnd"/>
      <w:r w:rsidRPr="008F0B92">
        <w:rPr>
          <w:rFonts w:asciiTheme="minorHAnsi" w:hAnsiTheme="minorHAnsi" w:cstheme="minorHAnsi"/>
          <w:i/>
          <w:iCs/>
          <w:color w:val="000000"/>
        </w:rPr>
        <w:t xml:space="preserve"> </w:t>
      </w:r>
      <w:proofErr w:type="spellStart"/>
      <w:r w:rsidRPr="008F0B92">
        <w:rPr>
          <w:rFonts w:asciiTheme="minorHAnsi" w:hAnsiTheme="minorHAnsi" w:cstheme="minorHAnsi"/>
          <w:i/>
          <w:iCs/>
          <w:color w:val="000000"/>
        </w:rPr>
        <w:t>Cynllunio</w:t>
      </w:r>
      <w:proofErr w:type="spellEnd"/>
      <w:r w:rsidRPr="008F0B92">
        <w:rPr>
          <w:rFonts w:asciiTheme="minorHAnsi" w:hAnsiTheme="minorHAnsi" w:cstheme="minorHAnsi"/>
          <w:i/>
          <w:iCs/>
          <w:color w:val="000000"/>
        </w:rPr>
        <w:t xml:space="preserve"> </w:t>
      </w:r>
      <w:proofErr w:type="spellStart"/>
      <w:r w:rsidRPr="008F0B92">
        <w:rPr>
          <w:rFonts w:asciiTheme="minorHAnsi" w:hAnsiTheme="minorHAnsi" w:cstheme="minorHAnsi"/>
          <w:i/>
          <w:iCs/>
          <w:color w:val="000000"/>
        </w:rPr>
        <w:t>Cwricwlwm</w:t>
      </w:r>
      <w:proofErr w:type="spellEnd"/>
      <w:r w:rsidRPr="008F0B92">
        <w:rPr>
          <w:rFonts w:asciiTheme="minorHAnsi" w:hAnsiTheme="minorHAnsi" w:cstheme="minorHAnsi"/>
          <w:i/>
          <w:iCs/>
          <w:color w:val="000000"/>
        </w:rPr>
        <w:t xml:space="preserve"> - Hwb</w:t>
      </w:r>
      <w:r w:rsidRPr="008F0B92">
        <w:rPr>
          <w:rFonts w:asciiTheme="minorHAnsi" w:hAnsiTheme="minorHAnsi" w:cstheme="minorHAnsi"/>
          <w:color w:val="000000"/>
        </w:rPr>
        <w:t xml:space="preserve">. [online] Available at: </w:t>
      </w:r>
      <w:hyperlink r:id="rId18" w:history="1">
        <w:r w:rsidRPr="008F0B92">
          <w:rPr>
            <w:rStyle w:val="Hyperlink"/>
            <w:rFonts w:asciiTheme="minorHAnsi" w:hAnsiTheme="minorHAnsi" w:cstheme="minorHAnsi"/>
          </w:rPr>
          <w:t>https://hwb.gov.wales/cwricwlwm-i-gymru/cynllunio-eich-cwricwlwm/datblygu-gweledigaeth-ar-gyfer-cynllunio-cwricwlwm/</w:t>
        </w:r>
      </w:hyperlink>
      <w:r w:rsidRPr="008F0B92">
        <w:rPr>
          <w:rFonts w:asciiTheme="minorHAnsi" w:hAnsiTheme="minorHAnsi" w:cstheme="minorHAnsi"/>
          <w:color w:val="000000"/>
        </w:rPr>
        <w:t>.</w:t>
      </w:r>
    </w:p>
    <w:p w14:paraId="150DF95C" w14:textId="77777777" w:rsidR="001661DF" w:rsidRPr="008F0B92" w:rsidRDefault="001661DF" w:rsidP="008F0B92">
      <w:pPr>
        <w:pStyle w:val="NormalWeb"/>
        <w:spacing w:before="0" w:beforeAutospacing="0" w:after="240" w:afterAutospacing="0" w:line="360" w:lineRule="auto"/>
        <w:rPr>
          <w:rFonts w:asciiTheme="minorHAnsi" w:hAnsiTheme="minorHAnsi" w:cstheme="minorHAnsi"/>
        </w:rPr>
      </w:pPr>
      <w:r w:rsidRPr="008F0B92">
        <w:rPr>
          <w:rFonts w:asciiTheme="minorHAnsi" w:hAnsiTheme="minorHAnsi" w:cstheme="minorHAnsi"/>
        </w:rPr>
        <w:t xml:space="preserve">Kohn, A. (2004). What does it mean to be well educated? Boston: Beacon press. </w:t>
      </w:r>
    </w:p>
    <w:p w14:paraId="56B7A5E7" w14:textId="5423EEE6" w:rsidR="001661DF" w:rsidRPr="008F0B92" w:rsidRDefault="001661DF" w:rsidP="008F0B92">
      <w:pPr>
        <w:pStyle w:val="NormalWeb"/>
        <w:spacing w:before="0" w:beforeAutospacing="0" w:after="240" w:afterAutospacing="0" w:line="360" w:lineRule="auto"/>
        <w:rPr>
          <w:rFonts w:asciiTheme="minorHAnsi" w:hAnsiTheme="minorHAnsi" w:cstheme="minorHAnsi"/>
          <w:color w:val="000000"/>
        </w:rPr>
      </w:pPr>
      <w:r w:rsidRPr="008F0B92">
        <w:rPr>
          <w:rFonts w:asciiTheme="minorHAnsi" w:hAnsiTheme="minorHAnsi" w:cstheme="minorHAnsi"/>
        </w:rPr>
        <w:t xml:space="preserve">[10] </w:t>
      </w:r>
      <w:r w:rsidRPr="008F0B92">
        <w:rPr>
          <w:rFonts w:asciiTheme="minorHAnsi" w:hAnsiTheme="minorHAnsi" w:cstheme="minorHAnsi"/>
          <w:color w:val="000000"/>
        </w:rPr>
        <w:t>Mayer, R.E. (2004). Should There Be a Three-Strikes Rule against Pure Discovery Learning?</w:t>
      </w:r>
      <w:r w:rsidRPr="008F0B92">
        <w:rPr>
          <w:rStyle w:val="apple-converted-space"/>
          <w:rFonts w:asciiTheme="minorHAnsi" w:hAnsiTheme="minorHAnsi" w:cstheme="minorHAnsi"/>
          <w:color w:val="000000"/>
        </w:rPr>
        <w:t> </w:t>
      </w:r>
      <w:r w:rsidRPr="008F0B92">
        <w:rPr>
          <w:rFonts w:asciiTheme="minorHAnsi" w:hAnsiTheme="minorHAnsi" w:cstheme="minorHAnsi"/>
          <w:i/>
          <w:iCs/>
          <w:color w:val="000000"/>
        </w:rPr>
        <w:t>American Psychologist</w:t>
      </w:r>
      <w:r w:rsidRPr="008F0B92">
        <w:rPr>
          <w:rFonts w:asciiTheme="minorHAnsi" w:hAnsiTheme="minorHAnsi" w:cstheme="minorHAnsi"/>
          <w:color w:val="000000"/>
        </w:rPr>
        <w:t>, 59(1), pp.14–19.</w:t>
      </w:r>
    </w:p>
    <w:p w14:paraId="3B0D4123" w14:textId="77777777" w:rsidR="001661DF" w:rsidRPr="008F0B92" w:rsidRDefault="001661DF" w:rsidP="008F0B92">
      <w:pPr>
        <w:pStyle w:val="NormalWeb"/>
        <w:spacing w:before="0" w:beforeAutospacing="0" w:after="240" w:afterAutospacing="0" w:line="360" w:lineRule="auto"/>
        <w:rPr>
          <w:rFonts w:asciiTheme="minorHAnsi" w:hAnsiTheme="minorHAnsi" w:cstheme="minorHAnsi"/>
          <w:color w:val="000000"/>
        </w:rPr>
      </w:pPr>
      <w:r w:rsidRPr="008F0B92">
        <w:rPr>
          <w:rFonts w:asciiTheme="minorHAnsi" w:hAnsiTheme="minorHAnsi" w:cstheme="minorHAnsi"/>
          <w:lang w:val="cy-GB"/>
        </w:rPr>
        <w:t xml:space="preserve">[6] </w:t>
      </w:r>
      <w:r w:rsidRPr="008F0B92">
        <w:rPr>
          <w:rFonts w:asciiTheme="minorHAnsi" w:hAnsiTheme="minorHAnsi" w:cstheme="minorHAnsi"/>
          <w:color w:val="000000"/>
        </w:rPr>
        <w:t>McLeod, S. (2023).</w:t>
      </w:r>
      <w:r w:rsidRPr="008F0B92">
        <w:rPr>
          <w:rStyle w:val="apple-converted-space"/>
          <w:rFonts w:asciiTheme="minorHAnsi" w:hAnsiTheme="minorHAnsi" w:cstheme="minorHAnsi"/>
          <w:color w:val="000000"/>
        </w:rPr>
        <w:t> </w:t>
      </w:r>
      <w:r w:rsidRPr="008F0B92">
        <w:rPr>
          <w:rFonts w:asciiTheme="minorHAnsi" w:hAnsiTheme="minorHAnsi" w:cstheme="minorHAnsi"/>
          <w:i/>
          <w:iCs/>
          <w:color w:val="000000"/>
        </w:rPr>
        <w:t>What Is Operant Conditioning and How Does It work?</w:t>
      </w:r>
      <w:r w:rsidRPr="008F0B92">
        <w:rPr>
          <w:rStyle w:val="apple-converted-space"/>
          <w:rFonts w:asciiTheme="minorHAnsi" w:hAnsiTheme="minorHAnsi" w:cstheme="minorHAnsi"/>
          <w:color w:val="000000"/>
        </w:rPr>
        <w:t> </w:t>
      </w:r>
      <w:r w:rsidRPr="008F0B92">
        <w:rPr>
          <w:rFonts w:asciiTheme="minorHAnsi" w:hAnsiTheme="minorHAnsi" w:cstheme="minorHAnsi"/>
          <w:color w:val="000000"/>
        </w:rPr>
        <w:t xml:space="preserve">[online] Simply Psychology. Available at: </w:t>
      </w:r>
      <w:hyperlink r:id="rId19" w:history="1">
        <w:r w:rsidRPr="008F0B92">
          <w:rPr>
            <w:rStyle w:val="Hyperlink"/>
            <w:rFonts w:asciiTheme="minorHAnsi" w:hAnsiTheme="minorHAnsi" w:cstheme="minorHAnsi"/>
          </w:rPr>
          <w:t>https://ww</w:t>
        </w:r>
        <w:r w:rsidRPr="008F0B92">
          <w:rPr>
            <w:rStyle w:val="Hyperlink"/>
            <w:rFonts w:asciiTheme="minorHAnsi" w:hAnsiTheme="minorHAnsi" w:cstheme="minorHAnsi"/>
          </w:rPr>
          <w:t>w</w:t>
        </w:r>
        <w:r w:rsidRPr="008F0B92">
          <w:rPr>
            <w:rStyle w:val="Hyperlink"/>
            <w:rFonts w:asciiTheme="minorHAnsi" w:hAnsiTheme="minorHAnsi" w:cstheme="minorHAnsi"/>
          </w:rPr>
          <w:t>.simplypsychology.org/operant-conditioning.html</w:t>
        </w:r>
      </w:hyperlink>
      <w:r w:rsidRPr="008F0B92">
        <w:rPr>
          <w:rFonts w:asciiTheme="minorHAnsi" w:hAnsiTheme="minorHAnsi" w:cstheme="minorHAnsi"/>
          <w:color w:val="000000"/>
        </w:rPr>
        <w:t>.</w:t>
      </w:r>
    </w:p>
    <w:p w14:paraId="027BA128" w14:textId="77777777" w:rsidR="001661DF" w:rsidRPr="008F0B92" w:rsidRDefault="001661DF" w:rsidP="008F0B92">
      <w:pPr>
        <w:spacing w:line="360" w:lineRule="auto"/>
        <w:rPr>
          <w:rFonts w:asciiTheme="minorHAnsi" w:hAnsiTheme="minorHAnsi" w:cstheme="minorHAnsi"/>
          <w:color w:val="000000"/>
        </w:rPr>
      </w:pPr>
      <w:r w:rsidRPr="008F0B92">
        <w:rPr>
          <w:rFonts w:asciiTheme="minorHAnsi" w:hAnsiTheme="minorHAnsi" w:cstheme="minorHAnsi"/>
          <w:lang w:val="cy-GB"/>
        </w:rPr>
        <w:t xml:space="preserve">[9] </w:t>
      </w:r>
      <w:r w:rsidRPr="008F0B92">
        <w:rPr>
          <w:rFonts w:asciiTheme="minorHAnsi" w:hAnsiTheme="minorHAnsi" w:cstheme="minorHAnsi"/>
          <w:color w:val="000000"/>
        </w:rPr>
        <w:t xml:space="preserve">O Austin </w:t>
      </w:r>
      <w:proofErr w:type="spellStart"/>
      <w:r w:rsidRPr="008F0B92">
        <w:rPr>
          <w:rFonts w:asciiTheme="minorHAnsi" w:hAnsiTheme="minorHAnsi" w:cstheme="minorHAnsi"/>
          <w:color w:val="000000"/>
        </w:rPr>
        <w:t>Omomia</w:t>
      </w:r>
      <w:proofErr w:type="spellEnd"/>
      <w:r w:rsidRPr="008F0B92">
        <w:rPr>
          <w:rFonts w:asciiTheme="minorHAnsi" w:hAnsiTheme="minorHAnsi" w:cstheme="minorHAnsi"/>
          <w:color w:val="000000"/>
        </w:rPr>
        <w:t xml:space="preserve"> and </w:t>
      </w:r>
      <w:proofErr w:type="spellStart"/>
      <w:r w:rsidRPr="008F0B92">
        <w:rPr>
          <w:rFonts w:asciiTheme="minorHAnsi" w:hAnsiTheme="minorHAnsi" w:cstheme="minorHAnsi"/>
          <w:color w:val="000000"/>
        </w:rPr>
        <w:t>Omomia</w:t>
      </w:r>
      <w:proofErr w:type="spellEnd"/>
      <w:r w:rsidRPr="008F0B92">
        <w:rPr>
          <w:rFonts w:asciiTheme="minorHAnsi" w:hAnsiTheme="minorHAnsi" w:cstheme="minorHAnsi"/>
          <w:color w:val="000000"/>
        </w:rPr>
        <w:t xml:space="preserve">, T.A. (2015). Relevance of Skinner’s Theory of Reinforcement on Effective School </w:t>
      </w:r>
      <w:proofErr w:type="spellStart"/>
      <w:r w:rsidRPr="008F0B92">
        <w:rPr>
          <w:rFonts w:asciiTheme="minorHAnsi" w:hAnsiTheme="minorHAnsi" w:cstheme="minorHAnsi"/>
          <w:color w:val="000000"/>
        </w:rPr>
        <w:t>Evaluaution</w:t>
      </w:r>
      <w:proofErr w:type="spellEnd"/>
      <w:r w:rsidRPr="008F0B92">
        <w:rPr>
          <w:rFonts w:asciiTheme="minorHAnsi" w:hAnsiTheme="minorHAnsi" w:cstheme="minorHAnsi"/>
          <w:color w:val="000000"/>
        </w:rPr>
        <w:t xml:space="preserve"> and Management.</w:t>
      </w:r>
      <w:r w:rsidRPr="008F0B92">
        <w:rPr>
          <w:rStyle w:val="apple-converted-space"/>
          <w:rFonts w:asciiTheme="minorHAnsi" w:hAnsiTheme="minorHAnsi" w:cstheme="minorHAnsi"/>
          <w:color w:val="000000"/>
        </w:rPr>
        <w:t> </w:t>
      </w:r>
      <w:r w:rsidRPr="008F0B92">
        <w:rPr>
          <w:rFonts w:asciiTheme="minorHAnsi" w:hAnsiTheme="minorHAnsi" w:cstheme="minorHAnsi"/>
          <w:i/>
          <w:iCs/>
          <w:color w:val="000000"/>
        </w:rPr>
        <w:t>European Journal of Psychological Studies</w:t>
      </w:r>
      <w:r w:rsidRPr="008F0B92">
        <w:rPr>
          <w:rFonts w:asciiTheme="minorHAnsi" w:hAnsiTheme="minorHAnsi" w:cstheme="minorHAnsi"/>
          <w:color w:val="000000"/>
        </w:rPr>
        <w:t xml:space="preserve">, [online] 4(4), pp.174–180. </w:t>
      </w:r>
      <w:proofErr w:type="spellStart"/>
      <w:r w:rsidRPr="008F0B92">
        <w:rPr>
          <w:rFonts w:asciiTheme="minorHAnsi" w:hAnsiTheme="minorHAnsi" w:cstheme="minorHAnsi"/>
          <w:color w:val="000000"/>
        </w:rPr>
        <w:t>doi</w:t>
      </w:r>
      <w:proofErr w:type="spellEnd"/>
      <w:r w:rsidRPr="008F0B92">
        <w:rPr>
          <w:rFonts w:asciiTheme="minorHAnsi" w:hAnsiTheme="minorHAnsi" w:cstheme="minorHAnsi"/>
          <w:color w:val="000000"/>
        </w:rPr>
        <w:t xml:space="preserve">: </w:t>
      </w:r>
      <w:hyperlink r:id="rId20" w:history="1">
        <w:r w:rsidRPr="008F0B92">
          <w:rPr>
            <w:rStyle w:val="Hyperlink"/>
            <w:rFonts w:asciiTheme="minorHAnsi" w:hAnsiTheme="minorHAnsi" w:cstheme="minorHAnsi"/>
          </w:rPr>
          <w:t>https://doi.org/10.13187/ejps.2014.4.174</w:t>
        </w:r>
      </w:hyperlink>
      <w:r w:rsidRPr="008F0B92">
        <w:rPr>
          <w:rFonts w:asciiTheme="minorHAnsi" w:hAnsiTheme="minorHAnsi" w:cstheme="minorHAnsi"/>
          <w:color w:val="000000"/>
        </w:rPr>
        <w:t>.</w:t>
      </w:r>
    </w:p>
    <w:p w14:paraId="5C4F7377" w14:textId="77777777" w:rsidR="00A2786A" w:rsidRPr="008F0B92" w:rsidRDefault="00A2786A" w:rsidP="008F0B92">
      <w:pPr>
        <w:spacing w:line="360" w:lineRule="auto"/>
        <w:rPr>
          <w:rFonts w:asciiTheme="minorHAnsi" w:hAnsiTheme="minorHAnsi" w:cstheme="minorHAnsi"/>
          <w:color w:val="000000"/>
        </w:rPr>
      </w:pPr>
    </w:p>
    <w:p w14:paraId="4FD66978" w14:textId="1C3C9C93" w:rsidR="001661DF" w:rsidRPr="008F0B92" w:rsidRDefault="001661DF" w:rsidP="008F0B92">
      <w:pPr>
        <w:spacing w:line="360" w:lineRule="auto"/>
        <w:rPr>
          <w:rFonts w:asciiTheme="minorHAnsi" w:hAnsiTheme="minorHAnsi" w:cstheme="minorHAnsi"/>
          <w:color w:val="000000"/>
        </w:rPr>
      </w:pPr>
      <w:r w:rsidRPr="008F0B92">
        <w:rPr>
          <w:rFonts w:asciiTheme="minorHAnsi" w:hAnsiTheme="minorHAnsi" w:cstheme="minorHAnsi"/>
        </w:rPr>
        <w:t xml:space="preserve"> </w:t>
      </w:r>
      <w:r w:rsidRPr="008F0B92">
        <w:rPr>
          <w:rFonts w:asciiTheme="minorHAnsi" w:hAnsiTheme="minorHAnsi" w:cstheme="minorHAnsi"/>
        </w:rPr>
        <w:t xml:space="preserve">[18] </w:t>
      </w:r>
      <w:r w:rsidRPr="008F0B92">
        <w:rPr>
          <w:rFonts w:asciiTheme="minorHAnsi" w:hAnsiTheme="minorHAnsi" w:cstheme="minorHAnsi"/>
          <w:color w:val="000000"/>
        </w:rPr>
        <w:t>Paquette, D. and Ryan, J. (2021).</w:t>
      </w:r>
      <w:r w:rsidRPr="008F0B92">
        <w:rPr>
          <w:rStyle w:val="apple-converted-space"/>
          <w:rFonts w:asciiTheme="minorHAnsi" w:hAnsiTheme="minorHAnsi" w:cstheme="minorHAnsi"/>
          <w:color w:val="000000"/>
        </w:rPr>
        <w:t> </w:t>
      </w:r>
      <w:r w:rsidRPr="008F0B92">
        <w:rPr>
          <w:rFonts w:asciiTheme="minorHAnsi" w:hAnsiTheme="minorHAnsi" w:cstheme="minorHAnsi"/>
          <w:i/>
          <w:iCs/>
          <w:color w:val="000000"/>
        </w:rPr>
        <w:t>Bronfenbrenner’s Ecological Systems Theory</w:t>
      </w:r>
      <w:r w:rsidRPr="008F0B92">
        <w:rPr>
          <w:rFonts w:asciiTheme="minorHAnsi" w:hAnsiTheme="minorHAnsi" w:cstheme="minorHAnsi"/>
          <w:color w:val="000000"/>
        </w:rPr>
        <w:t xml:space="preserve">. [online] Available at: </w:t>
      </w:r>
      <w:hyperlink r:id="rId21" w:history="1">
        <w:r w:rsidRPr="008F0B92">
          <w:rPr>
            <w:rStyle w:val="Hyperlink"/>
            <w:rFonts w:asciiTheme="minorHAnsi" w:hAnsiTheme="minorHAnsi" w:cstheme="minorHAnsi"/>
          </w:rPr>
          <w:t>https://dropoutprevention.org/wp-content/uploads/2015/07/paquetteryanwebquest_20091110.pdf</w:t>
        </w:r>
      </w:hyperlink>
    </w:p>
    <w:p w14:paraId="013437FF" w14:textId="77777777" w:rsidR="001661DF" w:rsidRPr="008F0B92" w:rsidRDefault="001661DF" w:rsidP="008F0B92">
      <w:pPr>
        <w:spacing w:line="360" w:lineRule="auto"/>
        <w:rPr>
          <w:rFonts w:asciiTheme="minorHAnsi" w:hAnsiTheme="minorHAnsi" w:cstheme="minorHAnsi"/>
          <w:color w:val="000000"/>
        </w:rPr>
      </w:pPr>
    </w:p>
    <w:p w14:paraId="131C802A" w14:textId="77777777" w:rsidR="001661DF" w:rsidRPr="008F0B92" w:rsidRDefault="001661DF" w:rsidP="008F0B92">
      <w:pPr>
        <w:pStyle w:val="NormalWeb"/>
        <w:spacing w:before="0" w:beforeAutospacing="0" w:after="240" w:afterAutospacing="0" w:line="360" w:lineRule="auto"/>
        <w:rPr>
          <w:rFonts w:asciiTheme="minorHAnsi" w:hAnsiTheme="minorHAnsi" w:cstheme="minorHAnsi"/>
          <w:color w:val="000000"/>
        </w:rPr>
      </w:pPr>
      <w:proofErr w:type="gramStart"/>
      <w:r w:rsidRPr="008F0B92">
        <w:rPr>
          <w:rFonts w:asciiTheme="minorHAnsi" w:hAnsiTheme="minorHAnsi" w:cstheme="minorHAnsi"/>
          <w:color w:val="333333"/>
        </w:rPr>
        <w:lastRenderedPageBreak/>
        <w:t>Piaget ,</w:t>
      </w:r>
      <w:proofErr w:type="gramEnd"/>
      <w:r w:rsidRPr="008F0B92">
        <w:rPr>
          <w:rFonts w:asciiTheme="minorHAnsi" w:hAnsiTheme="minorHAnsi" w:cstheme="minorHAnsi"/>
          <w:color w:val="333333"/>
        </w:rPr>
        <w:t xml:space="preserve"> J. 1967 .</w:t>
      </w:r>
      <w:r w:rsidRPr="008F0B92">
        <w:rPr>
          <w:rStyle w:val="apple-converted-space"/>
          <w:rFonts w:asciiTheme="minorHAnsi" w:hAnsiTheme="minorHAnsi" w:cstheme="minorHAnsi"/>
          <w:color w:val="333333"/>
        </w:rPr>
        <w:t> </w:t>
      </w:r>
      <w:r w:rsidRPr="008F0B92">
        <w:rPr>
          <w:rStyle w:val="citationsource-book"/>
          <w:rFonts w:asciiTheme="minorHAnsi" w:hAnsiTheme="minorHAnsi" w:cstheme="minorHAnsi"/>
          <w:i/>
          <w:iCs/>
          <w:color w:val="333333"/>
        </w:rPr>
        <w:t xml:space="preserve">Six psychological </w:t>
      </w:r>
      <w:proofErr w:type="gramStart"/>
      <w:r w:rsidRPr="008F0B92">
        <w:rPr>
          <w:rStyle w:val="citationsource-book"/>
          <w:rFonts w:asciiTheme="minorHAnsi" w:hAnsiTheme="minorHAnsi" w:cstheme="minorHAnsi"/>
          <w:i/>
          <w:iCs/>
          <w:color w:val="333333"/>
        </w:rPr>
        <w:t>studies</w:t>
      </w:r>
      <w:r w:rsidRPr="008F0B92">
        <w:rPr>
          <w:rStyle w:val="apple-converted-space"/>
          <w:rFonts w:asciiTheme="minorHAnsi" w:hAnsiTheme="minorHAnsi" w:cstheme="minorHAnsi"/>
          <w:color w:val="333333"/>
        </w:rPr>
        <w:t> </w:t>
      </w:r>
      <w:r w:rsidRPr="008F0B92">
        <w:rPr>
          <w:rFonts w:asciiTheme="minorHAnsi" w:hAnsiTheme="minorHAnsi" w:cstheme="minorHAnsi"/>
          <w:color w:val="333333"/>
        </w:rPr>
        <w:t>,</w:t>
      </w:r>
      <w:proofErr w:type="gramEnd"/>
      <w:r w:rsidRPr="008F0B92">
        <w:rPr>
          <w:rFonts w:asciiTheme="minorHAnsi" w:hAnsiTheme="minorHAnsi" w:cstheme="minorHAnsi"/>
          <w:color w:val="333333"/>
        </w:rPr>
        <w:t xml:space="preserve"> London : London University Press .</w:t>
      </w:r>
      <w:r w:rsidRPr="008F0B92">
        <w:rPr>
          <w:rStyle w:val="apple-converted-space"/>
          <w:rFonts w:asciiTheme="minorHAnsi" w:hAnsiTheme="minorHAnsi" w:cstheme="minorHAnsi"/>
          <w:color w:val="333333"/>
        </w:rPr>
        <w:t> </w:t>
      </w:r>
    </w:p>
    <w:p w14:paraId="2C59E72E" w14:textId="43C5B779" w:rsidR="001661DF" w:rsidRPr="008F0B92" w:rsidRDefault="001661DF" w:rsidP="008F0B92">
      <w:pPr>
        <w:pStyle w:val="NormalWeb"/>
        <w:spacing w:before="0" w:beforeAutospacing="0" w:after="240" w:afterAutospacing="0" w:line="360" w:lineRule="auto"/>
        <w:rPr>
          <w:rFonts w:asciiTheme="minorHAnsi" w:hAnsiTheme="minorHAnsi" w:cstheme="minorHAnsi"/>
          <w:color w:val="000000"/>
        </w:rPr>
      </w:pPr>
      <w:proofErr w:type="spellStart"/>
      <w:r w:rsidRPr="008F0B92">
        <w:rPr>
          <w:rFonts w:asciiTheme="minorHAnsi" w:hAnsiTheme="minorHAnsi" w:cstheme="minorHAnsi"/>
        </w:rPr>
        <w:t>Praetorius</w:t>
      </w:r>
      <w:proofErr w:type="spellEnd"/>
      <w:r w:rsidRPr="008F0B92">
        <w:rPr>
          <w:rFonts w:asciiTheme="minorHAnsi" w:hAnsiTheme="minorHAnsi" w:cstheme="minorHAnsi"/>
        </w:rPr>
        <w:t xml:space="preserve">, A. K., </w:t>
      </w:r>
      <w:proofErr w:type="spellStart"/>
      <w:r w:rsidRPr="008F0B92">
        <w:rPr>
          <w:rFonts w:asciiTheme="minorHAnsi" w:hAnsiTheme="minorHAnsi" w:cstheme="minorHAnsi"/>
        </w:rPr>
        <w:t>Klieme</w:t>
      </w:r>
      <w:proofErr w:type="spellEnd"/>
      <w:r w:rsidRPr="008F0B92">
        <w:rPr>
          <w:rFonts w:asciiTheme="minorHAnsi" w:hAnsiTheme="minorHAnsi" w:cstheme="minorHAnsi"/>
        </w:rPr>
        <w:t xml:space="preserve">, E., Herbert, B., &amp; Pinger, P. (2018). Generic dimensions of teaching quality: the German framework of Three Basic Dimensions. </w:t>
      </w:r>
      <w:r w:rsidRPr="008F0B92">
        <w:rPr>
          <w:rFonts w:asciiTheme="minorHAnsi" w:hAnsiTheme="minorHAnsi" w:cstheme="minorHAnsi"/>
          <w:i/>
          <w:iCs/>
        </w:rPr>
        <w:t>ZDM - Mathematics Education</w:t>
      </w:r>
      <w:r w:rsidRPr="008F0B92">
        <w:rPr>
          <w:rFonts w:asciiTheme="minorHAnsi" w:hAnsiTheme="minorHAnsi" w:cstheme="minorHAnsi"/>
        </w:rPr>
        <w:t xml:space="preserve">, </w:t>
      </w:r>
      <w:r w:rsidRPr="008F0B92">
        <w:rPr>
          <w:rFonts w:asciiTheme="minorHAnsi" w:hAnsiTheme="minorHAnsi" w:cstheme="minorHAnsi"/>
          <w:i/>
          <w:iCs/>
        </w:rPr>
        <w:t>50</w:t>
      </w:r>
      <w:r w:rsidRPr="008F0B92">
        <w:rPr>
          <w:rFonts w:asciiTheme="minorHAnsi" w:hAnsiTheme="minorHAnsi" w:cstheme="minorHAnsi"/>
        </w:rPr>
        <w:t xml:space="preserve">(3), 407– 426. </w:t>
      </w:r>
      <w:hyperlink r:id="rId22" w:history="1">
        <w:r w:rsidRPr="008F0B92">
          <w:rPr>
            <w:rStyle w:val="Hyperlink"/>
            <w:rFonts w:asciiTheme="minorHAnsi" w:hAnsiTheme="minorHAnsi" w:cstheme="minorHAnsi"/>
          </w:rPr>
          <w:t>https://doi.org/10.1007/s11858-018-0918-4</w:t>
        </w:r>
      </w:hyperlink>
    </w:p>
    <w:p w14:paraId="7D109884" w14:textId="77777777" w:rsidR="001661DF" w:rsidRPr="008F0B92" w:rsidRDefault="001661DF" w:rsidP="008F0B92">
      <w:pPr>
        <w:pStyle w:val="NormalWeb"/>
        <w:spacing w:before="0" w:beforeAutospacing="0" w:after="240" w:afterAutospacing="0" w:line="360" w:lineRule="auto"/>
        <w:rPr>
          <w:rFonts w:asciiTheme="minorHAnsi" w:hAnsiTheme="minorHAnsi" w:cstheme="minorHAnsi"/>
          <w:color w:val="000000"/>
        </w:rPr>
      </w:pPr>
      <w:r w:rsidRPr="008F0B92">
        <w:rPr>
          <w:rFonts w:asciiTheme="minorHAnsi" w:hAnsiTheme="minorHAnsi" w:cstheme="minorHAnsi"/>
          <w:color w:val="000000"/>
        </w:rPr>
        <w:t xml:space="preserve">[12] Robert Mills </w:t>
      </w:r>
      <w:proofErr w:type="spellStart"/>
      <w:r w:rsidRPr="008F0B92">
        <w:rPr>
          <w:rFonts w:asciiTheme="minorHAnsi" w:hAnsiTheme="minorHAnsi" w:cstheme="minorHAnsi"/>
          <w:color w:val="000000"/>
        </w:rPr>
        <w:t>Gagné</w:t>
      </w:r>
      <w:proofErr w:type="spellEnd"/>
      <w:r w:rsidRPr="008F0B92">
        <w:rPr>
          <w:rFonts w:asciiTheme="minorHAnsi" w:hAnsiTheme="minorHAnsi" w:cstheme="minorHAnsi"/>
          <w:color w:val="000000"/>
        </w:rPr>
        <w:t xml:space="preserve"> (1985).</w:t>
      </w:r>
      <w:r w:rsidRPr="008F0B92">
        <w:rPr>
          <w:rStyle w:val="apple-converted-space"/>
          <w:rFonts w:asciiTheme="minorHAnsi" w:hAnsiTheme="minorHAnsi" w:cstheme="minorHAnsi"/>
          <w:color w:val="000000"/>
        </w:rPr>
        <w:t> </w:t>
      </w:r>
      <w:r w:rsidRPr="008F0B92">
        <w:rPr>
          <w:rFonts w:asciiTheme="minorHAnsi" w:hAnsiTheme="minorHAnsi" w:cstheme="minorHAnsi"/>
          <w:i/>
          <w:iCs/>
          <w:color w:val="000000"/>
        </w:rPr>
        <w:t>The Conditions of Learning and Theory of Instruction</w:t>
      </w:r>
      <w:r w:rsidRPr="008F0B92">
        <w:rPr>
          <w:rFonts w:asciiTheme="minorHAnsi" w:hAnsiTheme="minorHAnsi" w:cstheme="minorHAnsi"/>
          <w:color w:val="000000"/>
        </w:rPr>
        <w:t>. Harcourt Brace College Publishers. Pp 172-174</w:t>
      </w:r>
    </w:p>
    <w:p w14:paraId="00B80541" w14:textId="77777777" w:rsidR="001661DF" w:rsidRPr="008F0B92" w:rsidRDefault="001661DF" w:rsidP="008F0B92">
      <w:pPr>
        <w:pStyle w:val="NormalWeb"/>
        <w:spacing w:before="0" w:beforeAutospacing="0" w:after="240" w:afterAutospacing="0" w:line="360" w:lineRule="auto"/>
        <w:rPr>
          <w:rFonts w:asciiTheme="minorHAnsi" w:hAnsiTheme="minorHAnsi" w:cstheme="minorHAnsi"/>
          <w:color w:val="000000"/>
        </w:rPr>
      </w:pPr>
      <w:hyperlink r:id="rId23" w:history="1">
        <w:r w:rsidRPr="008F0B92">
          <w:rPr>
            <w:rStyle w:val="Hyperlink"/>
            <w:rFonts w:asciiTheme="minorHAnsi" w:hAnsiTheme="minorHAnsi" w:cstheme="minorHAnsi"/>
          </w:rPr>
          <w:t>https://resources.finalsite.net/images/v1604323724/rcsdms/rsf4hiyocsabokrro0sg/NASP_Using_Praise_and_RewardsSchoolhome.pdf</w:t>
        </w:r>
      </w:hyperlink>
      <w:r w:rsidRPr="008F0B92">
        <w:rPr>
          <w:rFonts w:asciiTheme="minorHAnsi" w:hAnsiTheme="minorHAnsi" w:cstheme="minorHAnsi"/>
          <w:color w:val="000000"/>
        </w:rPr>
        <w:t>.</w:t>
      </w:r>
    </w:p>
    <w:p w14:paraId="29B06A75" w14:textId="36D66CC5" w:rsidR="001661DF" w:rsidRPr="008F0B92" w:rsidRDefault="001661DF" w:rsidP="008F0B92">
      <w:pPr>
        <w:pStyle w:val="NormalWeb"/>
        <w:spacing w:before="0" w:beforeAutospacing="0" w:after="240" w:afterAutospacing="0" w:line="360" w:lineRule="auto"/>
        <w:rPr>
          <w:rFonts w:asciiTheme="minorHAnsi" w:hAnsiTheme="minorHAnsi" w:cstheme="minorHAnsi"/>
          <w:color w:val="000000"/>
        </w:rPr>
      </w:pPr>
      <w:r w:rsidRPr="008F0B92">
        <w:rPr>
          <w:rFonts w:asciiTheme="minorHAnsi" w:hAnsiTheme="minorHAnsi" w:cstheme="minorHAnsi"/>
          <w:color w:val="000000"/>
        </w:rPr>
        <w:t>[16] Smith, M.K. (2011).</w:t>
      </w:r>
      <w:r w:rsidRPr="008F0B92">
        <w:rPr>
          <w:rStyle w:val="apple-converted-space"/>
          <w:rFonts w:asciiTheme="minorHAnsi" w:hAnsiTheme="minorHAnsi" w:cstheme="minorHAnsi"/>
          <w:color w:val="000000"/>
        </w:rPr>
        <w:t> </w:t>
      </w:r>
      <w:r w:rsidRPr="008F0B92">
        <w:rPr>
          <w:rFonts w:asciiTheme="minorHAnsi" w:hAnsiTheme="minorHAnsi" w:cstheme="minorHAnsi"/>
          <w:i/>
          <w:iCs/>
          <w:color w:val="000000"/>
        </w:rPr>
        <w:t>Donald Schon (Schön): learning, Reflection and Change | infed.org</w:t>
      </w:r>
      <w:r w:rsidRPr="008F0B92">
        <w:rPr>
          <w:rFonts w:asciiTheme="minorHAnsi" w:hAnsiTheme="minorHAnsi" w:cstheme="minorHAnsi"/>
          <w:color w:val="000000"/>
        </w:rPr>
        <w:t xml:space="preserve">. [online] Infed.org. Available at: </w:t>
      </w:r>
      <w:hyperlink r:id="rId24" w:history="1">
        <w:r w:rsidRPr="008F0B92">
          <w:rPr>
            <w:rStyle w:val="Hyperlink"/>
            <w:rFonts w:asciiTheme="minorHAnsi" w:hAnsiTheme="minorHAnsi" w:cstheme="minorHAnsi"/>
          </w:rPr>
          <w:t>https://infed.org/mobi/donald-schon-learning-reflection-change/</w:t>
        </w:r>
      </w:hyperlink>
      <w:r w:rsidRPr="008F0B92">
        <w:rPr>
          <w:rFonts w:asciiTheme="minorHAnsi" w:hAnsiTheme="minorHAnsi" w:cstheme="minorHAnsi"/>
          <w:color w:val="000000"/>
        </w:rPr>
        <w:t>.</w:t>
      </w:r>
    </w:p>
    <w:p w14:paraId="492E7814" w14:textId="77777777" w:rsidR="001661DF" w:rsidRPr="008F0B92" w:rsidRDefault="001661DF" w:rsidP="008F0B92">
      <w:pPr>
        <w:spacing w:line="360" w:lineRule="auto"/>
        <w:textAlignment w:val="baseline"/>
        <w:rPr>
          <w:rFonts w:asciiTheme="minorHAnsi" w:hAnsiTheme="minorHAnsi" w:cstheme="minorHAnsi"/>
          <w:lang w:val="cy-GB"/>
        </w:rPr>
      </w:pPr>
      <w:r w:rsidRPr="008F0B92">
        <w:rPr>
          <w:rFonts w:asciiTheme="minorHAnsi" w:hAnsiTheme="minorHAnsi" w:cstheme="minorHAnsi"/>
          <w:lang w:val="cy-GB"/>
        </w:rPr>
        <w:t xml:space="preserve">[7] </w:t>
      </w:r>
      <w:r w:rsidRPr="008F0B92">
        <w:rPr>
          <w:rFonts w:asciiTheme="minorHAnsi" w:hAnsiTheme="minorHAnsi" w:cstheme="minorHAnsi"/>
          <w:color w:val="333333"/>
          <w:shd w:val="clear" w:color="auto" w:fill="FFFFFF"/>
        </w:rPr>
        <w:t xml:space="preserve">Skinner, B. F. (1963). Operant </w:t>
      </w:r>
      <w:proofErr w:type="spellStart"/>
      <w:r w:rsidRPr="008F0B92">
        <w:rPr>
          <w:rFonts w:asciiTheme="minorHAnsi" w:hAnsiTheme="minorHAnsi" w:cstheme="minorHAnsi"/>
          <w:color w:val="333333"/>
          <w:shd w:val="clear" w:color="auto" w:fill="FFFFFF"/>
        </w:rPr>
        <w:t>behavior</w:t>
      </w:r>
      <w:proofErr w:type="spellEnd"/>
      <w:r w:rsidRPr="008F0B92">
        <w:rPr>
          <w:rFonts w:asciiTheme="minorHAnsi" w:hAnsiTheme="minorHAnsi" w:cstheme="minorHAnsi"/>
          <w:color w:val="333333"/>
          <w:shd w:val="clear" w:color="auto" w:fill="FFFFFF"/>
        </w:rPr>
        <w:t>.</w:t>
      </w:r>
      <w:r w:rsidRPr="008F0B92">
        <w:rPr>
          <w:rStyle w:val="apple-converted-space"/>
          <w:rFonts w:asciiTheme="minorHAnsi" w:hAnsiTheme="minorHAnsi" w:cstheme="minorHAnsi"/>
          <w:color w:val="333333"/>
          <w:shd w:val="clear" w:color="auto" w:fill="FFFFFF"/>
        </w:rPr>
        <w:t> </w:t>
      </w:r>
      <w:r w:rsidRPr="008F0B92">
        <w:rPr>
          <w:rStyle w:val="Emphasis"/>
          <w:rFonts w:asciiTheme="minorHAnsi" w:hAnsiTheme="minorHAnsi" w:cstheme="minorHAnsi"/>
          <w:color w:val="333333"/>
        </w:rPr>
        <w:t>American Psychologist, 18</w:t>
      </w:r>
      <w:r w:rsidRPr="008F0B92">
        <w:rPr>
          <w:rFonts w:asciiTheme="minorHAnsi" w:hAnsiTheme="minorHAnsi" w:cstheme="minorHAnsi"/>
          <w:color w:val="333333"/>
          <w:shd w:val="clear" w:color="auto" w:fill="FFFFFF"/>
        </w:rPr>
        <w:t>(8), 503–515.pp-503</w:t>
      </w:r>
    </w:p>
    <w:p w14:paraId="16C16126" w14:textId="13B8A608" w:rsidR="001661DF" w:rsidRPr="008F0B92" w:rsidRDefault="001661DF" w:rsidP="008F0B92">
      <w:pPr>
        <w:spacing w:line="360" w:lineRule="auto"/>
        <w:textAlignment w:val="baseline"/>
        <w:rPr>
          <w:rFonts w:asciiTheme="minorHAnsi" w:hAnsiTheme="minorHAnsi" w:cstheme="minorHAnsi"/>
          <w:lang w:val="cy-GB"/>
        </w:rPr>
      </w:pPr>
      <w:r w:rsidRPr="008F0B92">
        <w:rPr>
          <w:rFonts w:asciiTheme="minorHAnsi" w:hAnsiTheme="minorHAnsi" w:cstheme="minorHAnsi"/>
          <w:lang w:val="cy-GB"/>
        </w:rPr>
        <w:t xml:space="preserve">[7] </w:t>
      </w:r>
      <w:r w:rsidRPr="008F0B92">
        <w:rPr>
          <w:rFonts w:asciiTheme="minorHAnsi" w:hAnsiTheme="minorHAnsi" w:cstheme="minorHAnsi"/>
          <w:color w:val="333333"/>
          <w:shd w:val="clear" w:color="auto" w:fill="FFFFFF"/>
        </w:rPr>
        <w:t xml:space="preserve">Skinner, B. F. (1963). Operant </w:t>
      </w:r>
      <w:proofErr w:type="spellStart"/>
      <w:r w:rsidRPr="008F0B92">
        <w:rPr>
          <w:rFonts w:asciiTheme="minorHAnsi" w:hAnsiTheme="minorHAnsi" w:cstheme="minorHAnsi"/>
          <w:color w:val="333333"/>
          <w:shd w:val="clear" w:color="auto" w:fill="FFFFFF"/>
        </w:rPr>
        <w:t>behavior</w:t>
      </w:r>
      <w:proofErr w:type="spellEnd"/>
      <w:r w:rsidRPr="008F0B92">
        <w:rPr>
          <w:rFonts w:asciiTheme="minorHAnsi" w:hAnsiTheme="minorHAnsi" w:cstheme="minorHAnsi"/>
          <w:color w:val="333333"/>
          <w:shd w:val="clear" w:color="auto" w:fill="FFFFFF"/>
        </w:rPr>
        <w:t>.</w:t>
      </w:r>
      <w:r w:rsidRPr="008F0B92">
        <w:rPr>
          <w:rStyle w:val="apple-converted-space"/>
          <w:rFonts w:asciiTheme="minorHAnsi" w:hAnsiTheme="minorHAnsi" w:cstheme="minorHAnsi"/>
          <w:color w:val="333333"/>
          <w:shd w:val="clear" w:color="auto" w:fill="FFFFFF"/>
        </w:rPr>
        <w:t> </w:t>
      </w:r>
      <w:r w:rsidRPr="008F0B92">
        <w:rPr>
          <w:rStyle w:val="Emphasis"/>
          <w:rFonts w:asciiTheme="minorHAnsi" w:hAnsiTheme="minorHAnsi" w:cstheme="minorHAnsi"/>
          <w:color w:val="333333"/>
        </w:rPr>
        <w:t>American Psychologist, 18</w:t>
      </w:r>
      <w:r w:rsidRPr="008F0B92">
        <w:rPr>
          <w:rFonts w:asciiTheme="minorHAnsi" w:hAnsiTheme="minorHAnsi" w:cstheme="minorHAnsi"/>
          <w:color w:val="333333"/>
          <w:shd w:val="clear" w:color="auto" w:fill="FFFFFF"/>
        </w:rPr>
        <w:t>(8), 503–515.pp-505</w:t>
      </w:r>
    </w:p>
    <w:p w14:paraId="7434EE2A" w14:textId="77777777" w:rsidR="00A2786A" w:rsidRPr="008F0B92" w:rsidRDefault="00A2786A" w:rsidP="008F0B92">
      <w:pPr>
        <w:pStyle w:val="NormalWeb"/>
        <w:spacing w:before="0" w:beforeAutospacing="0" w:after="240" w:afterAutospacing="0" w:line="360" w:lineRule="auto"/>
        <w:rPr>
          <w:rFonts w:asciiTheme="minorHAnsi" w:hAnsiTheme="minorHAnsi" w:cstheme="minorHAnsi"/>
          <w:lang w:val="cy-GB"/>
        </w:rPr>
      </w:pPr>
    </w:p>
    <w:p w14:paraId="742E89E6" w14:textId="6F0D81AE" w:rsidR="00D53CD0" w:rsidRPr="008F0B92" w:rsidRDefault="00E65BCA" w:rsidP="008F0B92">
      <w:pPr>
        <w:pStyle w:val="NormalWeb"/>
        <w:spacing w:before="0" w:beforeAutospacing="0" w:after="240" w:afterAutospacing="0" w:line="360" w:lineRule="auto"/>
        <w:rPr>
          <w:rFonts w:asciiTheme="minorHAnsi" w:hAnsiTheme="minorHAnsi" w:cstheme="minorHAnsi"/>
          <w:color w:val="000000"/>
        </w:rPr>
      </w:pPr>
      <w:r w:rsidRPr="008F0B92">
        <w:rPr>
          <w:rFonts w:asciiTheme="minorHAnsi" w:hAnsiTheme="minorHAnsi" w:cstheme="minorHAnsi"/>
          <w:lang w:val="cy-GB"/>
        </w:rPr>
        <w:t xml:space="preserve">[1] </w:t>
      </w:r>
      <w:r w:rsidRPr="008F0B92">
        <w:rPr>
          <w:rFonts w:asciiTheme="minorHAnsi" w:hAnsiTheme="minorHAnsi" w:cstheme="minorHAnsi"/>
          <w:color w:val="000000"/>
        </w:rPr>
        <w:t>Tripp, D. (1993).</w:t>
      </w:r>
      <w:r w:rsidRPr="008F0B92">
        <w:rPr>
          <w:rStyle w:val="apple-converted-space"/>
          <w:rFonts w:asciiTheme="minorHAnsi" w:hAnsiTheme="minorHAnsi" w:cstheme="minorHAnsi"/>
          <w:color w:val="000000"/>
        </w:rPr>
        <w:t> </w:t>
      </w:r>
      <w:r w:rsidRPr="008F0B92">
        <w:rPr>
          <w:rFonts w:asciiTheme="minorHAnsi" w:hAnsiTheme="minorHAnsi" w:cstheme="minorHAnsi"/>
          <w:i/>
          <w:iCs/>
          <w:color w:val="000000"/>
        </w:rPr>
        <w:t xml:space="preserve">Critical incidents in </w:t>
      </w:r>
      <w:proofErr w:type="gramStart"/>
      <w:r w:rsidRPr="008F0B92">
        <w:rPr>
          <w:rFonts w:asciiTheme="minorHAnsi" w:hAnsiTheme="minorHAnsi" w:cstheme="minorHAnsi"/>
          <w:i/>
          <w:iCs/>
          <w:color w:val="000000"/>
        </w:rPr>
        <w:t>teaching :</w:t>
      </w:r>
      <w:proofErr w:type="gramEnd"/>
      <w:r w:rsidRPr="008F0B92">
        <w:rPr>
          <w:rFonts w:asciiTheme="minorHAnsi" w:hAnsiTheme="minorHAnsi" w:cstheme="minorHAnsi"/>
          <w:i/>
          <w:iCs/>
          <w:color w:val="000000"/>
        </w:rPr>
        <w:t xml:space="preserve"> developing professional judgement</w:t>
      </w:r>
      <w:r w:rsidRPr="008F0B92">
        <w:rPr>
          <w:rFonts w:asciiTheme="minorHAnsi" w:hAnsiTheme="minorHAnsi" w:cstheme="minorHAnsi"/>
          <w:color w:val="000000"/>
        </w:rPr>
        <w:t xml:space="preserve">. </w:t>
      </w:r>
      <w:proofErr w:type="gramStart"/>
      <w:r w:rsidRPr="008F0B92">
        <w:rPr>
          <w:rFonts w:asciiTheme="minorHAnsi" w:hAnsiTheme="minorHAnsi" w:cstheme="minorHAnsi"/>
          <w:color w:val="000000"/>
        </w:rPr>
        <w:t>London ;</w:t>
      </w:r>
      <w:proofErr w:type="gramEnd"/>
      <w:r w:rsidRPr="008F0B92">
        <w:rPr>
          <w:rFonts w:asciiTheme="minorHAnsi" w:hAnsiTheme="minorHAnsi" w:cstheme="minorHAnsi"/>
          <w:color w:val="000000"/>
        </w:rPr>
        <w:t xml:space="preserve"> New York: Routledge.</w:t>
      </w:r>
      <w:r w:rsidRPr="008F0B92">
        <w:rPr>
          <w:rFonts w:asciiTheme="minorHAnsi" w:hAnsiTheme="minorHAnsi" w:cstheme="minorHAnsi"/>
          <w:color w:val="000000"/>
        </w:rPr>
        <w:t xml:space="preserve"> </w:t>
      </w:r>
      <w:r w:rsidR="001F4319" w:rsidRPr="008F0B92">
        <w:rPr>
          <w:rFonts w:asciiTheme="minorHAnsi" w:hAnsiTheme="minorHAnsi" w:cstheme="minorHAnsi"/>
          <w:color w:val="000000"/>
        </w:rPr>
        <w:t>–</w:t>
      </w:r>
      <w:r w:rsidRPr="008F0B92">
        <w:rPr>
          <w:rFonts w:asciiTheme="minorHAnsi" w:hAnsiTheme="minorHAnsi" w:cstheme="minorHAnsi"/>
          <w:color w:val="000000"/>
        </w:rPr>
        <w:t xml:space="preserve"> </w:t>
      </w:r>
      <w:proofErr w:type="spellStart"/>
      <w:proofErr w:type="gramStart"/>
      <w:r w:rsidR="001F4319" w:rsidRPr="008F0B92">
        <w:rPr>
          <w:rFonts w:asciiTheme="minorHAnsi" w:hAnsiTheme="minorHAnsi" w:cstheme="minorHAnsi"/>
          <w:color w:val="000000"/>
        </w:rPr>
        <w:t>P</w:t>
      </w:r>
      <w:r w:rsidR="009352C0" w:rsidRPr="008F0B92">
        <w:rPr>
          <w:rFonts w:asciiTheme="minorHAnsi" w:hAnsiTheme="minorHAnsi" w:cstheme="minorHAnsi"/>
          <w:color w:val="000000"/>
        </w:rPr>
        <w:t>p</w:t>
      </w:r>
      <w:r w:rsidR="001F4319" w:rsidRPr="008F0B92">
        <w:rPr>
          <w:rFonts w:asciiTheme="minorHAnsi" w:hAnsiTheme="minorHAnsi" w:cstheme="minorHAnsi"/>
          <w:color w:val="000000"/>
        </w:rPr>
        <w:t>.xi</w:t>
      </w:r>
      <w:proofErr w:type="gramEnd"/>
      <w:r w:rsidR="001F4319" w:rsidRPr="008F0B92">
        <w:rPr>
          <w:rFonts w:asciiTheme="minorHAnsi" w:hAnsiTheme="minorHAnsi" w:cstheme="minorHAnsi"/>
          <w:color w:val="000000"/>
        </w:rPr>
        <w:t>,preface</w:t>
      </w:r>
      <w:proofErr w:type="spellEnd"/>
      <w:r w:rsidR="001F4319" w:rsidRPr="008F0B92">
        <w:rPr>
          <w:rFonts w:asciiTheme="minorHAnsi" w:hAnsiTheme="minorHAnsi" w:cstheme="minorHAnsi"/>
          <w:color w:val="000000"/>
        </w:rPr>
        <w:t xml:space="preserve">. </w:t>
      </w:r>
    </w:p>
    <w:p w14:paraId="44B58712" w14:textId="4ED8F4A7" w:rsidR="001F4319" w:rsidRPr="008F0B92" w:rsidRDefault="001F4319" w:rsidP="008F0B92">
      <w:pPr>
        <w:pStyle w:val="NormalWeb"/>
        <w:spacing w:before="0" w:beforeAutospacing="0" w:after="240" w:afterAutospacing="0" w:line="360" w:lineRule="auto"/>
        <w:rPr>
          <w:rFonts w:asciiTheme="minorHAnsi" w:hAnsiTheme="minorHAnsi" w:cstheme="minorHAnsi"/>
          <w:color w:val="000000"/>
        </w:rPr>
      </w:pPr>
      <w:r w:rsidRPr="008F0B92">
        <w:rPr>
          <w:rFonts w:asciiTheme="minorHAnsi" w:hAnsiTheme="minorHAnsi" w:cstheme="minorHAnsi"/>
          <w:color w:val="000000"/>
        </w:rPr>
        <w:t xml:space="preserve">[1] </w:t>
      </w:r>
      <w:r w:rsidRPr="008F0B92">
        <w:rPr>
          <w:rFonts w:asciiTheme="minorHAnsi" w:hAnsiTheme="minorHAnsi" w:cstheme="minorHAnsi"/>
          <w:color w:val="000000"/>
        </w:rPr>
        <w:t>Tripp, D. (1993).</w:t>
      </w:r>
      <w:r w:rsidRPr="008F0B92">
        <w:rPr>
          <w:rStyle w:val="apple-converted-space"/>
          <w:rFonts w:asciiTheme="minorHAnsi" w:hAnsiTheme="minorHAnsi" w:cstheme="minorHAnsi"/>
          <w:color w:val="000000"/>
        </w:rPr>
        <w:t> </w:t>
      </w:r>
      <w:r w:rsidRPr="008F0B92">
        <w:rPr>
          <w:rFonts w:asciiTheme="minorHAnsi" w:hAnsiTheme="minorHAnsi" w:cstheme="minorHAnsi"/>
          <w:i/>
          <w:iCs/>
          <w:color w:val="000000"/>
        </w:rPr>
        <w:t xml:space="preserve">Critical incidents in </w:t>
      </w:r>
      <w:proofErr w:type="gramStart"/>
      <w:r w:rsidRPr="008F0B92">
        <w:rPr>
          <w:rFonts w:asciiTheme="minorHAnsi" w:hAnsiTheme="minorHAnsi" w:cstheme="minorHAnsi"/>
          <w:i/>
          <w:iCs/>
          <w:color w:val="000000"/>
        </w:rPr>
        <w:t>teaching :</w:t>
      </w:r>
      <w:proofErr w:type="gramEnd"/>
      <w:r w:rsidRPr="008F0B92">
        <w:rPr>
          <w:rFonts w:asciiTheme="minorHAnsi" w:hAnsiTheme="minorHAnsi" w:cstheme="minorHAnsi"/>
          <w:i/>
          <w:iCs/>
          <w:color w:val="000000"/>
        </w:rPr>
        <w:t xml:space="preserve"> developing professional judgement</w:t>
      </w:r>
      <w:r w:rsidRPr="008F0B92">
        <w:rPr>
          <w:rFonts w:asciiTheme="minorHAnsi" w:hAnsiTheme="minorHAnsi" w:cstheme="minorHAnsi"/>
          <w:color w:val="000000"/>
        </w:rPr>
        <w:t xml:space="preserve">. </w:t>
      </w:r>
      <w:proofErr w:type="gramStart"/>
      <w:r w:rsidRPr="008F0B92">
        <w:rPr>
          <w:rFonts w:asciiTheme="minorHAnsi" w:hAnsiTheme="minorHAnsi" w:cstheme="minorHAnsi"/>
          <w:color w:val="000000"/>
        </w:rPr>
        <w:t>London ;</w:t>
      </w:r>
      <w:proofErr w:type="gramEnd"/>
      <w:r w:rsidRPr="008F0B92">
        <w:rPr>
          <w:rFonts w:asciiTheme="minorHAnsi" w:hAnsiTheme="minorHAnsi" w:cstheme="minorHAnsi"/>
          <w:color w:val="000000"/>
        </w:rPr>
        <w:t xml:space="preserve"> New York: Routledge.</w:t>
      </w:r>
      <w:r w:rsidRPr="008F0B92">
        <w:rPr>
          <w:rFonts w:asciiTheme="minorHAnsi" w:hAnsiTheme="minorHAnsi" w:cstheme="minorHAnsi"/>
          <w:color w:val="000000"/>
        </w:rPr>
        <w:t xml:space="preserve"> P.3 </w:t>
      </w:r>
    </w:p>
    <w:p w14:paraId="5E7113C9" w14:textId="56C62573" w:rsidR="000D2608" w:rsidRPr="008F0B92" w:rsidRDefault="005C7B59" w:rsidP="008F0B92">
      <w:pPr>
        <w:pStyle w:val="NormalWeb"/>
        <w:spacing w:before="0" w:beforeAutospacing="0" w:after="240" w:afterAutospacing="0" w:line="360" w:lineRule="auto"/>
        <w:rPr>
          <w:rFonts w:asciiTheme="minorHAnsi" w:hAnsiTheme="minorHAnsi" w:cstheme="minorHAnsi"/>
          <w:color w:val="000000"/>
        </w:rPr>
      </w:pPr>
      <w:r w:rsidRPr="008F0B92">
        <w:rPr>
          <w:rFonts w:asciiTheme="minorHAnsi" w:hAnsiTheme="minorHAnsi" w:cstheme="minorHAnsi"/>
          <w:color w:val="000000"/>
        </w:rPr>
        <w:t>[</w:t>
      </w:r>
      <w:r w:rsidR="00D53CD0" w:rsidRPr="008F0B92">
        <w:rPr>
          <w:rFonts w:asciiTheme="minorHAnsi" w:hAnsiTheme="minorHAnsi" w:cstheme="minorHAnsi"/>
          <w:color w:val="000000"/>
        </w:rPr>
        <w:t>5</w:t>
      </w:r>
      <w:r w:rsidRPr="008F0B92">
        <w:rPr>
          <w:rFonts w:asciiTheme="minorHAnsi" w:hAnsiTheme="minorHAnsi" w:cstheme="minorHAnsi"/>
          <w:color w:val="000000"/>
        </w:rPr>
        <w:t xml:space="preserve">] </w:t>
      </w:r>
      <w:r w:rsidRPr="008F0B92">
        <w:rPr>
          <w:rFonts w:asciiTheme="minorHAnsi" w:hAnsiTheme="minorHAnsi" w:cstheme="minorHAnsi"/>
          <w:color w:val="000000"/>
        </w:rPr>
        <w:t>Watson, J.B. (2017).</w:t>
      </w:r>
      <w:r w:rsidRPr="008F0B92">
        <w:rPr>
          <w:rStyle w:val="apple-converted-space"/>
          <w:rFonts w:asciiTheme="minorHAnsi" w:hAnsiTheme="minorHAnsi" w:cstheme="minorHAnsi"/>
          <w:color w:val="000000"/>
        </w:rPr>
        <w:t> </w:t>
      </w:r>
      <w:proofErr w:type="spellStart"/>
      <w:r w:rsidRPr="008F0B92">
        <w:rPr>
          <w:rFonts w:asciiTheme="minorHAnsi" w:hAnsiTheme="minorHAnsi" w:cstheme="minorHAnsi"/>
          <w:i/>
          <w:iCs/>
          <w:color w:val="000000"/>
        </w:rPr>
        <w:t>Behaviorism</w:t>
      </w:r>
      <w:proofErr w:type="spellEnd"/>
      <w:r w:rsidRPr="008F0B92">
        <w:rPr>
          <w:rFonts w:asciiTheme="minorHAnsi" w:hAnsiTheme="minorHAnsi" w:cstheme="minorHAnsi"/>
          <w:i/>
          <w:iCs/>
          <w:color w:val="000000"/>
        </w:rPr>
        <w:t>.</w:t>
      </w:r>
      <w:r w:rsidRPr="008F0B92">
        <w:rPr>
          <w:rStyle w:val="apple-converted-space"/>
          <w:rFonts w:asciiTheme="minorHAnsi" w:hAnsiTheme="minorHAnsi" w:cstheme="minorHAnsi"/>
          <w:color w:val="000000"/>
        </w:rPr>
        <w:t> </w:t>
      </w:r>
      <w:r w:rsidRPr="008F0B92">
        <w:rPr>
          <w:rFonts w:asciiTheme="minorHAnsi" w:hAnsiTheme="minorHAnsi" w:cstheme="minorHAnsi"/>
          <w:color w:val="000000"/>
        </w:rPr>
        <w:t>Routledge.</w:t>
      </w:r>
      <w:r w:rsidRPr="008F0B92">
        <w:rPr>
          <w:rFonts w:asciiTheme="minorHAnsi" w:hAnsiTheme="minorHAnsi" w:cstheme="minorHAnsi"/>
          <w:color w:val="000000"/>
        </w:rPr>
        <w:t xml:space="preserve"> pp.8 </w:t>
      </w:r>
    </w:p>
    <w:p w14:paraId="3486A230" w14:textId="040CDA64" w:rsidR="00D75DF0" w:rsidRPr="008F0B92" w:rsidRDefault="00D75DF0" w:rsidP="008F0B92">
      <w:pPr>
        <w:pStyle w:val="NormalWeb"/>
        <w:spacing w:before="0" w:beforeAutospacing="0" w:after="240" w:afterAutospacing="0" w:line="360" w:lineRule="auto"/>
        <w:rPr>
          <w:rFonts w:asciiTheme="minorHAnsi" w:hAnsiTheme="minorHAnsi" w:cstheme="minorHAnsi"/>
          <w:color w:val="000000"/>
        </w:rPr>
      </w:pPr>
      <w:r w:rsidRPr="008F0B92">
        <w:rPr>
          <w:rFonts w:asciiTheme="minorHAnsi" w:hAnsiTheme="minorHAnsi" w:cstheme="minorHAnsi"/>
          <w:color w:val="000000"/>
        </w:rPr>
        <w:t>[1</w:t>
      </w:r>
      <w:r w:rsidR="00D53CD0" w:rsidRPr="008F0B92">
        <w:rPr>
          <w:rFonts w:asciiTheme="minorHAnsi" w:hAnsiTheme="minorHAnsi" w:cstheme="minorHAnsi"/>
          <w:color w:val="000000"/>
        </w:rPr>
        <w:t>4</w:t>
      </w:r>
      <w:r w:rsidRPr="008F0B92">
        <w:rPr>
          <w:rFonts w:asciiTheme="minorHAnsi" w:hAnsiTheme="minorHAnsi" w:cstheme="minorHAnsi"/>
          <w:color w:val="000000"/>
        </w:rPr>
        <w:t xml:space="preserve">] </w:t>
      </w:r>
      <w:r w:rsidRPr="008F0B92">
        <w:rPr>
          <w:rFonts w:asciiTheme="minorHAnsi" w:hAnsiTheme="minorHAnsi" w:cstheme="minorHAnsi"/>
          <w:color w:val="000000"/>
        </w:rPr>
        <w:t>www.youtube.com. (n.d.).</w:t>
      </w:r>
      <w:r w:rsidRPr="008F0B92">
        <w:rPr>
          <w:rStyle w:val="apple-converted-space"/>
          <w:rFonts w:asciiTheme="minorHAnsi" w:hAnsiTheme="minorHAnsi" w:cstheme="minorHAnsi"/>
          <w:color w:val="000000"/>
        </w:rPr>
        <w:t> </w:t>
      </w:r>
      <w:r w:rsidRPr="008F0B92">
        <w:rPr>
          <w:rFonts w:asciiTheme="minorHAnsi" w:hAnsiTheme="minorHAnsi" w:cstheme="minorHAnsi"/>
          <w:i/>
          <w:iCs/>
          <w:color w:val="000000"/>
        </w:rPr>
        <w:t xml:space="preserve">1 </w:t>
      </w:r>
      <w:proofErr w:type="spellStart"/>
      <w:r w:rsidRPr="008F0B92">
        <w:rPr>
          <w:rFonts w:asciiTheme="minorHAnsi" w:hAnsiTheme="minorHAnsi" w:cstheme="minorHAnsi"/>
          <w:i/>
          <w:iCs/>
          <w:color w:val="000000"/>
        </w:rPr>
        <w:t>GoProMAX</w:t>
      </w:r>
      <w:proofErr w:type="spellEnd"/>
      <w:r w:rsidRPr="008F0B92">
        <w:rPr>
          <w:rFonts w:asciiTheme="minorHAnsi" w:hAnsiTheme="minorHAnsi" w:cstheme="minorHAnsi"/>
          <w:i/>
          <w:iCs/>
          <w:color w:val="000000"/>
        </w:rPr>
        <w:t xml:space="preserve"> 5.6K</w:t>
      </w:r>
      <w:r w:rsidRPr="008F0B92">
        <w:rPr>
          <w:rFonts w:asciiTheme="minorHAnsi" w:hAnsiTheme="minorHAnsi" w:cstheme="minorHAnsi"/>
          <w:color w:val="000000"/>
        </w:rPr>
        <w:t xml:space="preserve">. [online] Available at: </w:t>
      </w:r>
      <w:hyperlink r:id="rId25" w:history="1">
        <w:r w:rsidR="000D2608" w:rsidRPr="008F0B92">
          <w:rPr>
            <w:rStyle w:val="Hyperlink"/>
            <w:rFonts w:asciiTheme="minorHAnsi" w:hAnsiTheme="minorHAnsi" w:cstheme="minorHAnsi"/>
          </w:rPr>
          <w:t>https://www.youtube.com/watch?v=M4DXcp7F7zg</w:t>
        </w:r>
      </w:hyperlink>
      <w:r w:rsidR="000D2608" w:rsidRPr="008F0B92">
        <w:rPr>
          <w:rFonts w:asciiTheme="minorHAnsi" w:hAnsiTheme="minorHAnsi" w:cstheme="minorHAnsi"/>
          <w:color w:val="000000"/>
        </w:rPr>
        <w:t xml:space="preserve"> </w:t>
      </w:r>
      <w:r w:rsidRPr="008F0B92">
        <w:rPr>
          <w:rFonts w:asciiTheme="minorHAnsi" w:hAnsiTheme="minorHAnsi" w:cstheme="minorHAnsi"/>
          <w:color w:val="000000"/>
        </w:rPr>
        <w:t>[Accessed 6 Nov. 2023].</w:t>
      </w:r>
    </w:p>
    <w:p w14:paraId="2D93FE11" w14:textId="77777777" w:rsidR="004D1916" w:rsidRPr="00F92F80" w:rsidRDefault="004D1916" w:rsidP="00F92F80">
      <w:pPr>
        <w:pStyle w:val="NormalWeb"/>
        <w:spacing w:before="0" w:beforeAutospacing="0" w:after="240" w:afterAutospacing="0" w:line="360" w:lineRule="auto"/>
        <w:rPr>
          <w:rFonts w:asciiTheme="minorHAnsi" w:hAnsiTheme="minorHAnsi" w:cstheme="minorHAnsi"/>
          <w:color w:val="000000"/>
        </w:rPr>
      </w:pPr>
    </w:p>
    <w:p w14:paraId="1076FD2B" w14:textId="77777777" w:rsidR="000D2608" w:rsidRPr="00F92F80" w:rsidRDefault="000D2608" w:rsidP="00F92F80">
      <w:pPr>
        <w:pStyle w:val="NormalWeb"/>
        <w:spacing w:line="360" w:lineRule="auto"/>
        <w:rPr>
          <w:rFonts w:asciiTheme="minorHAnsi" w:hAnsiTheme="minorHAnsi" w:cstheme="minorHAnsi"/>
        </w:rPr>
      </w:pPr>
    </w:p>
    <w:p w14:paraId="0208AD71" w14:textId="77777777" w:rsidR="000D2608" w:rsidRPr="00F92F80" w:rsidRDefault="000D2608" w:rsidP="00F92F80">
      <w:pPr>
        <w:pStyle w:val="NormalWeb"/>
        <w:spacing w:line="360" w:lineRule="auto"/>
        <w:rPr>
          <w:rFonts w:asciiTheme="minorHAnsi" w:hAnsiTheme="minorHAnsi" w:cstheme="minorHAnsi"/>
        </w:rPr>
      </w:pPr>
    </w:p>
    <w:p w14:paraId="1E1BFFA1" w14:textId="6958372A" w:rsidR="000B45BD" w:rsidRPr="00F92F80" w:rsidRDefault="000B45BD" w:rsidP="00F92F80">
      <w:pPr>
        <w:pStyle w:val="NormalWeb"/>
        <w:spacing w:line="360" w:lineRule="auto"/>
        <w:rPr>
          <w:rFonts w:asciiTheme="minorHAnsi" w:hAnsiTheme="minorHAnsi" w:cstheme="minorHAnsi"/>
        </w:rPr>
      </w:pPr>
    </w:p>
    <w:p w14:paraId="323F1CC3" w14:textId="77777777" w:rsidR="000B45BD" w:rsidRPr="000B45BD" w:rsidRDefault="000B45BD" w:rsidP="000B45BD">
      <w:pPr>
        <w:pStyle w:val="NormalWeb"/>
        <w:rPr>
          <w:rFonts w:asciiTheme="minorHAnsi" w:hAnsiTheme="minorHAnsi" w:cstheme="minorHAnsi"/>
        </w:rPr>
      </w:pPr>
    </w:p>
    <w:p w14:paraId="6C1FDB56" w14:textId="3D1A86A4" w:rsidR="00F7118D" w:rsidRPr="00D57521" w:rsidRDefault="00F7118D">
      <w:pPr>
        <w:rPr>
          <w:lang w:val="cy-GB"/>
        </w:rPr>
      </w:pPr>
    </w:p>
    <w:sectPr w:rsidR="00F7118D" w:rsidRPr="00D57521">
      <w:headerReference w:type="even" r:id="rId26"/>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D1CF29" w14:textId="77777777" w:rsidR="00C71C7A" w:rsidRDefault="00C71C7A" w:rsidP="00854218">
      <w:r>
        <w:separator/>
      </w:r>
    </w:p>
  </w:endnote>
  <w:endnote w:type="continuationSeparator" w:id="0">
    <w:p w14:paraId="0E42668F" w14:textId="77777777" w:rsidR="00C71C7A" w:rsidRDefault="00C71C7A" w:rsidP="008542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768CD0" w14:textId="77777777" w:rsidR="00C71C7A" w:rsidRDefault="00C71C7A" w:rsidP="00854218">
      <w:r>
        <w:separator/>
      </w:r>
    </w:p>
  </w:footnote>
  <w:footnote w:type="continuationSeparator" w:id="0">
    <w:p w14:paraId="1937986B" w14:textId="77777777" w:rsidR="00C71C7A" w:rsidRDefault="00C71C7A" w:rsidP="008542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32021086"/>
      <w:docPartObj>
        <w:docPartGallery w:val="Page Numbers (Top of Page)"/>
        <w:docPartUnique/>
      </w:docPartObj>
    </w:sdtPr>
    <w:sdtContent>
      <w:p w14:paraId="1F799957" w14:textId="6D6F0D0D" w:rsidR="00E608FB" w:rsidRDefault="00E608FB" w:rsidP="0042136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13F73F" w14:textId="77777777" w:rsidR="00530D3B" w:rsidRDefault="00530D3B" w:rsidP="00E608F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6563456"/>
      <w:docPartObj>
        <w:docPartGallery w:val="Page Numbers (Top of Page)"/>
        <w:docPartUnique/>
      </w:docPartObj>
    </w:sdtPr>
    <w:sdtContent>
      <w:p w14:paraId="24354473" w14:textId="5C648A69" w:rsidR="00E608FB" w:rsidRDefault="00E608FB" w:rsidP="0042136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EEBD8E" w14:textId="7577BC14" w:rsidR="00530D3B" w:rsidRPr="00E608FB" w:rsidRDefault="00E608FB" w:rsidP="00E608FB">
    <w:pPr>
      <w:pStyle w:val="Header"/>
      <w:tabs>
        <w:tab w:val="clear" w:pos="4513"/>
        <w:tab w:val="clear" w:pos="9026"/>
        <w:tab w:val="left" w:pos="2834"/>
      </w:tabs>
      <w:ind w:right="360"/>
      <w:rPr>
        <w:rFonts w:asciiTheme="minorHAnsi" w:hAnsiTheme="minorHAnsi" w:cstheme="minorHAnsi"/>
      </w:rPr>
    </w:pPr>
    <w:r w:rsidRPr="00E608FB">
      <w:rPr>
        <w:rFonts w:asciiTheme="minorHAnsi" w:hAnsiTheme="minorHAnsi" w:cstheme="minorHAnsi"/>
      </w:rPr>
      <w:t>2307557-</w:t>
    </w:r>
    <w:r w:rsidR="00D65485">
      <w:rPr>
        <w:rFonts w:asciiTheme="minorHAnsi" w:hAnsiTheme="minorHAnsi" w:cstheme="minorHAnsi"/>
      </w:rPr>
      <w:t>EC</w:t>
    </w:r>
    <w:r w:rsidRPr="00E608FB">
      <w:rPr>
        <w:rFonts w:asciiTheme="minorHAnsi" w:hAnsiTheme="minorHAnsi" w:cstheme="minorHAnsi"/>
      </w:rPr>
      <w:t>6007</w:t>
    </w:r>
    <w:r w:rsidR="00D65485">
      <w:rPr>
        <w:rFonts w:asciiTheme="minorHAnsi" w:hAnsiTheme="minorHAnsi" w:cstheme="minorHAnsi"/>
      </w:rPr>
      <w:t>-C</w:t>
    </w:r>
    <w:r>
      <w:rPr>
        <w:rFonts w:asciiTheme="minorHAnsi" w:hAnsiTheme="minorHAnsi" w:cstheme="minorHAnsi"/>
      </w:rPr>
      <w:tab/>
    </w:r>
  </w:p>
  <w:p w14:paraId="12A0FBBA" w14:textId="77777777" w:rsidR="00530D3B" w:rsidRDefault="00530D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4036C"/>
    <w:multiLevelType w:val="multilevel"/>
    <w:tmpl w:val="EF505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5811EF"/>
    <w:multiLevelType w:val="hybridMultilevel"/>
    <w:tmpl w:val="44E6789E"/>
    <w:lvl w:ilvl="0" w:tplc="BEECDABE">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F8252B"/>
    <w:multiLevelType w:val="hybridMultilevel"/>
    <w:tmpl w:val="BE401388"/>
    <w:lvl w:ilvl="0" w:tplc="CE30970A">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B26717"/>
    <w:multiLevelType w:val="multilevel"/>
    <w:tmpl w:val="6FCC6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1279297">
    <w:abstractNumId w:val="3"/>
  </w:num>
  <w:num w:numId="2" w16cid:durableId="653409312">
    <w:abstractNumId w:val="2"/>
  </w:num>
  <w:num w:numId="3" w16cid:durableId="362052408">
    <w:abstractNumId w:val="1"/>
  </w:num>
  <w:num w:numId="4" w16cid:durableId="4643518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D4F"/>
    <w:rsid w:val="000003D6"/>
    <w:rsid w:val="00001D9C"/>
    <w:rsid w:val="00002AB8"/>
    <w:rsid w:val="0000672C"/>
    <w:rsid w:val="00011E68"/>
    <w:rsid w:val="000123EB"/>
    <w:rsid w:val="000224E1"/>
    <w:rsid w:val="000225CE"/>
    <w:rsid w:val="0002515C"/>
    <w:rsid w:val="0002754A"/>
    <w:rsid w:val="00027A98"/>
    <w:rsid w:val="00033489"/>
    <w:rsid w:val="000364A0"/>
    <w:rsid w:val="00036502"/>
    <w:rsid w:val="00037C00"/>
    <w:rsid w:val="00045344"/>
    <w:rsid w:val="00045B75"/>
    <w:rsid w:val="0004675D"/>
    <w:rsid w:val="00047703"/>
    <w:rsid w:val="00050190"/>
    <w:rsid w:val="000503A6"/>
    <w:rsid w:val="00054702"/>
    <w:rsid w:val="00057351"/>
    <w:rsid w:val="0006145F"/>
    <w:rsid w:val="000640AD"/>
    <w:rsid w:val="0006473C"/>
    <w:rsid w:val="000649EB"/>
    <w:rsid w:val="0006508D"/>
    <w:rsid w:val="00065AEA"/>
    <w:rsid w:val="00070749"/>
    <w:rsid w:val="0007096A"/>
    <w:rsid w:val="00073487"/>
    <w:rsid w:val="00076197"/>
    <w:rsid w:val="00076D5A"/>
    <w:rsid w:val="00076F0D"/>
    <w:rsid w:val="0007738A"/>
    <w:rsid w:val="00081CCB"/>
    <w:rsid w:val="00081EF9"/>
    <w:rsid w:val="00082422"/>
    <w:rsid w:val="000857C5"/>
    <w:rsid w:val="000869E2"/>
    <w:rsid w:val="00094866"/>
    <w:rsid w:val="00095590"/>
    <w:rsid w:val="000A2632"/>
    <w:rsid w:val="000A570F"/>
    <w:rsid w:val="000A6C1A"/>
    <w:rsid w:val="000A7740"/>
    <w:rsid w:val="000B13CE"/>
    <w:rsid w:val="000B1F0B"/>
    <w:rsid w:val="000B3C9D"/>
    <w:rsid w:val="000B45BD"/>
    <w:rsid w:val="000B577D"/>
    <w:rsid w:val="000B5C5F"/>
    <w:rsid w:val="000B7229"/>
    <w:rsid w:val="000B783D"/>
    <w:rsid w:val="000C0B9C"/>
    <w:rsid w:val="000C417F"/>
    <w:rsid w:val="000C5111"/>
    <w:rsid w:val="000C6767"/>
    <w:rsid w:val="000D2608"/>
    <w:rsid w:val="000D6D77"/>
    <w:rsid w:val="000D7C81"/>
    <w:rsid w:val="000D7D08"/>
    <w:rsid w:val="000E5794"/>
    <w:rsid w:val="000E5BE3"/>
    <w:rsid w:val="000E676A"/>
    <w:rsid w:val="000E6DFA"/>
    <w:rsid w:val="000E7548"/>
    <w:rsid w:val="000F2873"/>
    <w:rsid w:val="000F7E21"/>
    <w:rsid w:val="0010110D"/>
    <w:rsid w:val="00105F7B"/>
    <w:rsid w:val="001125DC"/>
    <w:rsid w:val="0011311C"/>
    <w:rsid w:val="0011406F"/>
    <w:rsid w:val="001142E8"/>
    <w:rsid w:val="001153A3"/>
    <w:rsid w:val="00115745"/>
    <w:rsid w:val="00123C80"/>
    <w:rsid w:val="00130001"/>
    <w:rsid w:val="00132B79"/>
    <w:rsid w:val="00132FA7"/>
    <w:rsid w:val="00134149"/>
    <w:rsid w:val="001403A6"/>
    <w:rsid w:val="0014121C"/>
    <w:rsid w:val="00142E89"/>
    <w:rsid w:val="00143AA3"/>
    <w:rsid w:val="00150944"/>
    <w:rsid w:val="00151F38"/>
    <w:rsid w:val="00151F76"/>
    <w:rsid w:val="0015436B"/>
    <w:rsid w:val="00157EFF"/>
    <w:rsid w:val="00161F95"/>
    <w:rsid w:val="00162A62"/>
    <w:rsid w:val="00162E64"/>
    <w:rsid w:val="00163069"/>
    <w:rsid w:val="0016471B"/>
    <w:rsid w:val="0016553C"/>
    <w:rsid w:val="001661DF"/>
    <w:rsid w:val="00167194"/>
    <w:rsid w:val="00167623"/>
    <w:rsid w:val="00173350"/>
    <w:rsid w:val="001741D9"/>
    <w:rsid w:val="001770DF"/>
    <w:rsid w:val="00184260"/>
    <w:rsid w:val="00185626"/>
    <w:rsid w:val="001856C8"/>
    <w:rsid w:val="00185EF4"/>
    <w:rsid w:val="00186665"/>
    <w:rsid w:val="00192702"/>
    <w:rsid w:val="00192924"/>
    <w:rsid w:val="00193904"/>
    <w:rsid w:val="00194B9E"/>
    <w:rsid w:val="001955EF"/>
    <w:rsid w:val="00195C6A"/>
    <w:rsid w:val="001962C7"/>
    <w:rsid w:val="001974BB"/>
    <w:rsid w:val="001A0306"/>
    <w:rsid w:val="001A1CEC"/>
    <w:rsid w:val="001A2854"/>
    <w:rsid w:val="001A2AA6"/>
    <w:rsid w:val="001A5FEA"/>
    <w:rsid w:val="001A711F"/>
    <w:rsid w:val="001B16C1"/>
    <w:rsid w:val="001B5B11"/>
    <w:rsid w:val="001C35EB"/>
    <w:rsid w:val="001C7121"/>
    <w:rsid w:val="001C7FC0"/>
    <w:rsid w:val="001D3F5D"/>
    <w:rsid w:val="001D48CB"/>
    <w:rsid w:val="001D6EB6"/>
    <w:rsid w:val="001E225A"/>
    <w:rsid w:val="001E2B90"/>
    <w:rsid w:val="001E33E9"/>
    <w:rsid w:val="001E37F0"/>
    <w:rsid w:val="001E70FF"/>
    <w:rsid w:val="001E7ABC"/>
    <w:rsid w:val="001F4319"/>
    <w:rsid w:val="001F47F0"/>
    <w:rsid w:val="001F6823"/>
    <w:rsid w:val="0020091C"/>
    <w:rsid w:val="00210F2C"/>
    <w:rsid w:val="002118DE"/>
    <w:rsid w:val="00211C78"/>
    <w:rsid w:val="00211EA1"/>
    <w:rsid w:val="00215B45"/>
    <w:rsid w:val="0022402B"/>
    <w:rsid w:val="00226A3F"/>
    <w:rsid w:val="00230ADD"/>
    <w:rsid w:val="00230F29"/>
    <w:rsid w:val="00234035"/>
    <w:rsid w:val="002342DC"/>
    <w:rsid w:val="0023471C"/>
    <w:rsid w:val="00236EC8"/>
    <w:rsid w:val="00237ABE"/>
    <w:rsid w:val="0024088F"/>
    <w:rsid w:val="002458FA"/>
    <w:rsid w:val="002466B3"/>
    <w:rsid w:val="002503FB"/>
    <w:rsid w:val="00252BB4"/>
    <w:rsid w:val="00253965"/>
    <w:rsid w:val="00255AFD"/>
    <w:rsid w:val="0025759F"/>
    <w:rsid w:val="00257FDD"/>
    <w:rsid w:val="00262080"/>
    <w:rsid w:val="002628D9"/>
    <w:rsid w:val="00263FB1"/>
    <w:rsid w:val="002650B5"/>
    <w:rsid w:val="00270020"/>
    <w:rsid w:val="00273B97"/>
    <w:rsid w:val="00273CB7"/>
    <w:rsid w:val="00274E41"/>
    <w:rsid w:val="00276FE5"/>
    <w:rsid w:val="00277DDB"/>
    <w:rsid w:val="0028213E"/>
    <w:rsid w:val="00284032"/>
    <w:rsid w:val="00291E5C"/>
    <w:rsid w:val="00293B42"/>
    <w:rsid w:val="002944F0"/>
    <w:rsid w:val="0029516A"/>
    <w:rsid w:val="00295DAC"/>
    <w:rsid w:val="00295F6B"/>
    <w:rsid w:val="0029686A"/>
    <w:rsid w:val="002A000D"/>
    <w:rsid w:val="002A5C07"/>
    <w:rsid w:val="002A6E60"/>
    <w:rsid w:val="002B7A41"/>
    <w:rsid w:val="002C0349"/>
    <w:rsid w:val="002C3BA1"/>
    <w:rsid w:val="002C43FF"/>
    <w:rsid w:val="002C6AF6"/>
    <w:rsid w:val="002D0FA0"/>
    <w:rsid w:val="002D19EA"/>
    <w:rsid w:val="002D3400"/>
    <w:rsid w:val="002D355F"/>
    <w:rsid w:val="002D55E8"/>
    <w:rsid w:val="002E0CCE"/>
    <w:rsid w:val="002E1130"/>
    <w:rsid w:val="002E1552"/>
    <w:rsid w:val="002E1622"/>
    <w:rsid w:val="002E3C78"/>
    <w:rsid w:val="002E4A52"/>
    <w:rsid w:val="002E618E"/>
    <w:rsid w:val="002F27F0"/>
    <w:rsid w:val="002F2C1A"/>
    <w:rsid w:val="002F3D47"/>
    <w:rsid w:val="002F494B"/>
    <w:rsid w:val="003001E6"/>
    <w:rsid w:val="00300403"/>
    <w:rsid w:val="0030365A"/>
    <w:rsid w:val="003056A6"/>
    <w:rsid w:val="00311F01"/>
    <w:rsid w:val="00313D99"/>
    <w:rsid w:val="00316B24"/>
    <w:rsid w:val="00320C3D"/>
    <w:rsid w:val="00325F2A"/>
    <w:rsid w:val="00326911"/>
    <w:rsid w:val="00330043"/>
    <w:rsid w:val="00332424"/>
    <w:rsid w:val="00335453"/>
    <w:rsid w:val="003374E1"/>
    <w:rsid w:val="003400AA"/>
    <w:rsid w:val="00345AA5"/>
    <w:rsid w:val="003523D1"/>
    <w:rsid w:val="00354A16"/>
    <w:rsid w:val="00355D7F"/>
    <w:rsid w:val="003566F7"/>
    <w:rsid w:val="00356F7E"/>
    <w:rsid w:val="00357EC3"/>
    <w:rsid w:val="0036673B"/>
    <w:rsid w:val="00366B4D"/>
    <w:rsid w:val="00370E61"/>
    <w:rsid w:val="003712DD"/>
    <w:rsid w:val="00380858"/>
    <w:rsid w:val="00381071"/>
    <w:rsid w:val="00383BBF"/>
    <w:rsid w:val="00384F52"/>
    <w:rsid w:val="003851CC"/>
    <w:rsid w:val="00385EF6"/>
    <w:rsid w:val="003875D6"/>
    <w:rsid w:val="00387D0B"/>
    <w:rsid w:val="003917DF"/>
    <w:rsid w:val="0039215D"/>
    <w:rsid w:val="00395EC2"/>
    <w:rsid w:val="00396BE8"/>
    <w:rsid w:val="00397FE2"/>
    <w:rsid w:val="003A0C4E"/>
    <w:rsid w:val="003A1604"/>
    <w:rsid w:val="003A360D"/>
    <w:rsid w:val="003A39CD"/>
    <w:rsid w:val="003B5FF0"/>
    <w:rsid w:val="003B63E2"/>
    <w:rsid w:val="003C1FDA"/>
    <w:rsid w:val="003C43E9"/>
    <w:rsid w:val="003C58F8"/>
    <w:rsid w:val="003D0CBB"/>
    <w:rsid w:val="003D16A8"/>
    <w:rsid w:val="003D1A46"/>
    <w:rsid w:val="003D2FD8"/>
    <w:rsid w:val="003D37C9"/>
    <w:rsid w:val="003D5312"/>
    <w:rsid w:val="003D5D0A"/>
    <w:rsid w:val="003D5E27"/>
    <w:rsid w:val="003E0EFA"/>
    <w:rsid w:val="003E1CB4"/>
    <w:rsid w:val="003E5357"/>
    <w:rsid w:val="003E61C1"/>
    <w:rsid w:val="003E65DE"/>
    <w:rsid w:val="003F003C"/>
    <w:rsid w:val="003F1E60"/>
    <w:rsid w:val="003F222A"/>
    <w:rsid w:val="003F60F4"/>
    <w:rsid w:val="003F68F1"/>
    <w:rsid w:val="00400478"/>
    <w:rsid w:val="004014E6"/>
    <w:rsid w:val="00401B47"/>
    <w:rsid w:val="00402B60"/>
    <w:rsid w:val="0040316D"/>
    <w:rsid w:val="00411F6D"/>
    <w:rsid w:val="00412BCA"/>
    <w:rsid w:val="00417128"/>
    <w:rsid w:val="0041765A"/>
    <w:rsid w:val="00417A17"/>
    <w:rsid w:val="004205D7"/>
    <w:rsid w:val="00422DE6"/>
    <w:rsid w:val="00424E9A"/>
    <w:rsid w:val="00427C03"/>
    <w:rsid w:val="004360D6"/>
    <w:rsid w:val="00436F27"/>
    <w:rsid w:val="004432B3"/>
    <w:rsid w:val="00452487"/>
    <w:rsid w:val="00461B66"/>
    <w:rsid w:val="004626B0"/>
    <w:rsid w:val="004630B5"/>
    <w:rsid w:val="004638FB"/>
    <w:rsid w:val="00464428"/>
    <w:rsid w:val="00465E3E"/>
    <w:rsid w:val="00474D57"/>
    <w:rsid w:val="00477CC7"/>
    <w:rsid w:val="004818B6"/>
    <w:rsid w:val="004840C0"/>
    <w:rsid w:val="00485B0D"/>
    <w:rsid w:val="004913A8"/>
    <w:rsid w:val="00495FB1"/>
    <w:rsid w:val="00496EC3"/>
    <w:rsid w:val="00497761"/>
    <w:rsid w:val="004A34EB"/>
    <w:rsid w:val="004A4F13"/>
    <w:rsid w:val="004A67C7"/>
    <w:rsid w:val="004B005A"/>
    <w:rsid w:val="004B23E9"/>
    <w:rsid w:val="004C2A93"/>
    <w:rsid w:val="004C5F4F"/>
    <w:rsid w:val="004C74C1"/>
    <w:rsid w:val="004D1916"/>
    <w:rsid w:val="004D38A3"/>
    <w:rsid w:val="004D3A0E"/>
    <w:rsid w:val="004E12D9"/>
    <w:rsid w:val="004E2183"/>
    <w:rsid w:val="004E222F"/>
    <w:rsid w:val="004F1F47"/>
    <w:rsid w:val="004F2010"/>
    <w:rsid w:val="004F35C3"/>
    <w:rsid w:val="004F67E3"/>
    <w:rsid w:val="004F7DB2"/>
    <w:rsid w:val="00500719"/>
    <w:rsid w:val="00503752"/>
    <w:rsid w:val="00503893"/>
    <w:rsid w:val="005038C9"/>
    <w:rsid w:val="00504D1B"/>
    <w:rsid w:val="00505FEB"/>
    <w:rsid w:val="0051354F"/>
    <w:rsid w:val="00513A5D"/>
    <w:rsid w:val="00514A12"/>
    <w:rsid w:val="00516901"/>
    <w:rsid w:val="00516ED6"/>
    <w:rsid w:val="00522FB9"/>
    <w:rsid w:val="005245EC"/>
    <w:rsid w:val="00530D3B"/>
    <w:rsid w:val="005362B2"/>
    <w:rsid w:val="005426A5"/>
    <w:rsid w:val="00543749"/>
    <w:rsid w:val="005443D5"/>
    <w:rsid w:val="00544B61"/>
    <w:rsid w:val="00545C94"/>
    <w:rsid w:val="005469BA"/>
    <w:rsid w:val="005474EA"/>
    <w:rsid w:val="005530AD"/>
    <w:rsid w:val="00555786"/>
    <w:rsid w:val="00555FCB"/>
    <w:rsid w:val="005629D5"/>
    <w:rsid w:val="00564137"/>
    <w:rsid w:val="005647FF"/>
    <w:rsid w:val="00570653"/>
    <w:rsid w:val="0057088D"/>
    <w:rsid w:val="0057462E"/>
    <w:rsid w:val="00574BF7"/>
    <w:rsid w:val="00575205"/>
    <w:rsid w:val="005764EF"/>
    <w:rsid w:val="00576720"/>
    <w:rsid w:val="00576B72"/>
    <w:rsid w:val="005770F4"/>
    <w:rsid w:val="00577139"/>
    <w:rsid w:val="005828B0"/>
    <w:rsid w:val="00582CF2"/>
    <w:rsid w:val="0058667D"/>
    <w:rsid w:val="00587CAD"/>
    <w:rsid w:val="00587ECA"/>
    <w:rsid w:val="00590727"/>
    <w:rsid w:val="005932EE"/>
    <w:rsid w:val="005A113D"/>
    <w:rsid w:val="005A1237"/>
    <w:rsid w:val="005A12C8"/>
    <w:rsid w:val="005A3C0B"/>
    <w:rsid w:val="005A46F2"/>
    <w:rsid w:val="005A570B"/>
    <w:rsid w:val="005B41C8"/>
    <w:rsid w:val="005B5A16"/>
    <w:rsid w:val="005B6ED0"/>
    <w:rsid w:val="005C00FF"/>
    <w:rsid w:val="005C4BC4"/>
    <w:rsid w:val="005C74A8"/>
    <w:rsid w:val="005C7B59"/>
    <w:rsid w:val="005D0AE7"/>
    <w:rsid w:val="005D1824"/>
    <w:rsid w:val="005D3EAD"/>
    <w:rsid w:val="005D621B"/>
    <w:rsid w:val="005D6F99"/>
    <w:rsid w:val="005E06C6"/>
    <w:rsid w:val="005E14CD"/>
    <w:rsid w:val="005E2827"/>
    <w:rsid w:val="005E2F28"/>
    <w:rsid w:val="005E5B85"/>
    <w:rsid w:val="005E6BB9"/>
    <w:rsid w:val="00603B19"/>
    <w:rsid w:val="00615688"/>
    <w:rsid w:val="006159DD"/>
    <w:rsid w:val="00617145"/>
    <w:rsid w:val="006200D3"/>
    <w:rsid w:val="00625C7A"/>
    <w:rsid w:val="006317AC"/>
    <w:rsid w:val="00632D34"/>
    <w:rsid w:val="00633899"/>
    <w:rsid w:val="006357E0"/>
    <w:rsid w:val="00642DC3"/>
    <w:rsid w:val="00645717"/>
    <w:rsid w:val="006460B8"/>
    <w:rsid w:val="00650996"/>
    <w:rsid w:val="00651837"/>
    <w:rsid w:val="0065675B"/>
    <w:rsid w:val="00657CA4"/>
    <w:rsid w:val="006608C7"/>
    <w:rsid w:val="00660B76"/>
    <w:rsid w:val="006669F6"/>
    <w:rsid w:val="00671127"/>
    <w:rsid w:val="00675337"/>
    <w:rsid w:val="006764E5"/>
    <w:rsid w:val="006843DB"/>
    <w:rsid w:val="0069229D"/>
    <w:rsid w:val="00692993"/>
    <w:rsid w:val="00693696"/>
    <w:rsid w:val="00695713"/>
    <w:rsid w:val="00695965"/>
    <w:rsid w:val="00696D76"/>
    <w:rsid w:val="006A0312"/>
    <w:rsid w:val="006A3C56"/>
    <w:rsid w:val="006A413B"/>
    <w:rsid w:val="006B4D63"/>
    <w:rsid w:val="006B4DBD"/>
    <w:rsid w:val="006B5105"/>
    <w:rsid w:val="006B75A4"/>
    <w:rsid w:val="006C0D7C"/>
    <w:rsid w:val="006C1DB7"/>
    <w:rsid w:val="006C264E"/>
    <w:rsid w:val="006C6630"/>
    <w:rsid w:val="006D0B37"/>
    <w:rsid w:val="006D26C7"/>
    <w:rsid w:val="006D5537"/>
    <w:rsid w:val="006E3B11"/>
    <w:rsid w:val="006E55BE"/>
    <w:rsid w:val="006F0016"/>
    <w:rsid w:val="006F31FF"/>
    <w:rsid w:val="006F376A"/>
    <w:rsid w:val="006F3866"/>
    <w:rsid w:val="006F4F1E"/>
    <w:rsid w:val="006F5827"/>
    <w:rsid w:val="006F5C01"/>
    <w:rsid w:val="006F6182"/>
    <w:rsid w:val="006F7B96"/>
    <w:rsid w:val="0070371E"/>
    <w:rsid w:val="007067FD"/>
    <w:rsid w:val="00706FBF"/>
    <w:rsid w:val="00707F03"/>
    <w:rsid w:val="00712623"/>
    <w:rsid w:val="00715B6D"/>
    <w:rsid w:val="0071602A"/>
    <w:rsid w:val="00717E69"/>
    <w:rsid w:val="00724AFA"/>
    <w:rsid w:val="0073014A"/>
    <w:rsid w:val="00731A2D"/>
    <w:rsid w:val="007328F6"/>
    <w:rsid w:val="0073375D"/>
    <w:rsid w:val="00733FA2"/>
    <w:rsid w:val="00737148"/>
    <w:rsid w:val="00737980"/>
    <w:rsid w:val="00741B8B"/>
    <w:rsid w:val="00743658"/>
    <w:rsid w:val="00746168"/>
    <w:rsid w:val="00746589"/>
    <w:rsid w:val="007469AA"/>
    <w:rsid w:val="00752D67"/>
    <w:rsid w:val="00763197"/>
    <w:rsid w:val="00765D63"/>
    <w:rsid w:val="00766D9B"/>
    <w:rsid w:val="00773C98"/>
    <w:rsid w:val="00781148"/>
    <w:rsid w:val="007826C7"/>
    <w:rsid w:val="00782F92"/>
    <w:rsid w:val="00783181"/>
    <w:rsid w:val="00784213"/>
    <w:rsid w:val="00784953"/>
    <w:rsid w:val="007853A4"/>
    <w:rsid w:val="00791061"/>
    <w:rsid w:val="0079395E"/>
    <w:rsid w:val="00794494"/>
    <w:rsid w:val="007A00AA"/>
    <w:rsid w:val="007A15DA"/>
    <w:rsid w:val="007A17EA"/>
    <w:rsid w:val="007A35F7"/>
    <w:rsid w:val="007A5CFE"/>
    <w:rsid w:val="007B109F"/>
    <w:rsid w:val="007B3304"/>
    <w:rsid w:val="007C219A"/>
    <w:rsid w:val="007C2897"/>
    <w:rsid w:val="007C538A"/>
    <w:rsid w:val="007C568D"/>
    <w:rsid w:val="007C5EC9"/>
    <w:rsid w:val="007D4868"/>
    <w:rsid w:val="007D4E99"/>
    <w:rsid w:val="007D6819"/>
    <w:rsid w:val="007D7473"/>
    <w:rsid w:val="007E081C"/>
    <w:rsid w:val="007E3931"/>
    <w:rsid w:val="007E5FDA"/>
    <w:rsid w:val="007F154D"/>
    <w:rsid w:val="007F6960"/>
    <w:rsid w:val="008012D3"/>
    <w:rsid w:val="00801AB3"/>
    <w:rsid w:val="00806582"/>
    <w:rsid w:val="00816658"/>
    <w:rsid w:val="00831158"/>
    <w:rsid w:val="00834414"/>
    <w:rsid w:val="008366DC"/>
    <w:rsid w:val="00845D49"/>
    <w:rsid w:val="00854218"/>
    <w:rsid w:val="00854A55"/>
    <w:rsid w:val="00857E1A"/>
    <w:rsid w:val="008605DF"/>
    <w:rsid w:val="00861B85"/>
    <w:rsid w:val="00870B3A"/>
    <w:rsid w:val="00871358"/>
    <w:rsid w:val="00872100"/>
    <w:rsid w:val="0087234A"/>
    <w:rsid w:val="008744E9"/>
    <w:rsid w:val="00875E7A"/>
    <w:rsid w:val="0087651B"/>
    <w:rsid w:val="008774E5"/>
    <w:rsid w:val="008829BE"/>
    <w:rsid w:val="00883CB2"/>
    <w:rsid w:val="0088534C"/>
    <w:rsid w:val="008912FD"/>
    <w:rsid w:val="008A4F3D"/>
    <w:rsid w:val="008B03CA"/>
    <w:rsid w:val="008B0403"/>
    <w:rsid w:val="008B6241"/>
    <w:rsid w:val="008B70A5"/>
    <w:rsid w:val="008C560E"/>
    <w:rsid w:val="008C6C64"/>
    <w:rsid w:val="008C6D84"/>
    <w:rsid w:val="008D0A33"/>
    <w:rsid w:val="008D187C"/>
    <w:rsid w:val="008E1710"/>
    <w:rsid w:val="008E377E"/>
    <w:rsid w:val="008E3A5C"/>
    <w:rsid w:val="008E4F0D"/>
    <w:rsid w:val="008E6602"/>
    <w:rsid w:val="008F00FD"/>
    <w:rsid w:val="008F0B92"/>
    <w:rsid w:val="008F0C19"/>
    <w:rsid w:val="008F3015"/>
    <w:rsid w:val="008F5698"/>
    <w:rsid w:val="00902420"/>
    <w:rsid w:val="009031CF"/>
    <w:rsid w:val="0090329D"/>
    <w:rsid w:val="00903952"/>
    <w:rsid w:val="009045D2"/>
    <w:rsid w:val="009106B3"/>
    <w:rsid w:val="00910D4F"/>
    <w:rsid w:val="00913669"/>
    <w:rsid w:val="00915D82"/>
    <w:rsid w:val="009255B3"/>
    <w:rsid w:val="00927D18"/>
    <w:rsid w:val="009337BB"/>
    <w:rsid w:val="009345F3"/>
    <w:rsid w:val="009352C0"/>
    <w:rsid w:val="009371D0"/>
    <w:rsid w:val="00940FD4"/>
    <w:rsid w:val="00942609"/>
    <w:rsid w:val="0094341F"/>
    <w:rsid w:val="009460BA"/>
    <w:rsid w:val="009472E3"/>
    <w:rsid w:val="00952982"/>
    <w:rsid w:val="009549CD"/>
    <w:rsid w:val="00956460"/>
    <w:rsid w:val="00962915"/>
    <w:rsid w:val="00964576"/>
    <w:rsid w:val="009657E4"/>
    <w:rsid w:val="00966274"/>
    <w:rsid w:val="00966E36"/>
    <w:rsid w:val="00967CEA"/>
    <w:rsid w:val="00967E8C"/>
    <w:rsid w:val="00971205"/>
    <w:rsid w:val="009800A3"/>
    <w:rsid w:val="00982E5D"/>
    <w:rsid w:val="009856C8"/>
    <w:rsid w:val="00990A70"/>
    <w:rsid w:val="00991745"/>
    <w:rsid w:val="00991CE0"/>
    <w:rsid w:val="009935FA"/>
    <w:rsid w:val="009A175C"/>
    <w:rsid w:val="009A311C"/>
    <w:rsid w:val="009A5217"/>
    <w:rsid w:val="009B1DD2"/>
    <w:rsid w:val="009C0550"/>
    <w:rsid w:val="009D3E34"/>
    <w:rsid w:val="009E4094"/>
    <w:rsid w:val="009F252F"/>
    <w:rsid w:val="009F2E57"/>
    <w:rsid w:val="009F4891"/>
    <w:rsid w:val="009F6316"/>
    <w:rsid w:val="009F67E1"/>
    <w:rsid w:val="00A01995"/>
    <w:rsid w:val="00A019BE"/>
    <w:rsid w:val="00A023EF"/>
    <w:rsid w:val="00A041B5"/>
    <w:rsid w:val="00A04B56"/>
    <w:rsid w:val="00A112D9"/>
    <w:rsid w:val="00A12F50"/>
    <w:rsid w:val="00A1465B"/>
    <w:rsid w:val="00A15754"/>
    <w:rsid w:val="00A157A1"/>
    <w:rsid w:val="00A23479"/>
    <w:rsid w:val="00A2786A"/>
    <w:rsid w:val="00A279CA"/>
    <w:rsid w:val="00A3125A"/>
    <w:rsid w:val="00A31800"/>
    <w:rsid w:val="00A3307A"/>
    <w:rsid w:val="00A34123"/>
    <w:rsid w:val="00A348C7"/>
    <w:rsid w:val="00A35C0A"/>
    <w:rsid w:val="00A364CE"/>
    <w:rsid w:val="00A373F3"/>
    <w:rsid w:val="00A4264F"/>
    <w:rsid w:val="00A44251"/>
    <w:rsid w:val="00A46561"/>
    <w:rsid w:val="00A47FAB"/>
    <w:rsid w:val="00A50F52"/>
    <w:rsid w:val="00A54F29"/>
    <w:rsid w:val="00A56B4C"/>
    <w:rsid w:val="00A62DF1"/>
    <w:rsid w:val="00A630F2"/>
    <w:rsid w:val="00A64505"/>
    <w:rsid w:val="00A65C25"/>
    <w:rsid w:val="00A72A40"/>
    <w:rsid w:val="00A83017"/>
    <w:rsid w:val="00A90697"/>
    <w:rsid w:val="00A90705"/>
    <w:rsid w:val="00A925D0"/>
    <w:rsid w:val="00A96634"/>
    <w:rsid w:val="00A96D14"/>
    <w:rsid w:val="00AA0AA4"/>
    <w:rsid w:val="00AA225D"/>
    <w:rsid w:val="00AA3CD5"/>
    <w:rsid w:val="00AA4804"/>
    <w:rsid w:val="00AA5E4F"/>
    <w:rsid w:val="00AA67DD"/>
    <w:rsid w:val="00AA764A"/>
    <w:rsid w:val="00AB585A"/>
    <w:rsid w:val="00AB6E26"/>
    <w:rsid w:val="00AC31B5"/>
    <w:rsid w:val="00AC3E79"/>
    <w:rsid w:val="00AC6AF5"/>
    <w:rsid w:val="00AC718E"/>
    <w:rsid w:val="00AD101A"/>
    <w:rsid w:val="00AD2DC6"/>
    <w:rsid w:val="00AD4B83"/>
    <w:rsid w:val="00AE06FD"/>
    <w:rsid w:val="00AE1DF8"/>
    <w:rsid w:val="00AE3940"/>
    <w:rsid w:val="00AE5CFA"/>
    <w:rsid w:val="00AE698E"/>
    <w:rsid w:val="00AE6FAF"/>
    <w:rsid w:val="00AF00C8"/>
    <w:rsid w:val="00AF25B9"/>
    <w:rsid w:val="00AF4061"/>
    <w:rsid w:val="00AF49F4"/>
    <w:rsid w:val="00AF6706"/>
    <w:rsid w:val="00AF7F27"/>
    <w:rsid w:val="00B00952"/>
    <w:rsid w:val="00B03D0A"/>
    <w:rsid w:val="00B03E03"/>
    <w:rsid w:val="00B076FF"/>
    <w:rsid w:val="00B12363"/>
    <w:rsid w:val="00B12488"/>
    <w:rsid w:val="00B15287"/>
    <w:rsid w:val="00B15FB0"/>
    <w:rsid w:val="00B16332"/>
    <w:rsid w:val="00B17389"/>
    <w:rsid w:val="00B17E7F"/>
    <w:rsid w:val="00B41E3C"/>
    <w:rsid w:val="00B440DE"/>
    <w:rsid w:val="00B45EF3"/>
    <w:rsid w:val="00B46FEB"/>
    <w:rsid w:val="00B509C6"/>
    <w:rsid w:val="00B50A75"/>
    <w:rsid w:val="00B519CF"/>
    <w:rsid w:val="00B539AB"/>
    <w:rsid w:val="00B54F33"/>
    <w:rsid w:val="00B554BD"/>
    <w:rsid w:val="00B55943"/>
    <w:rsid w:val="00B55CC1"/>
    <w:rsid w:val="00B568C9"/>
    <w:rsid w:val="00B6171C"/>
    <w:rsid w:val="00B635FF"/>
    <w:rsid w:val="00B651A2"/>
    <w:rsid w:val="00B678FE"/>
    <w:rsid w:val="00B72E54"/>
    <w:rsid w:val="00B73927"/>
    <w:rsid w:val="00B758FA"/>
    <w:rsid w:val="00B80808"/>
    <w:rsid w:val="00B82F14"/>
    <w:rsid w:val="00B833C2"/>
    <w:rsid w:val="00B8345C"/>
    <w:rsid w:val="00B93A92"/>
    <w:rsid w:val="00B948F9"/>
    <w:rsid w:val="00B94922"/>
    <w:rsid w:val="00B9625D"/>
    <w:rsid w:val="00B96A3B"/>
    <w:rsid w:val="00BA2233"/>
    <w:rsid w:val="00BA5A90"/>
    <w:rsid w:val="00BB1835"/>
    <w:rsid w:val="00BB1E96"/>
    <w:rsid w:val="00BB39BF"/>
    <w:rsid w:val="00BB4345"/>
    <w:rsid w:val="00BB4776"/>
    <w:rsid w:val="00BB539B"/>
    <w:rsid w:val="00BC2118"/>
    <w:rsid w:val="00BC21B3"/>
    <w:rsid w:val="00BC4B13"/>
    <w:rsid w:val="00BD0BEF"/>
    <w:rsid w:val="00BD21CD"/>
    <w:rsid w:val="00BD3C2B"/>
    <w:rsid w:val="00BD504F"/>
    <w:rsid w:val="00BD790D"/>
    <w:rsid w:val="00BE053B"/>
    <w:rsid w:val="00BE09BB"/>
    <w:rsid w:val="00BE1CDC"/>
    <w:rsid w:val="00BE3971"/>
    <w:rsid w:val="00BE5CB8"/>
    <w:rsid w:val="00BF4634"/>
    <w:rsid w:val="00C01338"/>
    <w:rsid w:val="00C04E06"/>
    <w:rsid w:val="00C057B2"/>
    <w:rsid w:val="00C0693C"/>
    <w:rsid w:val="00C06D47"/>
    <w:rsid w:val="00C07BB9"/>
    <w:rsid w:val="00C133AE"/>
    <w:rsid w:val="00C15DC0"/>
    <w:rsid w:val="00C170BE"/>
    <w:rsid w:val="00C22296"/>
    <w:rsid w:val="00C2609F"/>
    <w:rsid w:val="00C26CD4"/>
    <w:rsid w:val="00C311B2"/>
    <w:rsid w:val="00C3258F"/>
    <w:rsid w:val="00C32AEB"/>
    <w:rsid w:val="00C358A0"/>
    <w:rsid w:val="00C41477"/>
    <w:rsid w:val="00C4331D"/>
    <w:rsid w:val="00C44A1A"/>
    <w:rsid w:val="00C45188"/>
    <w:rsid w:val="00C45CE1"/>
    <w:rsid w:val="00C46A4A"/>
    <w:rsid w:val="00C46FF5"/>
    <w:rsid w:val="00C5065C"/>
    <w:rsid w:val="00C510F2"/>
    <w:rsid w:val="00C52EF7"/>
    <w:rsid w:val="00C57865"/>
    <w:rsid w:val="00C6180F"/>
    <w:rsid w:val="00C639C0"/>
    <w:rsid w:val="00C66AD7"/>
    <w:rsid w:val="00C71C7A"/>
    <w:rsid w:val="00C72665"/>
    <w:rsid w:val="00C76FF6"/>
    <w:rsid w:val="00C80313"/>
    <w:rsid w:val="00C90150"/>
    <w:rsid w:val="00C9264A"/>
    <w:rsid w:val="00C928B9"/>
    <w:rsid w:val="00C92958"/>
    <w:rsid w:val="00CA3A71"/>
    <w:rsid w:val="00CA4026"/>
    <w:rsid w:val="00CA50AA"/>
    <w:rsid w:val="00CA61B5"/>
    <w:rsid w:val="00CB09A2"/>
    <w:rsid w:val="00CB11A7"/>
    <w:rsid w:val="00CB1478"/>
    <w:rsid w:val="00CB2E56"/>
    <w:rsid w:val="00CB5418"/>
    <w:rsid w:val="00CB6053"/>
    <w:rsid w:val="00CC0C18"/>
    <w:rsid w:val="00CC203E"/>
    <w:rsid w:val="00CC326F"/>
    <w:rsid w:val="00CC4D4D"/>
    <w:rsid w:val="00CD0171"/>
    <w:rsid w:val="00CD138B"/>
    <w:rsid w:val="00CD180C"/>
    <w:rsid w:val="00CD2936"/>
    <w:rsid w:val="00CD3DFC"/>
    <w:rsid w:val="00CD4743"/>
    <w:rsid w:val="00CD66D3"/>
    <w:rsid w:val="00CD75A6"/>
    <w:rsid w:val="00CE022A"/>
    <w:rsid w:val="00CE163A"/>
    <w:rsid w:val="00CE3954"/>
    <w:rsid w:val="00CE4A78"/>
    <w:rsid w:val="00CE717C"/>
    <w:rsid w:val="00CF67DD"/>
    <w:rsid w:val="00CF696C"/>
    <w:rsid w:val="00D0127A"/>
    <w:rsid w:val="00D02329"/>
    <w:rsid w:val="00D05065"/>
    <w:rsid w:val="00D12711"/>
    <w:rsid w:val="00D12A31"/>
    <w:rsid w:val="00D1343C"/>
    <w:rsid w:val="00D14B08"/>
    <w:rsid w:val="00D15181"/>
    <w:rsid w:val="00D16238"/>
    <w:rsid w:val="00D17668"/>
    <w:rsid w:val="00D20251"/>
    <w:rsid w:val="00D237B9"/>
    <w:rsid w:val="00D2486C"/>
    <w:rsid w:val="00D272F9"/>
    <w:rsid w:val="00D2747A"/>
    <w:rsid w:val="00D277DE"/>
    <w:rsid w:val="00D31A7B"/>
    <w:rsid w:val="00D33863"/>
    <w:rsid w:val="00D419E1"/>
    <w:rsid w:val="00D45E2B"/>
    <w:rsid w:val="00D470FC"/>
    <w:rsid w:val="00D504EA"/>
    <w:rsid w:val="00D538F4"/>
    <w:rsid w:val="00D53CD0"/>
    <w:rsid w:val="00D55D39"/>
    <w:rsid w:val="00D57521"/>
    <w:rsid w:val="00D57612"/>
    <w:rsid w:val="00D609C7"/>
    <w:rsid w:val="00D61B70"/>
    <w:rsid w:val="00D6200B"/>
    <w:rsid w:val="00D63E21"/>
    <w:rsid w:val="00D65485"/>
    <w:rsid w:val="00D65823"/>
    <w:rsid w:val="00D65BF3"/>
    <w:rsid w:val="00D72830"/>
    <w:rsid w:val="00D75DF0"/>
    <w:rsid w:val="00D765F3"/>
    <w:rsid w:val="00D77ACE"/>
    <w:rsid w:val="00D807B2"/>
    <w:rsid w:val="00D8784D"/>
    <w:rsid w:val="00D90A75"/>
    <w:rsid w:val="00D926FF"/>
    <w:rsid w:val="00D93734"/>
    <w:rsid w:val="00D94258"/>
    <w:rsid w:val="00D946BD"/>
    <w:rsid w:val="00D977D7"/>
    <w:rsid w:val="00DA57B1"/>
    <w:rsid w:val="00DA7461"/>
    <w:rsid w:val="00DB0726"/>
    <w:rsid w:val="00DB1197"/>
    <w:rsid w:val="00DC2636"/>
    <w:rsid w:val="00DC29C0"/>
    <w:rsid w:val="00DC45F3"/>
    <w:rsid w:val="00DC73BD"/>
    <w:rsid w:val="00DD2986"/>
    <w:rsid w:val="00DF0AE1"/>
    <w:rsid w:val="00DF59C7"/>
    <w:rsid w:val="00DF7A1E"/>
    <w:rsid w:val="00E009B3"/>
    <w:rsid w:val="00E1036F"/>
    <w:rsid w:val="00E10804"/>
    <w:rsid w:val="00E11BBE"/>
    <w:rsid w:val="00E1340F"/>
    <w:rsid w:val="00E136CB"/>
    <w:rsid w:val="00E14644"/>
    <w:rsid w:val="00E17952"/>
    <w:rsid w:val="00E2106F"/>
    <w:rsid w:val="00E21C73"/>
    <w:rsid w:val="00E220DB"/>
    <w:rsid w:val="00E2799F"/>
    <w:rsid w:val="00E27BEA"/>
    <w:rsid w:val="00E312F7"/>
    <w:rsid w:val="00E3436F"/>
    <w:rsid w:val="00E4011A"/>
    <w:rsid w:val="00E44A87"/>
    <w:rsid w:val="00E45D3E"/>
    <w:rsid w:val="00E46C9C"/>
    <w:rsid w:val="00E518AC"/>
    <w:rsid w:val="00E52D50"/>
    <w:rsid w:val="00E54B50"/>
    <w:rsid w:val="00E54F30"/>
    <w:rsid w:val="00E608FB"/>
    <w:rsid w:val="00E6263D"/>
    <w:rsid w:val="00E6365C"/>
    <w:rsid w:val="00E65BCA"/>
    <w:rsid w:val="00E66165"/>
    <w:rsid w:val="00E7358C"/>
    <w:rsid w:val="00E73591"/>
    <w:rsid w:val="00E73B4E"/>
    <w:rsid w:val="00E76B40"/>
    <w:rsid w:val="00E77C5F"/>
    <w:rsid w:val="00E77CF7"/>
    <w:rsid w:val="00E80D23"/>
    <w:rsid w:val="00E8101D"/>
    <w:rsid w:val="00E8219E"/>
    <w:rsid w:val="00E82531"/>
    <w:rsid w:val="00E9282E"/>
    <w:rsid w:val="00E955DD"/>
    <w:rsid w:val="00E97486"/>
    <w:rsid w:val="00E97C5A"/>
    <w:rsid w:val="00EA05EB"/>
    <w:rsid w:val="00EA629D"/>
    <w:rsid w:val="00EA662E"/>
    <w:rsid w:val="00EA73AB"/>
    <w:rsid w:val="00EB2495"/>
    <w:rsid w:val="00EB2B8A"/>
    <w:rsid w:val="00EC09C8"/>
    <w:rsid w:val="00ED4DE0"/>
    <w:rsid w:val="00ED50BD"/>
    <w:rsid w:val="00ED5105"/>
    <w:rsid w:val="00EE0A57"/>
    <w:rsid w:val="00EE25A6"/>
    <w:rsid w:val="00EE27E4"/>
    <w:rsid w:val="00EE348B"/>
    <w:rsid w:val="00EE4B2B"/>
    <w:rsid w:val="00EE5056"/>
    <w:rsid w:val="00EE5221"/>
    <w:rsid w:val="00EE5AE8"/>
    <w:rsid w:val="00EE7563"/>
    <w:rsid w:val="00EE7DD4"/>
    <w:rsid w:val="00EE7F8A"/>
    <w:rsid w:val="00EF2CA9"/>
    <w:rsid w:val="00EF3282"/>
    <w:rsid w:val="00F001F7"/>
    <w:rsid w:val="00F00AD4"/>
    <w:rsid w:val="00F01551"/>
    <w:rsid w:val="00F03E5B"/>
    <w:rsid w:val="00F04E8B"/>
    <w:rsid w:val="00F05A12"/>
    <w:rsid w:val="00F104C6"/>
    <w:rsid w:val="00F1167D"/>
    <w:rsid w:val="00F14E7D"/>
    <w:rsid w:val="00F1656C"/>
    <w:rsid w:val="00F2030E"/>
    <w:rsid w:val="00F20890"/>
    <w:rsid w:val="00F35EC0"/>
    <w:rsid w:val="00F36782"/>
    <w:rsid w:val="00F43084"/>
    <w:rsid w:val="00F43EC4"/>
    <w:rsid w:val="00F449DC"/>
    <w:rsid w:val="00F475F4"/>
    <w:rsid w:val="00F47991"/>
    <w:rsid w:val="00F51825"/>
    <w:rsid w:val="00F54E62"/>
    <w:rsid w:val="00F56A43"/>
    <w:rsid w:val="00F61CC2"/>
    <w:rsid w:val="00F65FD5"/>
    <w:rsid w:val="00F67756"/>
    <w:rsid w:val="00F706A6"/>
    <w:rsid w:val="00F7118D"/>
    <w:rsid w:val="00F75DC2"/>
    <w:rsid w:val="00F76F35"/>
    <w:rsid w:val="00F774CE"/>
    <w:rsid w:val="00F80995"/>
    <w:rsid w:val="00F81155"/>
    <w:rsid w:val="00F81FBF"/>
    <w:rsid w:val="00F86A46"/>
    <w:rsid w:val="00F86DBC"/>
    <w:rsid w:val="00F92D44"/>
    <w:rsid w:val="00F92F80"/>
    <w:rsid w:val="00F9359B"/>
    <w:rsid w:val="00F940EA"/>
    <w:rsid w:val="00FA41C5"/>
    <w:rsid w:val="00FA4FFB"/>
    <w:rsid w:val="00FA5C55"/>
    <w:rsid w:val="00FB2214"/>
    <w:rsid w:val="00FC4438"/>
    <w:rsid w:val="00FC4F41"/>
    <w:rsid w:val="00FC5E35"/>
    <w:rsid w:val="00FC64FC"/>
    <w:rsid w:val="00FD14BE"/>
    <w:rsid w:val="00FD37B6"/>
    <w:rsid w:val="00FD46EA"/>
    <w:rsid w:val="00FE1363"/>
    <w:rsid w:val="00FE349B"/>
    <w:rsid w:val="00FF1A6E"/>
    <w:rsid w:val="00FF52B6"/>
    <w:rsid w:val="00FF623B"/>
    <w:rsid w:val="00FF7D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4385E"/>
  <w15:chartTrackingRefBased/>
  <w15:docId w15:val="{DB05C4CB-683F-7E4C-883D-D5349FF16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78FE"/>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10D4F"/>
    <w:pPr>
      <w:spacing w:before="100" w:beforeAutospacing="1" w:after="100" w:afterAutospacing="1"/>
    </w:pPr>
  </w:style>
  <w:style w:type="paragraph" w:styleId="FootnoteText">
    <w:name w:val="footnote text"/>
    <w:basedOn w:val="Normal"/>
    <w:link w:val="FootnoteTextChar"/>
    <w:uiPriority w:val="99"/>
    <w:semiHidden/>
    <w:unhideWhenUsed/>
    <w:rsid w:val="00854218"/>
    <w:rPr>
      <w:sz w:val="20"/>
      <w:szCs w:val="20"/>
    </w:rPr>
  </w:style>
  <w:style w:type="character" w:customStyle="1" w:styleId="FootnoteTextChar">
    <w:name w:val="Footnote Text Char"/>
    <w:basedOn w:val="DefaultParagraphFont"/>
    <w:link w:val="FootnoteText"/>
    <w:uiPriority w:val="99"/>
    <w:semiHidden/>
    <w:rsid w:val="00854218"/>
    <w:rPr>
      <w:sz w:val="20"/>
      <w:szCs w:val="20"/>
    </w:rPr>
  </w:style>
  <w:style w:type="character" w:styleId="FootnoteReference">
    <w:name w:val="footnote reference"/>
    <w:basedOn w:val="DefaultParagraphFont"/>
    <w:uiPriority w:val="99"/>
    <w:semiHidden/>
    <w:unhideWhenUsed/>
    <w:rsid w:val="00854218"/>
    <w:rPr>
      <w:vertAlign w:val="superscript"/>
    </w:rPr>
  </w:style>
  <w:style w:type="paragraph" w:styleId="Header">
    <w:name w:val="header"/>
    <w:basedOn w:val="Normal"/>
    <w:link w:val="HeaderChar"/>
    <w:uiPriority w:val="99"/>
    <w:unhideWhenUsed/>
    <w:rsid w:val="00EB2B8A"/>
    <w:pPr>
      <w:tabs>
        <w:tab w:val="center" w:pos="4513"/>
        <w:tab w:val="right" w:pos="9026"/>
      </w:tabs>
    </w:pPr>
  </w:style>
  <w:style w:type="character" w:customStyle="1" w:styleId="HeaderChar">
    <w:name w:val="Header Char"/>
    <w:basedOn w:val="DefaultParagraphFont"/>
    <w:link w:val="Header"/>
    <w:uiPriority w:val="99"/>
    <w:rsid w:val="00EB2B8A"/>
  </w:style>
  <w:style w:type="paragraph" w:styleId="Footer">
    <w:name w:val="footer"/>
    <w:basedOn w:val="Normal"/>
    <w:link w:val="FooterChar"/>
    <w:uiPriority w:val="99"/>
    <w:unhideWhenUsed/>
    <w:rsid w:val="00EB2B8A"/>
    <w:pPr>
      <w:tabs>
        <w:tab w:val="center" w:pos="4513"/>
        <w:tab w:val="right" w:pos="9026"/>
      </w:tabs>
    </w:pPr>
  </w:style>
  <w:style w:type="character" w:customStyle="1" w:styleId="FooterChar">
    <w:name w:val="Footer Char"/>
    <w:basedOn w:val="DefaultParagraphFont"/>
    <w:link w:val="Footer"/>
    <w:uiPriority w:val="99"/>
    <w:rsid w:val="00EB2B8A"/>
  </w:style>
  <w:style w:type="paragraph" w:styleId="ListParagraph">
    <w:name w:val="List Paragraph"/>
    <w:basedOn w:val="Normal"/>
    <w:uiPriority w:val="34"/>
    <w:qFormat/>
    <w:rsid w:val="008912FD"/>
    <w:pPr>
      <w:ind w:left="720"/>
      <w:contextualSpacing/>
    </w:pPr>
  </w:style>
  <w:style w:type="character" w:customStyle="1" w:styleId="apple-converted-space">
    <w:name w:val="apple-converted-space"/>
    <w:basedOn w:val="DefaultParagraphFont"/>
    <w:rsid w:val="00CC4D4D"/>
  </w:style>
  <w:style w:type="character" w:customStyle="1" w:styleId="citationsource-book">
    <w:name w:val="citation_source-book"/>
    <w:basedOn w:val="DefaultParagraphFont"/>
    <w:rsid w:val="0065675B"/>
  </w:style>
  <w:style w:type="character" w:styleId="Emphasis">
    <w:name w:val="Emphasis"/>
    <w:basedOn w:val="DefaultParagraphFont"/>
    <w:uiPriority w:val="20"/>
    <w:qFormat/>
    <w:rsid w:val="00BC4B13"/>
    <w:rPr>
      <w:i/>
      <w:iCs/>
    </w:rPr>
  </w:style>
  <w:style w:type="character" w:styleId="Hyperlink">
    <w:name w:val="Hyperlink"/>
    <w:basedOn w:val="DefaultParagraphFont"/>
    <w:uiPriority w:val="99"/>
    <w:unhideWhenUsed/>
    <w:rsid w:val="00B948F9"/>
    <w:rPr>
      <w:color w:val="0000FF"/>
      <w:u w:val="single"/>
    </w:rPr>
  </w:style>
  <w:style w:type="character" w:styleId="UnresolvedMention">
    <w:name w:val="Unresolved Mention"/>
    <w:basedOn w:val="DefaultParagraphFont"/>
    <w:uiPriority w:val="99"/>
    <w:semiHidden/>
    <w:unhideWhenUsed/>
    <w:rsid w:val="000D2608"/>
    <w:rPr>
      <w:color w:val="605E5C"/>
      <w:shd w:val="clear" w:color="auto" w:fill="E1DFDD"/>
    </w:rPr>
  </w:style>
  <w:style w:type="character" w:styleId="FollowedHyperlink">
    <w:name w:val="FollowedHyperlink"/>
    <w:basedOn w:val="DefaultParagraphFont"/>
    <w:uiPriority w:val="99"/>
    <w:semiHidden/>
    <w:unhideWhenUsed/>
    <w:rsid w:val="006D26C7"/>
    <w:rPr>
      <w:color w:val="954F72" w:themeColor="followedHyperlink"/>
      <w:u w:val="single"/>
    </w:rPr>
  </w:style>
  <w:style w:type="character" w:styleId="PageNumber">
    <w:name w:val="page number"/>
    <w:basedOn w:val="DefaultParagraphFont"/>
    <w:uiPriority w:val="99"/>
    <w:semiHidden/>
    <w:unhideWhenUsed/>
    <w:rsid w:val="00E608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62694">
      <w:bodyDiv w:val="1"/>
      <w:marLeft w:val="0"/>
      <w:marRight w:val="0"/>
      <w:marTop w:val="0"/>
      <w:marBottom w:val="0"/>
      <w:divBdr>
        <w:top w:val="none" w:sz="0" w:space="0" w:color="auto"/>
        <w:left w:val="none" w:sz="0" w:space="0" w:color="auto"/>
        <w:bottom w:val="none" w:sz="0" w:space="0" w:color="auto"/>
        <w:right w:val="none" w:sz="0" w:space="0" w:color="auto"/>
      </w:divBdr>
      <w:divsChild>
        <w:div w:id="882254590">
          <w:marLeft w:val="0"/>
          <w:marRight w:val="0"/>
          <w:marTop w:val="0"/>
          <w:marBottom w:val="0"/>
          <w:divBdr>
            <w:top w:val="none" w:sz="0" w:space="0" w:color="auto"/>
            <w:left w:val="none" w:sz="0" w:space="0" w:color="auto"/>
            <w:bottom w:val="none" w:sz="0" w:space="0" w:color="auto"/>
            <w:right w:val="none" w:sz="0" w:space="0" w:color="auto"/>
          </w:divBdr>
        </w:div>
      </w:divsChild>
    </w:div>
    <w:div w:id="80413949">
      <w:bodyDiv w:val="1"/>
      <w:marLeft w:val="0"/>
      <w:marRight w:val="0"/>
      <w:marTop w:val="0"/>
      <w:marBottom w:val="0"/>
      <w:divBdr>
        <w:top w:val="none" w:sz="0" w:space="0" w:color="auto"/>
        <w:left w:val="none" w:sz="0" w:space="0" w:color="auto"/>
        <w:bottom w:val="none" w:sz="0" w:space="0" w:color="auto"/>
        <w:right w:val="none" w:sz="0" w:space="0" w:color="auto"/>
      </w:divBdr>
      <w:divsChild>
        <w:div w:id="1030841544">
          <w:marLeft w:val="0"/>
          <w:marRight w:val="0"/>
          <w:marTop w:val="0"/>
          <w:marBottom w:val="0"/>
          <w:divBdr>
            <w:top w:val="none" w:sz="0" w:space="0" w:color="auto"/>
            <w:left w:val="none" w:sz="0" w:space="0" w:color="auto"/>
            <w:bottom w:val="none" w:sz="0" w:space="0" w:color="auto"/>
            <w:right w:val="none" w:sz="0" w:space="0" w:color="auto"/>
          </w:divBdr>
        </w:div>
      </w:divsChild>
    </w:div>
    <w:div w:id="94793848">
      <w:bodyDiv w:val="1"/>
      <w:marLeft w:val="0"/>
      <w:marRight w:val="0"/>
      <w:marTop w:val="0"/>
      <w:marBottom w:val="0"/>
      <w:divBdr>
        <w:top w:val="none" w:sz="0" w:space="0" w:color="auto"/>
        <w:left w:val="none" w:sz="0" w:space="0" w:color="auto"/>
        <w:bottom w:val="none" w:sz="0" w:space="0" w:color="auto"/>
        <w:right w:val="none" w:sz="0" w:space="0" w:color="auto"/>
      </w:divBdr>
      <w:divsChild>
        <w:div w:id="909466434">
          <w:marLeft w:val="0"/>
          <w:marRight w:val="0"/>
          <w:marTop w:val="0"/>
          <w:marBottom w:val="0"/>
          <w:divBdr>
            <w:top w:val="none" w:sz="0" w:space="0" w:color="auto"/>
            <w:left w:val="none" w:sz="0" w:space="0" w:color="auto"/>
            <w:bottom w:val="none" w:sz="0" w:space="0" w:color="auto"/>
            <w:right w:val="none" w:sz="0" w:space="0" w:color="auto"/>
          </w:divBdr>
        </w:div>
      </w:divsChild>
    </w:div>
    <w:div w:id="122433395">
      <w:bodyDiv w:val="1"/>
      <w:marLeft w:val="0"/>
      <w:marRight w:val="0"/>
      <w:marTop w:val="0"/>
      <w:marBottom w:val="0"/>
      <w:divBdr>
        <w:top w:val="none" w:sz="0" w:space="0" w:color="auto"/>
        <w:left w:val="none" w:sz="0" w:space="0" w:color="auto"/>
        <w:bottom w:val="none" w:sz="0" w:space="0" w:color="auto"/>
        <w:right w:val="none" w:sz="0" w:space="0" w:color="auto"/>
      </w:divBdr>
      <w:divsChild>
        <w:div w:id="868836092">
          <w:marLeft w:val="0"/>
          <w:marRight w:val="0"/>
          <w:marTop w:val="0"/>
          <w:marBottom w:val="0"/>
          <w:divBdr>
            <w:top w:val="none" w:sz="0" w:space="0" w:color="auto"/>
            <w:left w:val="none" w:sz="0" w:space="0" w:color="auto"/>
            <w:bottom w:val="none" w:sz="0" w:space="0" w:color="auto"/>
            <w:right w:val="none" w:sz="0" w:space="0" w:color="auto"/>
          </w:divBdr>
        </w:div>
      </w:divsChild>
    </w:div>
    <w:div w:id="253055995">
      <w:bodyDiv w:val="1"/>
      <w:marLeft w:val="0"/>
      <w:marRight w:val="0"/>
      <w:marTop w:val="0"/>
      <w:marBottom w:val="0"/>
      <w:divBdr>
        <w:top w:val="none" w:sz="0" w:space="0" w:color="auto"/>
        <w:left w:val="none" w:sz="0" w:space="0" w:color="auto"/>
        <w:bottom w:val="none" w:sz="0" w:space="0" w:color="auto"/>
        <w:right w:val="none" w:sz="0" w:space="0" w:color="auto"/>
      </w:divBdr>
      <w:divsChild>
        <w:div w:id="788015884">
          <w:marLeft w:val="0"/>
          <w:marRight w:val="0"/>
          <w:marTop w:val="0"/>
          <w:marBottom w:val="0"/>
          <w:divBdr>
            <w:top w:val="none" w:sz="0" w:space="0" w:color="auto"/>
            <w:left w:val="none" w:sz="0" w:space="0" w:color="auto"/>
            <w:bottom w:val="none" w:sz="0" w:space="0" w:color="auto"/>
            <w:right w:val="none" w:sz="0" w:space="0" w:color="auto"/>
          </w:divBdr>
        </w:div>
      </w:divsChild>
    </w:div>
    <w:div w:id="311638194">
      <w:bodyDiv w:val="1"/>
      <w:marLeft w:val="0"/>
      <w:marRight w:val="0"/>
      <w:marTop w:val="0"/>
      <w:marBottom w:val="0"/>
      <w:divBdr>
        <w:top w:val="none" w:sz="0" w:space="0" w:color="auto"/>
        <w:left w:val="none" w:sz="0" w:space="0" w:color="auto"/>
        <w:bottom w:val="none" w:sz="0" w:space="0" w:color="auto"/>
        <w:right w:val="none" w:sz="0" w:space="0" w:color="auto"/>
      </w:divBdr>
      <w:divsChild>
        <w:div w:id="1347750900">
          <w:marLeft w:val="0"/>
          <w:marRight w:val="0"/>
          <w:marTop w:val="0"/>
          <w:marBottom w:val="0"/>
          <w:divBdr>
            <w:top w:val="none" w:sz="0" w:space="0" w:color="auto"/>
            <w:left w:val="none" w:sz="0" w:space="0" w:color="auto"/>
            <w:bottom w:val="none" w:sz="0" w:space="0" w:color="auto"/>
            <w:right w:val="none" w:sz="0" w:space="0" w:color="auto"/>
          </w:divBdr>
        </w:div>
      </w:divsChild>
    </w:div>
    <w:div w:id="399601209">
      <w:bodyDiv w:val="1"/>
      <w:marLeft w:val="0"/>
      <w:marRight w:val="0"/>
      <w:marTop w:val="0"/>
      <w:marBottom w:val="0"/>
      <w:divBdr>
        <w:top w:val="none" w:sz="0" w:space="0" w:color="auto"/>
        <w:left w:val="none" w:sz="0" w:space="0" w:color="auto"/>
        <w:bottom w:val="none" w:sz="0" w:space="0" w:color="auto"/>
        <w:right w:val="none" w:sz="0" w:space="0" w:color="auto"/>
      </w:divBdr>
      <w:divsChild>
        <w:div w:id="1506245531">
          <w:marLeft w:val="0"/>
          <w:marRight w:val="0"/>
          <w:marTop w:val="0"/>
          <w:marBottom w:val="0"/>
          <w:divBdr>
            <w:top w:val="none" w:sz="0" w:space="0" w:color="auto"/>
            <w:left w:val="none" w:sz="0" w:space="0" w:color="auto"/>
            <w:bottom w:val="none" w:sz="0" w:space="0" w:color="auto"/>
            <w:right w:val="none" w:sz="0" w:space="0" w:color="auto"/>
          </w:divBdr>
        </w:div>
      </w:divsChild>
    </w:div>
    <w:div w:id="471799333">
      <w:bodyDiv w:val="1"/>
      <w:marLeft w:val="0"/>
      <w:marRight w:val="0"/>
      <w:marTop w:val="0"/>
      <w:marBottom w:val="0"/>
      <w:divBdr>
        <w:top w:val="none" w:sz="0" w:space="0" w:color="auto"/>
        <w:left w:val="none" w:sz="0" w:space="0" w:color="auto"/>
        <w:bottom w:val="none" w:sz="0" w:space="0" w:color="auto"/>
        <w:right w:val="none" w:sz="0" w:space="0" w:color="auto"/>
      </w:divBdr>
      <w:divsChild>
        <w:div w:id="1788574739">
          <w:marLeft w:val="0"/>
          <w:marRight w:val="0"/>
          <w:marTop w:val="0"/>
          <w:marBottom w:val="0"/>
          <w:divBdr>
            <w:top w:val="none" w:sz="0" w:space="0" w:color="auto"/>
            <w:left w:val="none" w:sz="0" w:space="0" w:color="auto"/>
            <w:bottom w:val="none" w:sz="0" w:space="0" w:color="auto"/>
            <w:right w:val="none" w:sz="0" w:space="0" w:color="auto"/>
          </w:divBdr>
          <w:divsChild>
            <w:div w:id="643241117">
              <w:marLeft w:val="0"/>
              <w:marRight w:val="0"/>
              <w:marTop w:val="0"/>
              <w:marBottom w:val="0"/>
              <w:divBdr>
                <w:top w:val="none" w:sz="0" w:space="0" w:color="auto"/>
                <w:left w:val="none" w:sz="0" w:space="0" w:color="auto"/>
                <w:bottom w:val="none" w:sz="0" w:space="0" w:color="auto"/>
                <w:right w:val="none" w:sz="0" w:space="0" w:color="auto"/>
              </w:divBdr>
              <w:divsChild>
                <w:div w:id="747310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681778">
      <w:bodyDiv w:val="1"/>
      <w:marLeft w:val="0"/>
      <w:marRight w:val="0"/>
      <w:marTop w:val="0"/>
      <w:marBottom w:val="0"/>
      <w:divBdr>
        <w:top w:val="none" w:sz="0" w:space="0" w:color="auto"/>
        <w:left w:val="none" w:sz="0" w:space="0" w:color="auto"/>
        <w:bottom w:val="none" w:sz="0" w:space="0" w:color="auto"/>
        <w:right w:val="none" w:sz="0" w:space="0" w:color="auto"/>
      </w:divBdr>
      <w:divsChild>
        <w:div w:id="1635915151">
          <w:marLeft w:val="0"/>
          <w:marRight w:val="0"/>
          <w:marTop w:val="0"/>
          <w:marBottom w:val="0"/>
          <w:divBdr>
            <w:top w:val="none" w:sz="0" w:space="0" w:color="auto"/>
            <w:left w:val="none" w:sz="0" w:space="0" w:color="auto"/>
            <w:bottom w:val="none" w:sz="0" w:space="0" w:color="auto"/>
            <w:right w:val="none" w:sz="0" w:space="0" w:color="auto"/>
          </w:divBdr>
          <w:divsChild>
            <w:div w:id="72171043">
              <w:marLeft w:val="0"/>
              <w:marRight w:val="0"/>
              <w:marTop w:val="0"/>
              <w:marBottom w:val="0"/>
              <w:divBdr>
                <w:top w:val="none" w:sz="0" w:space="0" w:color="auto"/>
                <w:left w:val="none" w:sz="0" w:space="0" w:color="auto"/>
                <w:bottom w:val="none" w:sz="0" w:space="0" w:color="auto"/>
                <w:right w:val="none" w:sz="0" w:space="0" w:color="auto"/>
              </w:divBdr>
              <w:divsChild>
                <w:div w:id="1366634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739397">
      <w:bodyDiv w:val="1"/>
      <w:marLeft w:val="0"/>
      <w:marRight w:val="0"/>
      <w:marTop w:val="0"/>
      <w:marBottom w:val="0"/>
      <w:divBdr>
        <w:top w:val="none" w:sz="0" w:space="0" w:color="auto"/>
        <w:left w:val="none" w:sz="0" w:space="0" w:color="auto"/>
        <w:bottom w:val="none" w:sz="0" w:space="0" w:color="auto"/>
        <w:right w:val="none" w:sz="0" w:space="0" w:color="auto"/>
      </w:divBdr>
      <w:divsChild>
        <w:div w:id="135609619">
          <w:marLeft w:val="0"/>
          <w:marRight w:val="0"/>
          <w:marTop w:val="0"/>
          <w:marBottom w:val="0"/>
          <w:divBdr>
            <w:top w:val="none" w:sz="0" w:space="0" w:color="auto"/>
            <w:left w:val="none" w:sz="0" w:space="0" w:color="auto"/>
            <w:bottom w:val="none" w:sz="0" w:space="0" w:color="auto"/>
            <w:right w:val="none" w:sz="0" w:space="0" w:color="auto"/>
          </w:divBdr>
        </w:div>
      </w:divsChild>
    </w:div>
    <w:div w:id="889806550">
      <w:bodyDiv w:val="1"/>
      <w:marLeft w:val="0"/>
      <w:marRight w:val="0"/>
      <w:marTop w:val="0"/>
      <w:marBottom w:val="0"/>
      <w:divBdr>
        <w:top w:val="none" w:sz="0" w:space="0" w:color="auto"/>
        <w:left w:val="none" w:sz="0" w:space="0" w:color="auto"/>
        <w:bottom w:val="none" w:sz="0" w:space="0" w:color="auto"/>
        <w:right w:val="none" w:sz="0" w:space="0" w:color="auto"/>
      </w:divBdr>
      <w:divsChild>
        <w:div w:id="42606312">
          <w:marLeft w:val="0"/>
          <w:marRight w:val="0"/>
          <w:marTop w:val="0"/>
          <w:marBottom w:val="0"/>
          <w:divBdr>
            <w:top w:val="none" w:sz="0" w:space="0" w:color="auto"/>
            <w:left w:val="none" w:sz="0" w:space="0" w:color="auto"/>
            <w:bottom w:val="none" w:sz="0" w:space="0" w:color="auto"/>
            <w:right w:val="none" w:sz="0" w:space="0" w:color="auto"/>
          </w:divBdr>
        </w:div>
      </w:divsChild>
    </w:div>
    <w:div w:id="903299592">
      <w:bodyDiv w:val="1"/>
      <w:marLeft w:val="0"/>
      <w:marRight w:val="0"/>
      <w:marTop w:val="0"/>
      <w:marBottom w:val="0"/>
      <w:divBdr>
        <w:top w:val="none" w:sz="0" w:space="0" w:color="auto"/>
        <w:left w:val="none" w:sz="0" w:space="0" w:color="auto"/>
        <w:bottom w:val="none" w:sz="0" w:space="0" w:color="auto"/>
        <w:right w:val="none" w:sz="0" w:space="0" w:color="auto"/>
      </w:divBdr>
      <w:divsChild>
        <w:div w:id="1165974139">
          <w:marLeft w:val="0"/>
          <w:marRight w:val="0"/>
          <w:marTop w:val="0"/>
          <w:marBottom w:val="0"/>
          <w:divBdr>
            <w:top w:val="none" w:sz="0" w:space="0" w:color="auto"/>
            <w:left w:val="none" w:sz="0" w:space="0" w:color="auto"/>
            <w:bottom w:val="none" w:sz="0" w:space="0" w:color="auto"/>
            <w:right w:val="none" w:sz="0" w:space="0" w:color="auto"/>
          </w:divBdr>
        </w:div>
      </w:divsChild>
    </w:div>
    <w:div w:id="1064371504">
      <w:bodyDiv w:val="1"/>
      <w:marLeft w:val="0"/>
      <w:marRight w:val="0"/>
      <w:marTop w:val="0"/>
      <w:marBottom w:val="0"/>
      <w:divBdr>
        <w:top w:val="none" w:sz="0" w:space="0" w:color="auto"/>
        <w:left w:val="none" w:sz="0" w:space="0" w:color="auto"/>
        <w:bottom w:val="none" w:sz="0" w:space="0" w:color="auto"/>
        <w:right w:val="none" w:sz="0" w:space="0" w:color="auto"/>
      </w:divBdr>
      <w:divsChild>
        <w:div w:id="184944789">
          <w:marLeft w:val="0"/>
          <w:marRight w:val="0"/>
          <w:marTop w:val="0"/>
          <w:marBottom w:val="0"/>
          <w:divBdr>
            <w:top w:val="none" w:sz="0" w:space="0" w:color="auto"/>
            <w:left w:val="none" w:sz="0" w:space="0" w:color="auto"/>
            <w:bottom w:val="none" w:sz="0" w:space="0" w:color="auto"/>
            <w:right w:val="none" w:sz="0" w:space="0" w:color="auto"/>
          </w:divBdr>
        </w:div>
      </w:divsChild>
    </w:div>
    <w:div w:id="1163355547">
      <w:bodyDiv w:val="1"/>
      <w:marLeft w:val="0"/>
      <w:marRight w:val="0"/>
      <w:marTop w:val="0"/>
      <w:marBottom w:val="0"/>
      <w:divBdr>
        <w:top w:val="none" w:sz="0" w:space="0" w:color="auto"/>
        <w:left w:val="none" w:sz="0" w:space="0" w:color="auto"/>
        <w:bottom w:val="none" w:sz="0" w:space="0" w:color="auto"/>
        <w:right w:val="none" w:sz="0" w:space="0" w:color="auto"/>
      </w:divBdr>
      <w:divsChild>
        <w:div w:id="720248506">
          <w:marLeft w:val="0"/>
          <w:marRight w:val="0"/>
          <w:marTop w:val="0"/>
          <w:marBottom w:val="0"/>
          <w:divBdr>
            <w:top w:val="none" w:sz="0" w:space="0" w:color="auto"/>
            <w:left w:val="none" w:sz="0" w:space="0" w:color="auto"/>
            <w:bottom w:val="none" w:sz="0" w:space="0" w:color="auto"/>
            <w:right w:val="none" w:sz="0" w:space="0" w:color="auto"/>
          </w:divBdr>
          <w:divsChild>
            <w:div w:id="1251044057">
              <w:marLeft w:val="0"/>
              <w:marRight w:val="0"/>
              <w:marTop w:val="0"/>
              <w:marBottom w:val="0"/>
              <w:divBdr>
                <w:top w:val="none" w:sz="0" w:space="0" w:color="auto"/>
                <w:left w:val="none" w:sz="0" w:space="0" w:color="auto"/>
                <w:bottom w:val="none" w:sz="0" w:space="0" w:color="auto"/>
                <w:right w:val="none" w:sz="0" w:space="0" w:color="auto"/>
              </w:divBdr>
              <w:divsChild>
                <w:div w:id="1296447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703309">
      <w:bodyDiv w:val="1"/>
      <w:marLeft w:val="0"/>
      <w:marRight w:val="0"/>
      <w:marTop w:val="0"/>
      <w:marBottom w:val="0"/>
      <w:divBdr>
        <w:top w:val="none" w:sz="0" w:space="0" w:color="auto"/>
        <w:left w:val="none" w:sz="0" w:space="0" w:color="auto"/>
        <w:bottom w:val="none" w:sz="0" w:space="0" w:color="auto"/>
        <w:right w:val="none" w:sz="0" w:space="0" w:color="auto"/>
      </w:divBdr>
      <w:divsChild>
        <w:div w:id="1815180668">
          <w:marLeft w:val="0"/>
          <w:marRight w:val="0"/>
          <w:marTop w:val="0"/>
          <w:marBottom w:val="0"/>
          <w:divBdr>
            <w:top w:val="none" w:sz="0" w:space="0" w:color="auto"/>
            <w:left w:val="none" w:sz="0" w:space="0" w:color="auto"/>
            <w:bottom w:val="none" w:sz="0" w:space="0" w:color="auto"/>
            <w:right w:val="none" w:sz="0" w:space="0" w:color="auto"/>
          </w:divBdr>
          <w:divsChild>
            <w:div w:id="371808352">
              <w:marLeft w:val="0"/>
              <w:marRight w:val="0"/>
              <w:marTop w:val="0"/>
              <w:marBottom w:val="0"/>
              <w:divBdr>
                <w:top w:val="none" w:sz="0" w:space="0" w:color="auto"/>
                <w:left w:val="none" w:sz="0" w:space="0" w:color="auto"/>
                <w:bottom w:val="none" w:sz="0" w:space="0" w:color="auto"/>
                <w:right w:val="none" w:sz="0" w:space="0" w:color="auto"/>
              </w:divBdr>
              <w:divsChild>
                <w:div w:id="166620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833404">
      <w:bodyDiv w:val="1"/>
      <w:marLeft w:val="0"/>
      <w:marRight w:val="0"/>
      <w:marTop w:val="0"/>
      <w:marBottom w:val="0"/>
      <w:divBdr>
        <w:top w:val="none" w:sz="0" w:space="0" w:color="auto"/>
        <w:left w:val="none" w:sz="0" w:space="0" w:color="auto"/>
        <w:bottom w:val="none" w:sz="0" w:space="0" w:color="auto"/>
        <w:right w:val="none" w:sz="0" w:space="0" w:color="auto"/>
      </w:divBdr>
      <w:divsChild>
        <w:div w:id="1349719981">
          <w:marLeft w:val="0"/>
          <w:marRight w:val="0"/>
          <w:marTop w:val="0"/>
          <w:marBottom w:val="0"/>
          <w:divBdr>
            <w:top w:val="none" w:sz="0" w:space="0" w:color="auto"/>
            <w:left w:val="none" w:sz="0" w:space="0" w:color="auto"/>
            <w:bottom w:val="none" w:sz="0" w:space="0" w:color="auto"/>
            <w:right w:val="none" w:sz="0" w:space="0" w:color="auto"/>
          </w:divBdr>
          <w:divsChild>
            <w:div w:id="664209070">
              <w:marLeft w:val="0"/>
              <w:marRight w:val="0"/>
              <w:marTop w:val="0"/>
              <w:marBottom w:val="0"/>
              <w:divBdr>
                <w:top w:val="none" w:sz="0" w:space="0" w:color="auto"/>
                <w:left w:val="none" w:sz="0" w:space="0" w:color="auto"/>
                <w:bottom w:val="none" w:sz="0" w:space="0" w:color="auto"/>
                <w:right w:val="none" w:sz="0" w:space="0" w:color="auto"/>
              </w:divBdr>
              <w:divsChild>
                <w:div w:id="1231690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4930625">
      <w:bodyDiv w:val="1"/>
      <w:marLeft w:val="0"/>
      <w:marRight w:val="0"/>
      <w:marTop w:val="0"/>
      <w:marBottom w:val="0"/>
      <w:divBdr>
        <w:top w:val="none" w:sz="0" w:space="0" w:color="auto"/>
        <w:left w:val="none" w:sz="0" w:space="0" w:color="auto"/>
        <w:bottom w:val="none" w:sz="0" w:space="0" w:color="auto"/>
        <w:right w:val="none" w:sz="0" w:space="0" w:color="auto"/>
      </w:divBdr>
    </w:div>
    <w:div w:id="1702242526">
      <w:bodyDiv w:val="1"/>
      <w:marLeft w:val="0"/>
      <w:marRight w:val="0"/>
      <w:marTop w:val="0"/>
      <w:marBottom w:val="0"/>
      <w:divBdr>
        <w:top w:val="none" w:sz="0" w:space="0" w:color="auto"/>
        <w:left w:val="none" w:sz="0" w:space="0" w:color="auto"/>
        <w:bottom w:val="none" w:sz="0" w:space="0" w:color="auto"/>
        <w:right w:val="none" w:sz="0" w:space="0" w:color="auto"/>
      </w:divBdr>
      <w:divsChild>
        <w:div w:id="118846498">
          <w:marLeft w:val="0"/>
          <w:marRight w:val="0"/>
          <w:marTop w:val="0"/>
          <w:marBottom w:val="0"/>
          <w:divBdr>
            <w:top w:val="none" w:sz="0" w:space="0" w:color="auto"/>
            <w:left w:val="none" w:sz="0" w:space="0" w:color="auto"/>
            <w:bottom w:val="none" w:sz="0" w:space="0" w:color="auto"/>
            <w:right w:val="none" w:sz="0" w:space="0" w:color="auto"/>
          </w:divBdr>
          <w:divsChild>
            <w:div w:id="1311835333">
              <w:marLeft w:val="0"/>
              <w:marRight w:val="0"/>
              <w:marTop w:val="0"/>
              <w:marBottom w:val="0"/>
              <w:divBdr>
                <w:top w:val="none" w:sz="0" w:space="0" w:color="auto"/>
                <w:left w:val="none" w:sz="0" w:space="0" w:color="auto"/>
                <w:bottom w:val="none" w:sz="0" w:space="0" w:color="auto"/>
                <w:right w:val="none" w:sz="0" w:space="0" w:color="auto"/>
              </w:divBdr>
              <w:divsChild>
                <w:div w:id="1610046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180778">
      <w:bodyDiv w:val="1"/>
      <w:marLeft w:val="0"/>
      <w:marRight w:val="0"/>
      <w:marTop w:val="0"/>
      <w:marBottom w:val="0"/>
      <w:divBdr>
        <w:top w:val="none" w:sz="0" w:space="0" w:color="auto"/>
        <w:left w:val="none" w:sz="0" w:space="0" w:color="auto"/>
        <w:bottom w:val="none" w:sz="0" w:space="0" w:color="auto"/>
        <w:right w:val="none" w:sz="0" w:space="0" w:color="auto"/>
      </w:divBdr>
      <w:divsChild>
        <w:div w:id="2041465217">
          <w:marLeft w:val="0"/>
          <w:marRight w:val="0"/>
          <w:marTop w:val="0"/>
          <w:marBottom w:val="0"/>
          <w:divBdr>
            <w:top w:val="none" w:sz="0" w:space="0" w:color="auto"/>
            <w:left w:val="none" w:sz="0" w:space="0" w:color="auto"/>
            <w:bottom w:val="none" w:sz="0" w:space="0" w:color="auto"/>
            <w:right w:val="none" w:sz="0" w:space="0" w:color="auto"/>
          </w:divBdr>
        </w:div>
      </w:divsChild>
    </w:div>
    <w:div w:id="1785226296">
      <w:bodyDiv w:val="1"/>
      <w:marLeft w:val="0"/>
      <w:marRight w:val="0"/>
      <w:marTop w:val="0"/>
      <w:marBottom w:val="0"/>
      <w:divBdr>
        <w:top w:val="none" w:sz="0" w:space="0" w:color="auto"/>
        <w:left w:val="none" w:sz="0" w:space="0" w:color="auto"/>
        <w:bottom w:val="none" w:sz="0" w:space="0" w:color="auto"/>
        <w:right w:val="none" w:sz="0" w:space="0" w:color="auto"/>
      </w:divBdr>
      <w:divsChild>
        <w:div w:id="1752963667">
          <w:marLeft w:val="0"/>
          <w:marRight w:val="0"/>
          <w:marTop w:val="0"/>
          <w:marBottom w:val="0"/>
          <w:divBdr>
            <w:top w:val="none" w:sz="0" w:space="0" w:color="auto"/>
            <w:left w:val="none" w:sz="0" w:space="0" w:color="auto"/>
            <w:bottom w:val="none" w:sz="0" w:space="0" w:color="auto"/>
            <w:right w:val="none" w:sz="0" w:space="0" w:color="auto"/>
          </w:divBdr>
        </w:div>
      </w:divsChild>
    </w:div>
    <w:div w:id="1791510862">
      <w:bodyDiv w:val="1"/>
      <w:marLeft w:val="0"/>
      <w:marRight w:val="0"/>
      <w:marTop w:val="0"/>
      <w:marBottom w:val="0"/>
      <w:divBdr>
        <w:top w:val="none" w:sz="0" w:space="0" w:color="auto"/>
        <w:left w:val="none" w:sz="0" w:space="0" w:color="auto"/>
        <w:bottom w:val="none" w:sz="0" w:space="0" w:color="auto"/>
        <w:right w:val="none" w:sz="0" w:space="0" w:color="auto"/>
      </w:divBdr>
      <w:divsChild>
        <w:div w:id="699938546">
          <w:marLeft w:val="0"/>
          <w:marRight w:val="0"/>
          <w:marTop w:val="0"/>
          <w:marBottom w:val="0"/>
          <w:divBdr>
            <w:top w:val="none" w:sz="0" w:space="0" w:color="auto"/>
            <w:left w:val="none" w:sz="0" w:space="0" w:color="auto"/>
            <w:bottom w:val="none" w:sz="0" w:space="0" w:color="auto"/>
            <w:right w:val="none" w:sz="0" w:space="0" w:color="auto"/>
          </w:divBdr>
        </w:div>
      </w:divsChild>
    </w:div>
    <w:div w:id="1819304004">
      <w:bodyDiv w:val="1"/>
      <w:marLeft w:val="0"/>
      <w:marRight w:val="0"/>
      <w:marTop w:val="0"/>
      <w:marBottom w:val="0"/>
      <w:divBdr>
        <w:top w:val="none" w:sz="0" w:space="0" w:color="auto"/>
        <w:left w:val="none" w:sz="0" w:space="0" w:color="auto"/>
        <w:bottom w:val="none" w:sz="0" w:space="0" w:color="auto"/>
        <w:right w:val="none" w:sz="0" w:space="0" w:color="auto"/>
      </w:divBdr>
      <w:divsChild>
        <w:div w:id="1896353302">
          <w:marLeft w:val="0"/>
          <w:marRight w:val="0"/>
          <w:marTop w:val="0"/>
          <w:marBottom w:val="0"/>
          <w:divBdr>
            <w:top w:val="none" w:sz="0" w:space="0" w:color="auto"/>
            <w:left w:val="none" w:sz="0" w:space="0" w:color="auto"/>
            <w:bottom w:val="none" w:sz="0" w:space="0" w:color="auto"/>
            <w:right w:val="none" w:sz="0" w:space="0" w:color="auto"/>
          </w:divBdr>
          <w:divsChild>
            <w:div w:id="277223972">
              <w:marLeft w:val="0"/>
              <w:marRight w:val="0"/>
              <w:marTop w:val="0"/>
              <w:marBottom w:val="0"/>
              <w:divBdr>
                <w:top w:val="none" w:sz="0" w:space="0" w:color="auto"/>
                <w:left w:val="none" w:sz="0" w:space="0" w:color="auto"/>
                <w:bottom w:val="none" w:sz="0" w:space="0" w:color="auto"/>
                <w:right w:val="none" w:sz="0" w:space="0" w:color="auto"/>
              </w:divBdr>
              <w:divsChild>
                <w:div w:id="1025522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701842">
      <w:bodyDiv w:val="1"/>
      <w:marLeft w:val="0"/>
      <w:marRight w:val="0"/>
      <w:marTop w:val="0"/>
      <w:marBottom w:val="0"/>
      <w:divBdr>
        <w:top w:val="none" w:sz="0" w:space="0" w:color="auto"/>
        <w:left w:val="none" w:sz="0" w:space="0" w:color="auto"/>
        <w:bottom w:val="none" w:sz="0" w:space="0" w:color="auto"/>
        <w:right w:val="none" w:sz="0" w:space="0" w:color="auto"/>
      </w:divBdr>
      <w:divsChild>
        <w:div w:id="874346881">
          <w:marLeft w:val="0"/>
          <w:marRight w:val="0"/>
          <w:marTop w:val="0"/>
          <w:marBottom w:val="0"/>
          <w:divBdr>
            <w:top w:val="none" w:sz="0" w:space="0" w:color="auto"/>
            <w:left w:val="none" w:sz="0" w:space="0" w:color="auto"/>
            <w:bottom w:val="none" w:sz="0" w:space="0" w:color="auto"/>
            <w:right w:val="none" w:sz="0" w:space="0" w:color="auto"/>
          </w:divBdr>
        </w:div>
      </w:divsChild>
    </w:div>
    <w:div w:id="1852136751">
      <w:bodyDiv w:val="1"/>
      <w:marLeft w:val="0"/>
      <w:marRight w:val="0"/>
      <w:marTop w:val="0"/>
      <w:marBottom w:val="0"/>
      <w:divBdr>
        <w:top w:val="none" w:sz="0" w:space="0" w:color="auto"/>
        <w:left w:val="none" w:sz="0" w:space="0" w:color="auto"/>
        <w:bottom w:val="none" w:sz="0" w:space="0" w:color="auto"/>
        <w:right w:val="none" w:sz="0" w:space="0" w:color="auto"/>
      </w:divBdr>
      <w:divsChild>
        <w:div w:id="2061785217">
          <w:marLeft w:val="0"/>
          <w:marRight w:val="0"/>
          <w:marTop w:val="0"/>
          <w:marBottom w:val="0"/>
          <w:divBdr>
            <w:top w:val="none" w:sz="0" w:space="0" w:color="auto"/>
            <w:left w:val="none" w:sz="0" w:space="0" w:color="auto"/>
            <w:bottom w:val="none" w:sz="0" w:space="0" w:color="auto"/>
            <w:right w:val="none" w:sz="0" w:space="0" w:color="auto"/>
          </w:divBdr>
          <w:divsChild>
            <w:div w:id="103962260">
              <w:marLeft w:val="0"/>
              <w:marRight w:val="0"/>
              <w:marTop w:val="0"/>
              <w:marBottom w:val="0"/>
              <w:divBdr>
                <w:top w:val="none" w:sz="0" w:space="0" w:color="auto"/>
                <w:left w:val="none" w:sz="0" w:space="0" w:color="auto"/>
                <w:bottom w:val="none" w:sz="0" w:space="0" w:color="auto"/>
                <w:right w:val="none" w:sz="0" w:space="0" w:color="auto"/>
              </w:divBdr>
              <w:divsChild>
                <w:div w:id="39304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9076611">
      <w:bodyDiv w:val="1"/>
      <w:marLeft w:val="0"/>
      <w:marRight w:val="0"/>
      <w:marTop w:val="0"/>
      <w:marBottom w:val="0"/>
      <w:divBdr>
        <w:top w:val="none" w:sz="0" w:space="0" w:color="auto"/>
        <w:left w:val="none" w:sz="0" w:space="0" w:color="auto"/>
        <w:bottom w:val="none" w:sz="0" w:space="0" w:color="auto"/>
        <w:right w:val="none" w:sz="0" w:space="0" w:color="auto"/>
      </w:divBdr>
      <w:divsChild>
        <w:div w:id="1860191890">
          <w:marLeft w:val="0"/>
          <w:marRight w:val="0"/>
          <w:marTop w:val="0"/>
          <w:marBottom w:val="0"/>
          <w:divBdr>
            <w:top w:val="none" w:sz="0" w:space="0" w:color="auto"/>
            <w:left w:val="none" w:sz="0" w:space="0" w:color="auto"/>
            <w:bottom w:val="none" w:sz="0" w:space="0" w:color="auto"/>
            <w:right w:val="none" w:sz="0" w:space="0" w:color="auto"/>
          </w:divBdr>
        </w:div>
      </w:divsChild>
    </w:div>
    <w:div w:id="1875188434">
      <w:bodyDiv w:val="1"/>
      <w:marLeft w:val="0"/>
      <w:marRight w:val="0"/>
      <w:marTop w:val="0"/>
      <w:marBottom w:val="0"/>
      <w:divBdr>
        <w:top w:val="none" w:sz="0" w:space="0" w:color="auto"/>
        <w:left w:val="none" w:sz="0" w:space="0" w:color="auto"/>
        <w:bottom w:val="none" w:sz="0" w:space="0" w:color="auto"/>
        <w:right w:val="none" w:sz="0" w:space="0" w:color="auto"/>
      </w:divBdr>
    </w:div>
    <w:div w:id="1878618262">
      <w:bodyDiv w:val="1"/>
      <w:marLeft w:val="0"/>
      <w:marRight w:val="0"/>
      <w:marTop w:val="0"/>
      <w:marBottom w:val="0"/>
      <w:divBdr>
        <w:top w:val="none" w:sz="0" w:space="0" w:color="auto"/>
        <w:left w:val="none" w:sz="0" w:space="0" w:color="auto"/>
        <w:bottom w:val="none" w:sz="0" w:space="0" w:color="auto"/>
        <w:right w:val="none" w:sz="0" w:space="0" w:color="auto"/>
      </w:divBdr>
      <w:divsChild>
        <w:div w:id="1122117391">
          <w:marLeft w:val="0"/>
          <w:marRight w:val="0"/>
          <w:marTop w:val="0"/>
          <w:marBottom w:val="0"/>
          <w:divBdr>
            <w:top w:val="none" w:sz="0" w:space="0" w:color="auto"/>
            <w:left w:val="none" w:sz="0" w:space="0" w:color="auto"/>
            <w:bottom w:val="none" w:sz="0" w:space="0" w:color="auto"/>
            <w:right w:val="none" w:sz="0" w:space="0" w:color="auto"/>
          </w:divBdr>
        </w:div>
      </w:divsChild>
    </w:div>
    <w:div w:id="2020352932">
      <w:bodyDiv w:val="1"/>
      <w:marLeft w:val="0"/>
      <w:marRight w:val="0"/>
      <w:marTop w:val="0"/>
      <w:marBottom w:val="0"/>
      <w:divBdr>
        <w:top w:val="none" w:sz="0" w:space="0" w:color="auto"/>
        <w:left w:val="none" w:sz="0" w:space="0" w:color="auto"/>
        <w:bottom w:val="none" w:sz="0" w:space="0" w:color="auto"/>
        <w:right w:val="none" w:sz="0" w:space="0" w:color="auto"/>
      </w:divBdr>
      <w:divsChild>
        <w:div w:id="1838300818">
          <w:marLeft w:val="0"/>
          <w:marRight w:val="0"/>
          <w:marTop w:val="0"/>
          <w:marBottom w:val="0"/>
          <w:divBdr>
            <w:top w:val="none" w:sz="0" w:space="0" w:color="auto"/>
            <w:left w:val="none" w:sz="0" w:space="0" w:color="auto"/>
            <w:bottom w:val="none" w:sz="0" w:space="0" w:color="auto"/>
            <w:right w:val="none" w:sz="0" w:space="0" w:color="auto"/>
          </w:divBdr>
          <w:divsChild>
            <w:div w:id="897328800">
              <w:marLeft w:val="0"/>
              <w:marRight w:val="0"/>
              <w:marTop w:val="0"/>
              <w:marBottom w:val="0"/>
              <w:divBdr>
                <w:top w:val="none" w:sz="0" w:space="0" w:color="auto"/>
                <w:left w:val="none" w:sz="0" w:space="0" w:color="auto"/>
                <w:bottom w:val="none" w:sz="0" w:space="0" w:color="auto"/>
                <w:right w:val="none" w:sz="0" w:space="0" w:color="auto"/>
              </w:divBdr>
              <w:divsChild>
                <w:div w:id="574824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727101">
      <w:bodyDiv w:val="1"/>
      <w:marLeft w:val="0"/>
      <w:marRight w:val="0"/>
      <w:marTop w:val="0"/>
      <w:marBottom w:val="0"/>
      <w:divBdr>
        <w:top w:val="none" w:sz="0" w:space="0" w:color="auto"/>
        <w:left w:val="none" w:sz="0" w:space="0" w:color="auto"/>
        <w:bottom w:val="none" w:sz="0" w:space="0" w:color="auto"/>
        <w:right w:val="none" w:sz="0" w:space="0" w:color="auto"/>
      </w:divBdr>
      <w:divsChild>
        <w:div w:id="1899168211">
          <w:marLeft w:val="0"/>
          <w:marRight w:val="0"/>
          <w:marTop w:val="0"/>
          <w:marBottom w:val="0"/>
          <w:divBdr>
            <w:top w:val="none" w:sz="0" w:space="0" w:color="auto"/>
            <w:left w:val="none" w:sz="0" w:space="0" w:color="auto"/>
            <w:bottom w:val="none" w:sz="0" w:space="0" w:color="auto"/>
            <w:right w:val="none" w:sz="0" w:space="0" w:color="auto"/>
          </w:divBdr>
        </w:div>
      </w:divsChild>
    </w:div>
    <w:div w:id="2132091394">
      <w:bodyDiv w:val="1"/>
      <w:marLeft w:val="0"/>
      <w:marRight w:val="0"/>
      <w:marTop w:val="0"/>
      <w:marBottom w:val="0"/>
      <w:divBdr>
        <w:top w:val="none" w:sz="0" w:space="0" w:color="auto"/>
        <w:left w:val="none" w:sz="0" w:space="0" w:color="auto"/>
        <w:bottom w:val="none" w:sz="0" w:space="0" w:color="auto"/>
        <w:right w:val="none" w:sz="0" w:space="0" w:color="auto"/>
      </w:divBdr>
      <w:divsChild>
        <w:div w:id="10895007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tate.2017.03.001" TargetMode="External"/><Relationship Id="rId13" Type="http://schemas.openxmlformats.org/officeDocument/2006/relationships/hyperlink" Target="https://edtrust.org/resource/the-importance-of-strong-relationships/" TargetMode="External"/><Relationship Id="rId18" Type="http://schemas.openxmlformats.org/officeDocument/2006/relationships/hyperlink" Target="https://hwb.gov.wales/cwricwlwm-i-gymru/cynllunio-eich-cwricwlwm/datblygu-gweledigaeth-ar-gyfer-cynllunio-cwricwlwm/"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dropoutprevention.org/wp-content/uploads/2015/07/paquetteryanwebquest_20091110.pdf" TargetMode="External"/><Relationship Id="rId7" Type="http://schemas.openxmlformats.org/officeDocument/2006/relationships/endnotes" Target="endnotes.xml"/><Relationship Id="rId12" Type="http://schemas.openxmlformats.org/officeDocument/2006/relationships/hyperlink" Target="https://assets.website-files.com/5ee28729f7b4a5fa99bef2b3/5ee9f507021911ae35ac6c4d_EBE_GTT_EVIDENCE%20REVIEW_DIGITAL.pdf?utm_referrer=https%3A%2F%2Fwww.greatteaching.com%2F" TargetMode="External"/><Relationship Id="rId17" Type="http://schemas.openxmlformats.org/officeDocument/2006/relationships/hyperlink" Target="https://doi.org/10.1163/156916293X00035" TargetMode="External"/><Relationship Id="rId25" Type="http://schemas.openxmlformats.org/officeDocument/2006/relationships/hyperlink" Target="https://www.youtube.com/watch?v=M4DXcp7F7zg" TargetMode="External"/><Relationship Id="rId2" Type="http://schemas.openxmlformats.org/officeDocument/2006/relationships/numbering" Target="numbering.xml"/><Relationship Id="rId16" Type="http://schemas.openxmlformats.org/officeDocument/2006/relationships/hyperlink" Target="https://doi.org/10.1037/a0012758" TargetMode="External"/><Relationship Id="rId20" Type="http://schemas.openxmlformats.org/officeDocument/2006/relationships/hyperlink" Target="https://doi.org/10.13187/ejps.2014.4.174"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bf02734167.pp.279" TargetMode="External"/><Relationship Id="rId24" Type="http://schemas.openxmlformats.org/officeDocument/2006/relationships/hyperlink" Target="https://infed.org/mobi/donald-schon-learning-reflection-change/" TargetMode="External"/><Relationship Id="rId5" Type="http://schemas.openxmlformats.org/officeDocument/2006/relationships/webSettings" Target="webSettings.xml"/><Relationship Id="rId15" Type="http://schemas.openxmlformats.org/officeDocument/2006/relationships/hyperlink" Target="https://www.apa.org/pubs/databases/psycinfo/cit-article.pdf" TargetMode="External"/><Relationship Id="rId23" Type="http://schemas.openxmlformats.org/officeDocument/2006/relationships/hyperlink" Target="https://resources.finalsite.net/images/v1604323724/rcsdms/rsf4hiyocsabokrro0sg/NASP_Using_Praise_and_RewardsSchoolhome.pdf" TargetMode="External"/><Relationship Id="rId28" Type="http://schemas.openxmlformats.org/officeDocument/2006/relationships/fontTable" Target="fontTable.xml"/><Relationship Id="rId10" Type="http://schemas.openxmlformats.org/officeDocument/2006/relationships/hyperlink" Target="https://doi.org/10.1080/14623943.2012.732945" TargetMode="External"/><Relationship Id="rId19" Type="http://schemas.openxmlformats.org/officeDocument/2006/relationships/hyperlink" Target="https://www.simplypsychology.org/operant-conditioning.html" TargetMode="External"/><Relationship Id="rId4" Type="http://schemas.openxmlformats.org/officeDocument/2006/relationships/settings" Target="settings.xml"/><Relationship Id="rId9" Type="http://schemas.openxmlformats.org/officeDocument/2006/relationships/hyperlink" Target="https://doi.org/10.1002/chp.1340180402" TargetMode="External"/><Relationship Id="rId14" Type="http://schemas.openxmlformats.org/officeDocument/2006/relationships/hyperlink" Target="https://www.estyn.gov.wales/effective-practice/successful-behaviours-through-reward-based-programme" TargetMode="External"/><Relationship Id="rId22" Type="http://schemas.openxmlformats.org/officeDocument/2006/relationships/hyperlink" Target="https://doi.org/10.1007/s11858-018-0918-4" TargetMode="External"/><Relationship Id="rId27"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60B518-C2EA-F846-A3F1-1BDF9B415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4322</Words>
  <Characters>24636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Saran Jones</dc:creator>
  <cp:keywords/>
  <dc:description/>
  <cp:lastModifiedBy>Saran Jones</cp:lastModifiedBy>
  <cp:revision>2</cp:revision>
  <dcterms:created xsi:type="dcterms:W3CDTF">2023-11-06T22:44:00Z</dcterms:created>
  <dcterms:modified xsi:type="dcterms:W3CDTF">2023-11-06T22:44:00Z</dcterms:modified>
</cp:coreProperties>
</file>