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keepNext w:val="0"/>
        <w:keepLines w:val="0"/>
        <w:widowControl/>
        <w:suppressLineNumbers w:val="0"/>
        <w:rPr>
          <w:rStyle w:val="11"/>
        </w:rPr>
      </w:pPr>
    </w:p>
    <w:p>
      <w:pPr>
        <w:pStyle w:val="10"/>
        <w:keepNext w:val="0"/>
        <w:keepLines w:val="0"/>
        <w:widowControl/>
        <w:suppressLineNumbers w:val="0"/>
        <w:rPr>
          <w:rStyle w:val="11"/>
        </w:rPr>
      </w:pPr>
    </w:p>
    <w:p>
      <w:pPr>
        <w:pStyle w:val="10"/>
        <w:keepNext w:val="0"/>
        <w:keepLines w:val="0"/>
        <w:widowControl/>
        <w:suppressLineNumbers w:val="0"/>
        <w:rPr>
          <w:rStyle w:val="11"/>
        </w:rPr>
      </w:pPr>
    </w:p>
    <w:p>
      <w:pPr>
        <w:pStyle w:val="10"/>
        <w:keepNext w:val="0"/>
        <w:keepLines w:val="0"/>
        <w:widowControl/>
        <w:suppressLineNumbers w:val="0"/>
        <w:jc w:val="left"/>
      </w:pPr>
      <w:r>
        <w:rPr>
          <w:rStyle w:val="11"/>
        </w:rPr>
        <w:t xml:space="preserve">Name: </w:t>
      </w:r>
      <w:r>
        <w:rPr>
          <w:rStyle w:val="11"/>
          <w:b/>
        </w:rPr>
        <w:t>Katherine Perez</w:t>
      </w:r>
    </w:p>
    <w:p>
      <w:pPr>
        <w:pStyle w:val="12"/>
        <w:keepNext w:val="0"/>
        <w:keepLines w:val="0"/>
        <w:widowControl/>
        <w:suppressLineNumbers w:val="0"/>
        <w:jc w:val="left"/>
      </w:pPr>
      <w:r>
        <w:rPr>
          <w:rStyle w:val="13"/>
        </w:rPr>
        <w:t xml:space="preserve">Your Student Number: </w:t>
      </w:r>
      <w:r>
        <w:rPr>
          <w:rStyle w:val="13"/>
          <w:b/>
        </w:rPr>
        <w:t>1921322</w:t>
      </w:r>
    </w:p>
    <w:p>
      <w:pPr>
        <w:pStyle w:val="10"/>
        <w:keepNext w:val="0"/>
        <w:keepLines w:val="0"/>
        <w:widowControl/>
        <w:suppressLineNumbers w:val="0"/>
        <w:jc w:val="left"/>
      </w:pPr>
      <w:r>
        <w:rPr>
          <w:rStyle w:val="11"/>
        </w:rPr>
        <w:t xml:space="preserve">Your Module Title: </w:t>
      </w:r>
      <w:r>
        <w:rPr>
          <w:rStyle w:val="11"/>
          <w:b/>
        </w:rPr>
        <w:t>Human Resource Management</w:t>
      </w:r>
    </w:p>
    <w:p>
      <w:pPr>
        <w:pStyle w:val="12"/>
        <w:keepNext w:val="0"/>
        <w:keepLines w:val="0"/>
        <w:widowControl/>
        <w:suppressLineNumbers w:val="0"/>
        <w:jc w:val="left"/>
      </w:pPr>
      <w:r>
        <w:rPr>
          <w:rStyle w:val="13"/>
        </w:rPr>
        <w:t xml:space="preserve">Assignment Title: </w:t>
      </w:r>
      <w:r>
        <w:rPr>
          <w:rStyle w:val="13"/>
          <w:b/>
        </w:rPr>
        <w:t>Assessment 2</w:t>
      </w:r>
    </w:p>
    <w:p>
      <w:pPr>
        <w:pStyle w:val="12"/>
        <w:keepNext w:val="0"/>
        <w:keepLines w:val="0"/>
        <w:widowControl/>
        <w:suppressLineNumbers w:val="0"/>
        <w:jc w:val="left"/>
      </w:pPr>
      <w:r>
        <w:rPr>
          <w:rStyle w:val="13"/>
        </w:rPr>
        <w:t xml:space="preserve">Your Module Lecturer’s name: </w:t>
      </w:r>
      <w:r>
        <w:rPr>
          <w:rStyle w:val="13"/>
          <w:b/>
        </w:rPr>
        <w:t>Mary March</w:t>
      </w:r>
    </w:p>
    <w:p/>
    <w:p/>
    <w:p/>
    <w:p/>
    <w:p/>
    <w:p/>
    <w:p/>
    <w:p/>
    <w:p/>
    <w:p/>
    <w:p/>
    <w:p/>
    <w:p/>
    <w:p/>
    <w:p>
      <w:pPr>
        <w:keepNext w:val="0"/>
        <w:keepLines w:val="0"/>
        <w:widowControl/>
        <w:suppressLineNumbers w:val="0"/>
        <w:jc w:val="center"/>
        <w:rPr>
          <w:rFonts w:hint="eastAsia" w:ascii="Arial Unicode MS" w:hAnsi="Arial Unicode MS" w:eastAsia="Arial Unicode MS" w:cs="Arial Unicode MS"/>
          <w:b/>
          <w:bCs/>
          <w:i/>
          <w:iCs/>
          <w:kern w:val="0"/>
          <w:sz w:val="22"/>
          <w:szCs w:val="22"/>
          <w:u w:val="single"/>
          <w:lang w:val="en-US" w:eastAsia="zh-CN" w:bidi="ar"/>
        </w:rPr>
      </w:pPr>
      <w:r>
        <w:rPr>
          <w:rFonts w:hint="eastAsia" w:ascii="Arial Unicode MS" w:hAnsi="Arial Unicode MS" w:eastAsia="Arial Unicode MS" w:cs="Arial Unicode MS"/>
          <w:b/>
          <w:bCs/>
          <w:i/>
          <w:iCs/>
          <w:kern w:val="0"/>
          <w:sz w:val="22"/>
          <w:szCs w:val="22"/>
          <w:u w:val="single"/>
          <w:lang w:val="en-US" w:eastAsia="zh-CN" w:bidi="ar"/>
        </w:rPr>
        <w:t>The Hanoi Hat Company</w:t>
      </w:r>
    </w:p>
    <w:p>
      <w:pPr>
        <w:keepNext w:val="0"/>
        <w:keepLines w:val="0"/>
        <w:widowControl/>
        <w:suppressLineNumbers w:val="0"/>
        <w:jc w:val="both"/>
        <w:rPr>
          <w:rFonts w:hint="eastAsia" w:hAnsi="Arial Unicode MS" w:eastAsia="Arial Unicode MS" w:cs="Arial Unicode MS" w:asciiTheme="minorAscii"/>
          <w:b/>
          <w:bCs/>
          <w:i/>
          <w:iCs/>
          <w:kern w:val="0"/>
          <w:sz w:val="24"/>
          <w:szCs w:val="24"/>
          <w:lang w:val="en-US" w:eastAsia="zh-CN" w:bidi="ar"/>
        </w:rPr>
      </w:pPr>
      <w:r>
        <w:rPr>
          <w:rFonts w:hint="eastAsia" w:hAnsi="Arial Unicode MS" w:eastAsia="Arial Unicode MS" w:cs="Arial Unicode MS" w:asciiTheme="minorAscii"/>
          <w:b/>
          <w:bCs/>
          <w:i/>
          <w:iCs/>
          <w:kern w:val="0"/>
          <w:sz w:val="24"/>
          <w:szCs w:val="24"/>
          <w:lang w:val="en-US" w:eastAsia="zh-CN" w:bidi="ar"/>
        </w:rPr>
        <w:t>Task:</w:t>
      </w:r>
    </w:p>
    <w:p>
      <w:pPr>
        <w:keepNext w:val="0"/>
        <w:keepLines w:val="0"/>
        <w:widowControl/>
        <w:suppressLineNumbers w:val="0"/>
        <w:jc w:val="both"/>
        <w:rPr>
          <w:rFonts w:hint="eastAsia" w:hAnsi="Arial Unicode MS" w:eastAsia="Arial Unicode MS" w:cs="Arial Unicode MS" w:asciiTheme="minorAscii"/>
          <w:b/>
          <w:bCs/>
          <w:i/>
          <w:iCs/>
          <w:kern w:val="0"/>
          <w:sz w:val="24"/>
          <w:szCs w:val="24"/>
          <w:lang w:val="en-US" w:eastAsia="zh-CN" w:bidi="ar"/>
        </w:rPr>
      </w:pPr>
      <w:r>
        <w:rPr>
          <w:rFonts w:hint="eastAsia" w:hAnsi="Arial Unicode MS" w:eastAsia="Arial Unicode MS" w:cs="Arial Unicode MS" w:asciiTheme="minorAscii"/>
          <w:b/>
          <w:bCs/>
          <w:i/>
          <w:iCs/>
          <w:kern w:val="0"/>
          <w:sz w:val="24"/>
          <w:szCs w:val="24"/>
          <w:lang w:val="en-US" w:eastAsia="zh-CN" w:bidi="ar"/>
        </w:rPr>
        <w:t>Write a report that:</w:t>
      </w:r>
    </w:p>
    <w:p>
      <w:pPr>
        <w:keepNext w:val="0"/>
        <w:keepLines w:val="0"/>
        <w:widowControl/>
        <w:numPr>
          <w:ilvl w:val="0"/>
          <w:numId w:val="1"/>
        </w:numPr>
        <w:suppressLineNumbers w:val="0"/>
        <w:jc w:val="both"/>
        <w:rPr>
          <w:rFonts w:hint="eastAsia" w:hAnsi="Arial Unicode MS" w:eastAsia="Arial Unicode MS" w:cs="Arial Unicode MS" w:asciiTheme="minorAscii"/>
          <w:b/>
          <w:bCs/>
          <w:i/>
          <w:iCs/>
          <w:kern w:val="0"/>
          <w:sz w:val="24"/>
          <w:szCs w:val="24"/>
          <w:lang w:val="en-US" w:eastAsia="zh-CN" w:bidi="ar"/>
        </w:rPr>
      </w:pPr>
      <w:r>
        <w:rPr>
          <w:rFonts w:hint="eastAsia" w:hAnsi="Arial Unicode MS" w:eastAsia="Arial Unicode MS" w:cs="Arial Unicode MS" w:asciiTheme="minorAscii"/>
          <w:b/>
          <w:bCs/>
          <w:i/>
          <w:iCs/>
          <w:kern w:val="0"/>
          <w:sz w:val="24"/>
          <w:szCs w:val="24"/>
          <w:lang w:val="en-US" w:eastAsia="zh-CN" w:bidi="ar"/>
        </w:rPr>
        <w:t>Outlines contemporary reward practices that could be introduced into the business with the aim of increasing employee engagement</w:t>
      </w:r>
      <w:r>
        <w:rPr>
          <w:rFonts w:hint="default" w:hAnsi="Arial Unicode MS" w:eastAsia="Arial Unicode MS" w:cs="Arial Unicode MS" w:asciiTheme="minorAscii"/>
          <w:b/>
          <w:bCs/>
          <w:i/>
          <w:iCs/>
          <w:kern w:val="0"/>
          <w:sz w:val="24"/>
          <w:szCs w:val="24"/>
          <w:lang w:eastAsia="zh-CN" w:bidi="ar"/>
        </w:rPr>
        <w:t>.</w:t>
      </w:r>
    </w:p>
    <w:p>
      <w:pPr>
        <w:keepNext w:val="0"/>
        <w:keepLines w:val="0"/>
        <w:widowControl/>
        <w:numPr>
          <w:numId w:val="0"/>
        </w:numPr>
        <w:suppressLineNumbers w:val="0"/>
        <w:jc w:val="both"/>
        <w:rPr>
          <w:rFonts w:hint="eastAsia" w:hAnsi="Arial Unicode MS" w:eastAsia="Arial Unicode MS" w:cs="Arial Unicode MS" w:asciiTheme="minorAscii"/>
          <w:b/>
          <w:bCs/>
          <w:i/>
          <w:iCs/>
          <w:kern w:val="0"/>
          <w:sz w:val="24"/>
          <w:szCs w:val="24"/>
          <w:lang w:val="en-US" w:eastAsia="zh-CN" w:bidi="ar"/>
        </w:rPr>
      </w:pPr>
    </w:p>
    <w:p>
      <w:pPr>
        <w:keepNext w:val="0"/>
        <w:keepLines w:val="0"/>
        <w:widowControl/>
        <w:suppressLineNumbers w:val="0"/>
        <w:jc w:val="both"/>
        <w:rPr>
          <w:rFonts w:asciiTheme="minorAscii"/>
          <w:sz w:val="24"/>
          <w:szCs w:val="24"/>
        </w:rPr>
      </w:pPr>
      <w:bookmarkStart w:id="0" w:name="_GoBack"/>
      <w:r>
        <w:rPr>
          <w:rFonts w:hAnsi="SimSun" w:eastAsia="SimSun" w:cs="SimSun" w:asciiTheme="minorAscii"/>
          <w:kern w:val="0"/>
          <w:sz w:val="24"/>
          <w:szCs w:val="24"/>
          <w:lang w:val="en-US" w:eastAsia="zh-CN" w:bidi="ar"/>
        </w:rPr>
        <w:t>WHAT IS EMPLOYEE ENGAGEMENT?</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The idea of employee engagement focuses on mutual gains in employment relationships, seeking the good of employees (well-being, job satisfaction and so on) and the good of the organisation they work for (performance, commitment, and so on). Other relevant concepts include job satisfaction, passion and enthusiasm, identifying with one’s work, playing to one’s strengths, absorption and energy in doing work, citizenship behaviour, and shared purpose or alignment to strategy. For example, Gallup’s Q12 questionnaire covers job clarity, job resources, work that plays to one’s strengths, recognition, social support and cohesion, personal development, employee voice, meaningfulness of work, and colleagues’ motivation.</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In being a ‘broad church’, engagement is an umbrella term to describe a multifaceted focus of people management. Motivation: how workers guide their efforts to achieve goals, including intrinsic motivation (enjoying work for its own sake) and extrinsic motivation (working to get a reward). Job satisfaction: how content workers are with various aspects of their work, employment and organisational life.</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More broadly, other research shows that positive relationships between aspects of employee engagement and various other business metrics, including customer satisfaction, productivity, innovation, staff retention, efficiency and health and safety performance. That is to say, they may reflect that employee engagement contributes to performance, but it could equally be the other way round – people feel more engaged if they work in successful teams or organisations.</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At the day-to-day level, just over half of UK workers usually feel enthusiastic about their jobs, one in three feel ‘full of energy’, and over half are willing to work harder than they have to. However, a fifth of workers feel they are ‘under excessive pressure’, a fifth feel ‘exhausted’, and a fifth say they are likely to quit their job in the next year. Our UK Working Lives survey data shows no difference in enthusiasm between men and women, but we do see greater enthusiasm among senior managers and the highest paid, workers with postgraduate levels of qualifications and voluntary sector workers.</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The adage that ‘what gets measured gets attention’ holds true, and measurement can identify how different parts of the organisation compare, how motivation is changing over time and what the main factors are that motivate or demotivate people. Composite measures that draw together survey questions to give a broad overall engagement score can oversimplify matters dramatically. It is advisable to use engagement metrics that are well established and specific (for example the Utrecht Work Engagement Scale) or draw on a range of relevant metrics (for example, motivation, commitment and so on).</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HOW TO BUILD AN ENGAGED AND MOTIVATED WORKFORCE</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Research suggests that various dimensions of working life lead to employee engagement, including personality (for example, self-confidence and resilience), job design (for example, job demands and resources), leadership and management, organisational climate or culture (for example, psychological safety and the emphasis on service quality) and management practices (from mindfulness interventions to training courses). Successful employee engagement strategies will make use of a range of good people management and learning and development practices. Our report Developing managers for engagement and well-being gives guidance on how to develop managers who support employee engagement, health and well-being.</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For employers who want to create sustainable employee engagement in their workplaces, the ‘managing for sustainable employee engagement’ framework offers a great opportunity to ‘pull’ this lever.To achieve sustainable employee engagement, you need managers to make the behaviours set out in the ‘managing for sustainable employee engagement’ framework part of their management approach. You can support this through many of your people management processes, for example:</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•Learning and development: Using the ‘managing for sustainable employee engagement’ framework to design or integrate into learning and development programmes could help managers adopt the behaviours it details. Previous research suggests that providing managers with upward feedback can help in the process of behaviour change, so it would be worth considering using the ‘managing for sustainable employee engagement’ questionnaire in an upward or 360-degree feedback process as part of the learning and development programme.•Performance management and appraisal:To reinforce the importance of showing the behaviours for ‘managing for sustainable employee engagement’ on an ongoing basis, they could be integrated into your performance management or appraisal system, so that managers consider and are measured on the extent to which they integrate these behaviours into their management repertoire.</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ans-serif" w:eastAsia="sans-serif" w:cs="sans-serif" w:asciiTheme="minorAscii"/>
          <w:kern w:val="0"/>
          <w:sz w:val="24"/>
          <w:szCs w:val="24"/>
          <w:lang w:val="en-US" w:eastAsia="zh-CN" w:bidi="ar"/>
        </w:rPr>
        <w:t>Selection, assessment and promotion: In order to recruit and promote managers who either already show the behaviours set out in the ‘managing for sustainable employee engagement’ framework or have the potential to develop these skills, the framework and questionnaire could be used as part of the selection or promotion process. When engagement is conceptualised and measured in terms of how employees act and does not capture the ‘thinking’ and ‘feeling’ elements of emotional engagement, it may unintentionally engender a less desirable, purely transactional form of engagement, which is linked to negative well-being outcomes and is likely to be unsustainable. If this ‘fa</w:t>
      </w:r>
      <w:r>
        <w:rPr>
          <w:rFonts w:hAnsi="sans-serif" w:eastAsia="sans-serif" w:cs="sans-serif" w:asciiTheme="minorAscii"/>
          <w:kern w:val="0"/>
          <w:sz w:val="24"/>
          <w:szCs w:val="24"/>
          <w:lang w:eastAsia="zh-CN" w:bidi="ar"/>
        </w:rPr>
        <w:t>c</w:t>
      </w:r>
      <w:r>
        <w:rPr>
          <w:rFonts w:hAnsi="sans-serif" w:eastAsia="sans-serif" w:cs="sans-serif" w:asciiTheme="minorAscii"/>
          <w:kern w:val="0"/>
          <w:sz w:val="24"/>
          <w:szCs w:val="24"/>
          <w:lang w:val="en-US" w:eastAsia="zh-CN" w:bidi="ar"/>
        </w:rPr>
        <w:t>ade’ of engagement is mistaken for ’real’ engagement, it presents risks to employees’ well-being and to the sustainability of their engagement and performance.</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WHAT CAN MANAGERS DO?</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The ‘managing for sustainable employee engagement’ framework provides you with specific indications of what you can do to create sustainable employee engagement in your team. You can use the framework to help you by:</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•Identifying which behaviours you already use and which ones you could change: When you look at the ‘managing for sustainable employee engagement’ framework, you will probably find that some of the behavioural indicators are things that you already do (or avoid doing in the case of the negative behaviours), whereas others are not part of your current approach. If your employer provides an opportunity for upward or 360-degree feedback, this is an ideal way to find out others’ views in a systematic and confidential way.</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•Changing behaviour where appropriate: Where there are elements of the ‘managing for sustainable employee engagement’ framework that are not part of your current management repertoire, you can use the specific behavioural indicators underlying the framework to help you make changes to your behaviour.</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Guest makes the distinction between organisational engagement (what we traditionally mean by employee engagement) and work engagement. ‘If you can use work design plus organisational support to generate engagement in the job or work that people do, that seems to first of all get better responses on the surveys, and second to be associated with higher wellbeing,’ says Guest. Guest is not arguing that engagement at the organisational level isn’t possible — just look at the British military, which routinely scores highly for its employee engagement — but that the productivity pay-offs tend to be limited and that, on the whole, we are ‘looking in the wrong place’ to achieve it.</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APPROACHES TO TOTAL REWARD</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The term total reward can also be used in a more limited way simply to refer to the financial value of the pay and benefits package rather than the value of the total package of financial and non-financial rewards. Strategic: it aligns all aspects of reward to business strategy – total reward is driven by business needs and rewards the business activities, employee behaviour and values that support strategic goals and objectives. To take one example of heightened interest in total reward in the public sector, there has in recent years been a focus on the non-basic pay advantages of working in the sector, such as high-quality pensions and work-life balance provisions, among the public sector pay review bodies (which recommend pay rises for several groups of public sector workers such as medical staff, teachers and defence staff).</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THE ROLE OF STRATEGIC REWARD</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Designing pay structures and pay progression arrangements that ensure that the values, behaviours, performances and attitudes that the business needs to be successful are rewarded and recognised (for example, linking individual pay progression with those types of performance that are valued by the business, such as customer focus). Ensuring both ‘vertical’ integration of employee reward approaches with business goals (such as developing performance-related pay arrangements to help increase revenues) as well as ‘horizontal’ integration of reward policy with wider HR policies (for example, ensuring that pay progression arrangements are aligned with an organisation’s culture, purpose and mission as well as external factors, such as regulation). For more on how reward strategies can be supported, see our factsheets on pay structures and pay progression, performance-related pay, bonuses and incentives and job evaluation and market pricing.</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LOW PAY AND FINANCIAL WELLBEING</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The introduction of the statutory National Living Wage has meant pay rises for those at the very bottom of the pay scale, but in real terms, the average worker has taken a pay cut. Evidence suggests that enhancing the support available to help small firms improve their people management skills could help boost productivity and consequently wages. Help improve financial wellbeing, by embedding financial literacy in schools, further education, higher education and apprenticeships and working with employers and the financial services industry to improve financial awareness among employees.</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SALARIES, PAY STRUCTURES AND PROGRESSION</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The core difficulty is that the need to align pay to the market often pulls in a different direction from the equally pressing need to ensure that pay differences within the organisation are transparent and perceived as fair (that is, people know, understand and accept the basis for pay differences). There are three aspects here that we wish to turn our ‘behavioural’ lens to – the market for salaries, pay structures and, finally, pay progression.Pay and the market In classical economic theory, pay should be determined at the intersection of supply and demand. For example, the most commonly cited factor in setting pay rates in the CIPD survey was ability to pay.</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This makes setting pay rates very difficult and necessitates a behavioural consideration in its design.Furthermore, an individual’s perceived level of satisfaction with their reward is influenced by numerous external and internal factors. Behavioural theory suggests that base pay needs to be a dynamic rather than static amount, with refreshing of productivity expectations.Pay structures</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Research in behavioural science (Tabibinia and Lieberman 2007) has shown that the perceived fairness of rewards is a very strong factor in people’s response to them, and that it has deep roots in the development of the human brain. Not only does being the recipient of (perceived) unfairly distributed rewards produce a range of negative emotions, experimental work has shown that inequity aversion is so strong that people may pass up receipt of a reward themselves if the distribution of rewards in relation to others is perceived as unfair.</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As noted above, individuals prone to the endowment bias attribute a premium above the market price to their own skills; therefore, if a group of employees doing the same job are all paid the same, most individuals who feel their own skills are superior will perceive an unfairness in treatment. Pay progression</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Around a third of organisations (CIPD 2013a) are using time-based progression systems, where individuals progress up incremental scales to the top point of a grade – a system that has moved from being relatively uncontroversial to being very much under the political microscope. The endowment bias suggests that individuals who falsely attribute a premium to their own skills, or overestimate their own contribution to success, will feel a loss and unfairly treated if they don’t receive an increment or are refused discretionary extensions at the top of the scale – particularly if other people gain an increment.</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VARIABLE PAY</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On the other hand, there is a wealth of evidence around the difficulties in designing incentive schemes that will survive their encounter with the ‘real world’ (Cox 2007), and many have been derailed by implementation problems, employee resistance or have had unintended and undesirable consequences – for example, rewarding short-term achievement at the expense of longer-term sustainability and citizenship behaviours (Osterloh 2014) (see Behavioural responses to performance payments, page 17).Beyond the strategic decision around whether to offer variable rewards, reward specialists face a set of design choices, reflecting the key what, how, who and when issues that we identified above. The CIPD’s Reward Managementsurvey report (2013a) confirms some trends in how those choices are perceived and exercised:• in relation to individualised incentives, a historical trend away from payment by results systems towards performance-based bonuses or progression• a trend towards systems with a collective (team or organisation-wide) element, though these remain less common than individualised approaches even though they are perceived as more effective by practitioners • a recent trend towards interest in the role of non-monetary rewards, and towards systems that incorporate more than one element (for example team and individual pay).In the sections that follow we look at both the strategic and design issues in variable pay through the lens of behavioural science. We will also see what new light behavioural science can shed on the main design choices in variable reward systems.</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REWARD, MONEY AND THE BRAIN</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Zedelius et al (2014) showed that rewards and ‘affective cues’ (that is, positive stimuli but not actual rewards) were treated the same by the unconscious brain; people responded differently to them when the conscious brain could engage in reflection. This showed that when people were promised reward for a later task, they started to perform better at intermediate tasks – even when those weren’t subject to the reward. By rewarding pursuit of one task, it may increase effort put into other, unrelated ones.So far we have looked at reward in general, but what about the neurological impact of money on the brain?</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THE IMPACT OF INDIVIDUAL FINANCIAL INCENTIVES</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Whether financial incentives are effective in motivating people at work is one of the oldest debates in organisation studies. It is also worth noting that while financial incentives for performance (as opposed to for task completion, for example) may undermine a sense of autonomy, this may be counter-balanced by satisfying people’s equally pressing need for a sense of competence – thus reducing the crowding-out effect (Moller and Deci 2014).There is a good deal of research outside the employment setting that demonstrates the crowding-out effect. Symbolic rewards are congruent with people’s intrinsic motivation and signal that the organisation recognises this but doesn’t seek to control it (Frey et al 2013).A broad-ranging review of research by Weibel et al (2010) provides strong evidence of this crowding-out effect in public administration.</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NON FINANCIAL INCENTIVES</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An attraction to organisations in difficult economic times is that they may be cheaper to offer as incentives than cash, but there is also a broader attraction in that they may avoid some of the powerful (and potentially distorting) effects of money (discussed above). While money will vary in its relative value to different individuals at different times, it will always have a value; however, people will attach very different values to, for example, an afternoon’s paint-balling or a trip to a theme park. Offering a range or menu of non-financial rewards (people can choose the abseiling or meal out) as incentives might be an answer to this, but as we discuss in relation to flexible benefits below, choice can be perceived as a cost in itself – potentially devaluing the incentive.</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Incorporating principles of game design, in particular incorporating the addition of ‘achievements’, can encourage and elicit many of the intended behaviours of traditional (cash) rewards such as high motivation and engagement. More complex game play can be used to effectively deliver mandatory training: Microsoft’s Ribbon Hero 2 rewards a player by levelling up as they learn Office tasks, for example changing font or using extra features. However, an oft-overlooked aspect of gaming is the build-up of confidence it can generate; in many games a player is rewarded for minimal effort in order to encourage participation (say, mandatory training).</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PENSIONS AND BENEFITS</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We now turn to the latter of these, pensions, which are the most commonly offered benefit (90% of organisations offer it to some or all employees, according to the CIPD Reward Management survey report), before moving on to other benefits, such as healthcare or company cars. In the UK, the ageing population, pressures on public finances and pension funds, and lack of planning for retirement among the population, has led to a ‘pensions crisis’.3 The UK Government’s response has been to raise state pension ages, take measures to facilitate people working longer, reduce benefits and increase contributions in public sector schemes, and introduce auto-enrolment, where employees will be enrolled by default into a scheme offered by or through their employer (at the time of writing more than 4 million employees have enrolled).Organisations have historically played a more central role in pension provision in the UK than in many other countries where state pension provision is much more generous. However, prior to auto-enrolment there was a decline in the number of organisations offering pensions as a benefit, and a retreat from offering the more generous forms of provision.4 Although this was undoubtedly related to cost issues, it does call into question whether organisations remain convinced of the HR advantages arising from pension provision.</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The recruitment benefits are seen to arise from the attractiveness of ‘free money’ in the form of employer contributions and in pensions attracting the ‘right’ kind of workers (that is, those taking a long-term view and likely to stay with the organisation). We now consider whether and how behavioural theory can contribute to an understanding of pensions and their role in reward strategies.The requirement for people to take more responsibility for their pension provision implies that people will need to take rational decisions in relation to savings and investment – and also that providing more information about pension provision will enable such decisions. The sheer complexity of choice in pension plans causes people to avoid taking a proactive approach to managing their provision, making pension investment choices through ‘naïve diversification’ (Benartzi and Thaler 2001).Indeed, many prefer not to invest because of the omission bias and because of the paralysing aversion to regret that they anticipate experiencing if they were to take the wrong option – they will choose not to choose (Bodie and Prast 2012).</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There has also been a move towards offering flexible benefits (cafeteria benefits) and voluntary benefits (discounts, or salary sacrifice), though in both cases these have fallen back from a peak a couple of years ago and remain a minority pursuit (20%), or organisations offer flexible benefits – concentrated in larger organisations in the private sector (CIPD 2013a).Before looking at the insights from behavioural science, we note that there are a number of existing explanations as to why organisations might use benefits as part of reward strategy. A second is that benefits are an efficient way to substitute for cash (for example, a company car also helps people get around, and organisations may be able to secure benefits at a discount). This line of argument may also underpin the interest in offering flexible and voluntary benefits, where the element of choice itself may be perceived as a benefit or may serve to meet needs for procedural justice.</w:t>
      </w:r>
    </w:p>
    <w:p>
      <w:pPr>
        <w:keepNext w:val="0"/>
        <w:keepLines w:val="0"/>
        <w:widowControl/>
        <w:suppressLineNumbers w:val="0"/>
        <w:jc w:val="both"/>
        <w:rPr>
          <w:rFonts w:asciiTheme="minorAscii"/>
          <w:sz w:val="24"/>
          <w:szCs w:val="24"/>
        </w:rPr>
      </w:pPr>
      <w:r>
        <w:rPr>
          <w:rFonts w:hint="default" w:hAnsi="sans-serif" w:eastAsia="sans-serif" w:cs="sans-serif" w:asciiTheme="minorAscii"/>
          <w:b/>
          <w:kern w:val="0"/>
          <w:sz w:val="24"/>
          <w:szCs w:val="24"/>
          <w:lang w:val="en-US" w:eastAsia="zh-CN" w:bidi="ar"/>
        </w:rPr>
        <w:t>2.Considers how the General Manager can persuade the line managers that the introduction of these reward practices can add value to the business.</w:t>
      </w:r>
    </w:p>
    <w:p>
      <w:pPr>
        <w:pStyle w:val="2"/>
        <w:keepNext w:val="0"/>
        <w:keepLines w:val="0"/>
        <w:widowControl/>
        <w:suppressLineNumbers w:val="0"/>
        <w:jc w:val="both"/>
        <w:rPr>
          <w:rFonts w:asciiTheme="minorAscii"/>
          <w:sz w:val="24"/>
          <w:szCs w:val="24"/>
          <w:u w:val="single"/>
        </w:rPr>
      </w:pPr>
      <w:r>
        <w:rPr>
          <w:rFonts w:asciiTheme="minorAscii"/>
          <w:sz w:val="24"/>
          <w:szCs w:val="24"/>
          <w:u w:val="single"/>
        </w:rPr>
        <w:t>Line managers play crucial role in supporting employee well-being and engagement</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Despite all the evidence demonstrating that employee health, well-being and engagement are important for organisational success, and that line managers are one of the most important influences on engagement, fewer than half of the 1,091 HR professionals surveyed by the CIPD last year believed that line managers are bought into the importance of well-being. To help address this, Affinity Health at Work has worked in partnership with the CIPD, IOSH (the Institution of Occupational Safety and Health) and other members of the Affinity Health at Work Research Consortium to launch a practical tool that will help organisations equip managers with the skills and behaviours to engage and protect the well-being of their teams on a day-to-day basis. For the large private organisation, the success of the management development programme was also facilitated by demonstrating the business case for investing in well-being and the link between well-being and engagement.</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hint="default" w:hAnsi="sans-serif" w:eastAsia="sans-serif" w:cs="sans-serif" w:asciiTheme="minorAscii"/>
          <w:b w:val="0"/>
          <w:bCs/>
          <w:color w:val="auto"/>
          <w:kern w:val="0"/>
          <w:sz w:val="24"/>
          <w:szCs w:val="24"/>
          <w:u w:val="none"/>
          <w:lang w:val="en-US" w:eastAsia="zh-CN" w:bidi="ar"/>
        </w:rPr>
      </w:pPr>
      <w:r>
        <w:rPr>
          <w:rFonts w:hint="default" w:hAnsi="sans-serif" w:eastAsia="sans-serif" w:cs="sans-serif" w:asciiTheme="minorAscii"/>
          <w:b w:val="0"/>
          <w:bCs/>
          <w:color w:val="auto"/>
          <w:kern w:val="0"/>
          <w:sz w:val="24"/>
          <w:szCs w:val="24"/>
          <w:u w:val="none"/>
          <w:lang w:val="en-US" w:eastAsia="zh-CN" w:bidi="ar"/>
        </w:rPr>
        <w:t xml:space="preserve">The increasing focus on </w:t>
      </w:r>
      <w:r>
        <w:rPr>
          <w:rFonts w:hint="default" w:hAnsi="sans-serif" w:eastAsia="sans-serif" w:cs="sans-serif" w:asciiTheme="minorAscii"/>
          <w:b w:val="0"/>
          <w:bCs/>
          <w:color w:val="auto"/>
          <w:kern w:val="0"/>
          <w:sz w:val="24"/>
          <w:szCs w:val="24"/>
          <w:u w:val="none"/>
          <w:lang w:val="en-US" w:eastAsia="zh-CN" w:bidi="ar"/>
        </w:rPr>
        <w:fldChar w:fldCharType="begin"/>
      </w:r>
      <w:r>
        <w:rPr>
          <w:rFonts w:hint="default" w:hAnsi="sans-serif" w:eastAsia="sans-serif" w:cs="sans-serif" w:asciiTheme="minorAscii"/>
          <w:b w:val="0"/>
          <w:bCs/>
          <w:color w:val="auto"/>
          <w:kern w:val="0"/>
          <w:sz w:val="24"/>
          <w:szCs w:val="24"/>
          <w:u w:val="none"/>
          <w:lang w:val="en-US" w:eastAsia="zh-CN" w:bidi="ar"/>
        </w:rPr>
        <w:instrText xml:space="preserve"> HYPERLINK "https://www.cipd.co.uk/knowledge/fundamentals/relations/engagement/factsheet/" \o "Employee engagement factsheet" \t "/Users/russelltautting/Documents\\x/_blank" </w:instrText>
      </w:r>
      <w:r>
        <w:rPr>
          <w:rFonts w:hint="default" w:hAnsi="sans-serif" w:eastAsia="sans-serif" w:cs="sans-serif" w:asciiTheme="minorAscii"/>
          <w:b w:val="0"/>
          <w:bCs/>
          <w:color w:val="auto"/>
          <w:kern w:val="0"/>
          <w:sz w:val="24"/>
          <w:szCs w:val="24"/>
          <w:u w:val="none"/>
          <w:lang w:val="en-US" w:eastAsia="zh-CN" w:bidi="ar"/>
        </w:rPr>
        <w:fldChar w:fldCharType="separate"/>
      </w:r>
      <w:r>
        <w:rPr>
          <w:rStyle w:val="7"/>
          <w:rFonts w:hint="default" w:hAnsi="sans-serif" w:eastAsia="sans-serif" w:cs="sans-serif" w:asciiTheme="minorAscii"/>
          <w:b w:val="0"/>
          <w:bCs/>
          <w:color w:val="auto"/>
          <w:sz w:val="24"/>
          <w:szCs w:val="24"/>
          <w:u w:val="none"/>
        </w:rPr>
        <w:t>employee engagement</w:t>
      </w:r>
      <w:r>
        <w:rPr>
          <w:rFonts w:hint="default" w:hAnsi="sans-serif" w:eastAsia="sans-serif" w:cs="sans-serif" w:asciiTheme="minorAscii"/>
          <w:b w:val="0"/>
          <w:bCs/>
          <w:color w:val="auto"/>
          <w:kern w:val="0"/>
          <w:sz w:val="24"/>
          <w:szCs w:val="24"/>
          <w:u w:val="none"/>
          <w:lang w:val="en-US" w:eastAsia="zh-CN" w:bidi="ar"/>
        </w:rPr>
        <w:fldChar w:fldCharType="end"/>
      </w:r>
      <w:r>
        <w:rPr>
          <w:rFonts w:hint="default" w:hAnsi="sans-serif" w:eastAsia="sans-serif" w:cs="sans-serif" w:asciiTheme="minorAscii"/>
          <w:b w:val="0"/>
          <w:bCs/>
          <w:color w:val="auto"/>
          <w:kern w:val="0"/>
          <w:sz w:val="24"/>
          <w:szCs w:val="24"/>
          <w:u w:val="none"/>
          <w:lang w:val="en-US" w:eastAsia="zh-CN" w:bidi="ar"/>
        </w:rPr>
        <w:t xml:space="preserve"> in the workplace means that this aspect of the line manager’s role in people management can be particularly influential. Our work on the </w:t>
      </w:r>
      <w:r>
        <w:rPr>
          <w:rFonts w:hint="default" w:hAnsi="sans-serif" w:eastAsia="sans-serif" w:cs="sans-serif" w:asciiTheme="minorAscii"/>
          <w:b w:val="0"/>
          <w:bCs/>
          <w:color w:val="auto"/>
          <w:kern w:val="0"/>
          <w:sz w:val="24"/>
          <w:szCs w:val="24"/>
          <w:u w:val="none"/>
          <w:lang w:val="en-US" w:eastAsia="zh-CN" w:bidi="ar"/>
        </w:rPr>
        <w:fldChar w:fldCharType="begin"/>
      </w:r>
      <w:r>
        <w:rPr>
          <w:rFonts w:hint="default" w:hAnsi="sans-serif" w:eastAsia="sans-serif" w:cs="sans-serif" w:asciiTheme="minorAscii"/>
          <w:b w:val="0"/>
          <w:bCs/>
          <w:color w:val="auto"/>
          <w:kern w:val="0"/>
          <w:sz w:val="24"/>
          <w:szCs w:val="24"/>
          <w:u w:val="none"/>
          <w:lang w:val="en-US" w:eastAsia="zh-CN" w:bidi="ar"/>
        </w:rPr>
        <w:instrText xml:space="preserve"> HYPERLINK "https://www.cipd.co.uk/knowledge/culture/well-being/developing-managers-report/" \o "Developing managers for engagement and well-being report and tools" \t "/Users/russelltautting/Documents\\x/_blank" </w:instrText>
      </w:r>
      <w:r>
        <w:rPr>
          <w:rFonts w:hint="default" w:hAnsi="sans-serif" w:eastAsia="sans-serif" w:cs="sans-serif" w:asciiTheme="minorAscii"/>
          <w:b w:val="0"/>
          <w:bCs/>
          <w:color w:val="auto"/>
          <w:kern w:val="0"/>
          <w:sz w:val="24"/>
          <w:szCs w:val="24"/>
          <w:u w:val="none"/>
          <w:lang w:val="en-US" w:eastAsia="zh-CN" w:bidi="ar"/>
        </w:rPr>
        <w:fldChar w:fldCharType="separate"/>
      </w:r>
      <w:r>
        <w:rPr>
          <w:rStyle w:val="7"/>
          <w:rFonts w:hint="default" w:hAnsi="sans-serif" w:eastAsia="sans-serif" w:cs="sans-serif" w:asciiTheme="minorAscii"/>
          <w:b w:val="0"/>
          <w:bCs/>
          <w:color w:val="auto"/>
          <w:sz w:val="24"/>
          <w:szCs w:val="24"/>
          <w:u w:val="none"/>
        </w:rPr>
        <w:t>relationship between line management and employee engagement and well-being</w:t>
      </w:r>
      <w:r>
        <w:rPr>
          <w:rFonts w:hint="default" w:hAnsi="sans-serif" w:eastAsia="sans-serif" w:cs="sans-serif" w:asciiTheme="minorAscii"/>
          <w:b w:val="0"/>
          <w:bCs/>
          <w:color w:val="auto"/>
          <w:kern w:val="0"/>
          <w:sz w:val="24"/>
          <w:szCs w:val="24"/>
          <w:u w:val="none"/>
          <w:lang w:val="en-US" w:eastAsia="zh-CN" w:bidi="ar"/>
        </w:rPr>
        <w:fldChar w:fldCharType="end"/>
      </w:r>
      <w:r>
        <w:rPr>
          <w:rFonts w:hint="default" w:hAnsi="sans-serif" w:eastAsia="sans-serif" w:cs="sans-serif" w:asciiTheme="minorAscii"/>
          <w:b w:val="0"/>
          <w:bCs/>
          <w:color w:val="auto"/>
          <w:kern w:val="0"/>
          <w:sz w:val="24"/>
          <w:szCs w:val="24"/>
          <w:u w:val="none"/>
          <w:lang w:val="en-US" w:eastAsia="zh-CN" w:bidi="ar"/>
        </w:rPr>
        <w:t xml:space="preserve"> highlights line managers’ crucial role in balancing the levels of challenge at work – which motivate and engage employees – with the right levels of support – which can reduce stress and support employees’ well-being. It’s therefore especially important to pay close attention to how the organisation selects, develops and manages the performance of line managers. Again this puts onus on the L&amp;D function to ensure line managers are able to carry out this new responsibility. The report resulted in development of a series of practical tools for developing line managers to support employee engagement, health and well-being.</w:t>
      </w:r>
    </w:p>
    <w:p>
      <w:pPr>
        <w:keepNext w:val="0"/>
        <w:keepLines w:val="0"/>
        <w:widowControl/>
        <w:suppressLineNumbers w:val="0"/>
        <w:jc w:val="both"/>
        <w:rPr>
          <w:rFonts w:hint="default" w:hAnsi="sans-serif" w:eastAsia="sans-serif" w:cs="sans-serif" w:asciiTheme="minorAscii"/>
          <w:b w:val="0"/>
          <w:bCs/>
          <w:color w:val="auto"/>
          <w:kern w:val="0"/>
          <w:sz w:val="24"/>
          <w:szCs w:val="24"/>
          <w:u w:val="none"/>
          <w:lang w:val="en-US" w:eastAsia="zh-CN" w:bidi="ar"/>
        </w:rPr>
      </w:pPr>
    </w:p>
    <w:p>
      <w:pPr>
        <w:keepNext w:val="0"/>
        <w:keepLines w:val="0"/>
        <w:widowControl/>
        <w:suppressLineNumbers w:val="0"/>
        <w:jc w:val="both"/>
        <w:rPr>
          <w:rFonts w:hint="default" w:hAnsi="sans-serif" w:eastAsia="sans-serif" w:cs="sans-serif" w:asciiTheme="minorAscii"/>
          <w:b w:val="0"/>
          <w:bCs/>
          <w:color w:val="auto"/>
          <w:kern w:val="0"/>
          <w:sz w:val="24"/>
          <w:szCs w:val="24"/>
          <w:u w:val="none"/>
          <w:lang w:val="en-US" w:eastAsia="zh-CN" w:bidi="ar"/>
        </w:rPr>
      </w:pPr>
    </w:p>
    <w:p>
      <w:pPr>
        <w:keepNext w:val="0"/>
        <w:keepLines w:val="0"/>
        <w:widowControl/>
        <w:suppressLineNumbers w:val="0"/>
        <w:jc w:val="both"/>
        <w:rPr>
          <w:rFonts w:hint="default" w:hAnsi="sans-serif" w:eastAsia="sans-serif" w:cs="sans-serif" w:asciiTheme="minorAscii"/>
          <w:b w:val="0"/>
          <w:bCs/>
          <w:color w:val="auto"/>
          <w:kern w:val="0"/>
          <w:sz w:val="24"/>
          <w:szCs w:val="24"/>
          <w:u w:val="none"/>
          <w:lang w:val="en-US" w:eastAsia="zh-CN" w:bidi="ar"/>
        </w:rPr>
      </w:pPr>
    </w:p>
    <w:p>
      <w:pPr>
        <w:keepNext w:val="0"/>
        <w:keepLines w:val="0"/>
        <w:widowControl/>
        <w:suppressLineNumbers w:val="0"/>
        <w:jc w:val="both"/>
        <w:rPr>
          <w:rFonts w:hint="default" w:hAnsi="sans-serif" w:eastAsia="sans-serif" w:cs="sans-serif" w:asciiTheme="minorAscii"/>
          <w:b w:val="0"/>
          <w:bCs/>
          <w:color w:val="auto"/>
          <w:kern w:val="0"/>
          <w:sz w:val="24"/>
          <w:szCs w:val="24"/>
          <w:u w:val="none"/>
          <w:lang w:val="en-US" w:eastAsia="zh-CN" w:bidi="ar"/>
        </w:rPr>
      </w:pPr>
    </w:p>
    <w:p>
      <w:pPr>
        <w:keepNext w:val="0"/>
        <w:keepLines w:val="0"/>
        <w:widowControl/>
        <w:suppressLineNumbers w:val="0"/>
        <w:jc w:val="both"/>
        <w:rPr>
          <w:rFonts w:hint="default" w:hAnsi="sans-serif" w:eastAsia="sans-serif" w:cs="sans-serif" w:asciiTheme="minorAscii"/>
          <w:b w:val="0"/>
          <w:bCs/>
          <w:color w:val="auto"/>
          <w:kern w:val="0"/>
          <w:sz w:val="24"/>
          <w:szCs w:val="24"/>
          <w:u w:val="none"/>
          <w:lang w:val="en-US" w:eastAsia="zh-CN" w:bidi="ar"/>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b/>
          <w:kern w:val="0"/>
          <w:sz w:val="24"/>
          <w:szCs w:val="24"/>
          <w:lang w:val="en-US" w:eastAsia="zh-CN" w:bidi="ar"/>
        </w:rPr>
        <w:t>CONCLUSIONS</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Reward has always had an important role in attracting and retaining employees, securing their engagement and enhancing their performance – hence its central place in any HR strategy. In terms of attraction and retention, we have emphasised the difficulties of setting appropriate levels of reward given the subjectivities around how rewards are valued. Behavioural science insights, both from cognitive neuroscience and economics, stress the importance of perceived equity and transparency (in process and outcome) in reward systems.</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Reward strategists face a trade-off between the leveraging effect of incentives and their potential ‘side effects’ – trade-offs that will vary with circumstances (for example type of work, level, individualteam output, sector).Given these difficulties, a greater role for non-financial and intangible rewards (recognition, praise, awards) may be more attractive. Re-engineering our reward systems in this way, from the tangible to the intangible, is likely to run up against a range of behavioural obstacles – in relation to social norms, prospect theory, regret aversion, endowment biases, temporal trade-offs and herd behaviours (to name a few), as well as more traditional contractual, employment relations and transaction cost considerations. There is now a need for focused research on the implications of behavioural science in relation to specific reward topics.</w:t>
      </w:r>
    </w:p>
    <w:p>
      <w:pPr>
        <w:keepNext w:val="0"/>
        <w:keepLines w:val="0"/>
        <w:widowControl/>
        <w:suppressLineNumbers w:val="0"/>
        <w:jc w:val="both"/>
        <w:rPr>
          <w:rFonts w:asciiTheme="minorAscii"/>
          <w:sz w:val="24"/>
          <w:szCs w:val="24"/>
        </w:rPr>
      </w:pPr>
      <w:bookmarkEnd w:id="0"/>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b/>
          <w:kern w:val="0"/>
          <w:sz w:val="24"/>
          <w:szCs w:val="24"/>
          <w:lang w:val="en-US" w:eastAsia="zh-CN" w:bidi="ar"/>
        </w:rPr>
        <w:t>REFERENCES</w:t>
      </w:r>
    </w:p>
    <w:p>
      <w:pPr>
        <w:pStyle w:val="4"/>
        <w:keepNext w:val="0"/>
        <w:keepLines w:val="0"/>
        <w:widowControl/>
        <w:suppressLineNumbers w:val="0"/>
        <w:jc w:val="both"/>
        <w:rPr>
          <w:rFonts w:asciiTheme="minorAscii"/>
          <w:sz w:val="24"/>
          <w:szCs w:val="24"/>
        </w:rPr>
      </w:pPr>
      <w:r>
        <w:rPr>
          <w:rFonts w:asciiTheme="minorAscii"/>
          <w:sz w:val="24"/>
          <w:szCs w:val="24"/>
        </w:rPr>
        <w:t>Books and reports</w:t>
      </w:r>
    </w:p>
    <w:p>
      <w:pPr>
        <w:pStyle w:val="5"/>
        <w:keepNext w:val="0"/>
        <w:keepLines w:val="0"/>
        <w:widowControl/>
        <w:suppressLineNumbers w:val="0"/>
        <w:jc w:val="both"/>
        <w:rPr>
          <w:rFonts w:asciiTheme="minorAscii"/>
          <w:sz w:val="24"/>
          <w:szCs w:val="24"/>
        </w:rPr>
      </w:pPr>
      <w:r>
        <w:rPr>
          <w:rFonts w:asciiTheme="minorAscii"/>
          <w:sz w:val="24"/>
          <w:szCs w:val="24"/>
        </w:rPr>
        <w:t xml:space="preserve">BRIDGER, E. (2018) </w:t>
      </w:r>
      <w:r>
        <w:rPr>
          <w:rFonts w:asciiTheme="minorAscii"/>
          <w:i/>
          <w:sz w:val="24"/>
          <w:szCs w:val="24"/>
        </w:rPr>
        <w:t>Employee engagement: a practical introduction</w:t>
      </w:r>
      <w:r>
        <w:rPr>
          <w:rFonts w:asciiTheme="minorAscii"/>
          <w:sz w:val="24"/>
          <w:szCs w:val="24"/>
        </w:rPr>
        <w:t>. 2nd ed. HR Fundamentals. London: CIPD and Kogan Page.</w:t>
      </w:r>
    </w:p>
    <w:p>
      <w:pPr>
        <w:pStyle w:val="5"/>
        <w:keepNext w:val="0"/>
        <w:keepLines w:val="0"/>
        <w:widowControl/>
        <w:suppressLineNumbers w:val="0"/>
        <w:jc w:val="both"/>
        <w:rPr>
          <w:rFonts w:asciiTheme="minorAscii"/>
          <w:sz w:val="24"/>
          <w:szCs w:val="24"/>
        </w:rPr>
      </w:pPr>
      <w:r>
        <w:rPr>
          <w:rFonts w:asciiTheme="minorAscii"/>
          <w:sz w:val="24"/>
          <w:szCs w:val="24"/>
        </w:rPr>
        <w:t xml:space="preserve">HOLBECHE, L. and MATTHEWS, G. (2012) </w:t>
      </w:r>
      <w:r>
        <w:rPr>
          <w:rFonts w:asciiTheme="minorAscii"/>
          <w:i/>
          <w:sz w:val="24"/>
          <w:szCs w:val="24"/>
        </w:rPr>
        <w:t>Engaged: unleashing your organization's potential through employee engagement</w:t>
      </w:r>
      <w:r>
        <w:rPr>
          <w:rFonts w:asciiTheme="minorAscii"/>
          <w:sz w:val="24"/>
          <w:szCs w:val="24"/>
        </w:rPr>
        <w:t>. San Francisco, CA: Jossey Bass.</w:t>
      </w:r>
    </w:p>
    <w:p>
      <w:pPr>
        <w:pStyle w:val="5"/>
        <w:keepNext w:val="0"/>
        <w:keepLines w:val="0"/>
        <w:widowControl/>
        <w:suppressLineNumbers w:val="0"/>
        <w:jc w:val="both"/>
        <w:rPr>
          <w:rFonts w:asciiTheme="minorAscii"/>
          <w:sz w:val="24"/>
          <w:szCs w:val="24"/>
        </w:rPr>
      </w:pPr>
      <w:r>
        <w:rPr>
          <w:rFonts w:asciiTheme="minorAscii"/>
          <w:sz w:val="24"/>
          <w:szCs w:val="24"/>
        </w:rPr>
        <w:t xml:space="preserve">PASS, S. et al. (2018) </w:t>
      </w:r>
      <w:r>
        <w:rPr>
          <w:rFonts w:asciiTheme="minorAscii"/>
          <w:i/>
          <w:sz w:val="24"/>
          <w:szCs w:val="24"/>
        </w:rPr>
        <w:t>'All for one and one for all': Line manager’s might be the catalyst but ‘everyone’s responsible’ for employee engagement</w:t>
      </w:r>
      <w:r>
        <w:rPr>
          <w:rFonts w:asciiTheme="minorAscii"/>
          <w:sz w:val="24"/>
          <w:szCs w:val="24"/>
        </w:rPr>
        <w:t xml:space="preserve">. CIPD Applied Research Conference Paper. Reviewed in </w:t>
      </w:r>
      <w:r>
        <w:rPr>
          <w:rFonts w:asciiTheme="minorAscii"/>
          <w:sz w:val="24"/>
          <w:szCs w:val="24"/>
        </w:rPr>
        <w:fldChar w:fldCharType="begin"/>
      </w:r>
      <w:r>
        <w:rPr>
          <w:rFonts w:asciiTheme="minorAscii"/>
          <w:sz w:val="24"/>
          <w:szCs w:val="24"/>
        </w:rPr>
        <w:instrText xml:space="preserve"> HYPERLINK "https://www.cipd.co.uk/news-views/nutshell/issue-88/" \o "In a Nutshell - Issue 88" \t "/Users/russelltautting/Documents\\x/_blank" </w:instrText>
      </w:r>
      <w:r>
        <w:rPr>
          <w:rFonts w:asciiTheme="minorAscii"/>
          <w:sz w:val="24"/>
          <w:szCs w:val="24"/>
        </w:rPr>
        <w:fldChar w:fldCharType="separate"/>
      </w:r>
      <w:r>
        <w:rPr>
          <w:rStyle w:val="7"/>
          <w:rFonts w:asciiTheme="minorAscii"/>
          <w:i/>
          <w:sz w:val="24"/>
          <w:szCs w:val="24"/>
        </w:rPr>
        <w:t>In a Nutshell</w:t>
      </w:r>
      <w:r>
        <w:rPr>
          <w:rStyle w:val="7"/>
          <w:rFonts w:asciiTheme="minorAscii"/>
          <w:sz w:val="24"/>
          <w:szCs w:val="24"/>
        </w:rPr>
        <w:t>, issue 88</w:t>
      </w:r>
      <w:r>
        <w:rPr>
          <w:rFonts w:asciiTheme="minorAscii"/>
          <w:sz w:val="24"/>
          <w:szCs w:val="24"/>
        </w:rPr>
        <w:fldChar w:fldCharType="end"/>
      </w:r>
      <w:r>
        <w:rPr>
          <w:rFonts w:asciiTheme="minorAscii"/>
          <w:sz w:val="24"/>
          <w:szCs w:val="24"/>
        </w:rPr>
        <w:t>.</w:t>
      </w:r>
    </w:p>
    <w:p>
      <w:pPr>
        <w:pStyle w:val="5"/>
        <w:keepNext w:val="0"/>
        <w:keepLines w:val="0"/>
        <w:widowControl/>
        <w:suppressLineNumbers w:val="0"/>
        <w:jc w:val="both"/>
        <w:rPr>
          <w:rFonts w:asciiTheme="minorAscii"/>
          <w:sz w:val="24"/>
          <w:szCs w:val="24"/>
        </w:rPr>
      </w:pPr>
      <w:r>
        <w:rPr>
          <w:rFonts w:asciiTheme="minorAscii"/>
          <w:sz w:val="24"/>
          <w:szCs w:val="24"/>
        </w:rPr>
        <w:t xml:space="preserve">Visit the </w:t>
      </w:r>
      <w:r>
        <w:rPr>
          <w:rFonts w:asciiTheme="minorAscii"/>
          <w:sz w:val="24"/>
          <w:szCs w:val="24"/>
        </w:rPr>
        <w:fldChar w:fldCharType="begin"/>
      </w:r>
      <w:r>
        <w:rPr>
          <w:rFonts w:asciiTheme="minorAscii"/>
          <w:sz w:val="24"/>
          <w:szCs w:val="24"/>
        </w:rPr>
        <w:instrText xml:space="preserve"> HYPERLINK "https://www.cipd.co.uk/learn/bookshop" \o "CIPD and Kogan Page Bookshop" \t "/Users/russelltautting/Documents\\x/_blank" </w:instrText>
      </w:r>
      <w:r>
        <w:rPr>
          <w:rFonts w:asciiTheme="minorAscii"/>
          <w:sz w:val="24"/>
          <w:szCs w:val="24"/>
        </w:rPr>
        <w:fldChar w:fldCharType="separate"/>
      </w:r>
      <w:r>
        <w:rPr>
          <w:rStyle w:val="7"/>
          <w:rFonts w:asciiTheme="minorAscii"/>
          <w:sz w:val="24"/>
          <w:szCs w:val="24"/>
        </w:rPr>
        <w:t>CIPD and Kogan Page Bookshop</w:t>
      </w:r>
      <w:r>
        <w:rPr>
          <w:rFonts w:asciiTheme="minorAscii"/>
          <w:sz w:val="24"/>
          <w:szCs w:val="24"/>
        </w:rPr>
        <w:fldChar w:fldCharType="end"/>
      </w:r>
      <w:r>
        <w:rPr>
          <w:rFonts w:asciiTheme="minorAscii"/>
          <w:sz w:val="24"/>
          <w:szCs w:val="24"/>
        </w:rPr>
        <w:t> to see all our priced publications currently in print.</w:t>
      </w:r>
    </w:p>
    <w:p>
      <w:pPr>
        <w:pStyle w:val="5"/>
        <w:keepNext w:val="0"/>
        <w:keepLines w:val="0"/>
        <w:widowControl/>
        <w:suppressLineNumbers w:val="0"/>
        <w:jc w:val="both"/>
        <w:rPr>
          <w:rFonts w:asciiTheme="minorAscii"/>
          <w:sz w:val="24"/>
          <w:szCs w:val="24"/>
        </w:rPr>
      </w:pPr>
    </w:p>
    <w:p>
      <w:pPr>
        <w:pStyle w:val="4"/>
        <w:keepNext w:val="0"/>
        <w:keepLines w:val="0"/>
        <w:widowControl/>
        <w:suppressLineNumbers w:val="0"/>
        <w:jc w:val="both"/>
        <w:rPr>
          <w:rFonts w:asciiTheme="minorAscii"/>
          <w:sz w:val="24"/>
          <w:szCs w:val="24"/>
        </w:rPr>
      </w:pPr>
      <w:r>
        <w:rPr>
          <w:rFonts w:asciiTheme="minorAscii"/>
          <w:sz w:val="24"/>
          <w:szCs w:val="24"/>
        </w:rPr>
        <w:t>Journal articles</w:t>
      </w:r>
    </w:p>
    <w:p>
      <w:pPr>
        <w:pStyle w:val="5"/>
        <w:keepNext w:val="0"/>
        <w:keepLines w:val="0"/>
        <w:widowControl/>
        <w:suppressLineNumbers w:val="0"/>
        <w:jc w:val="both"/>
        <w:rPr>
          <w:rFonts w:asciiTheme="minorAscii"/>
          <w:sz w:val="24"/>
          <w:szCs w:val="24"/>
        </w:rPr>
      </w:pPr>
      <w:r>
        <w:rPr>
          <w:rFonts w:asciiTheme="minorAscii"/>
          <w:sz w:val="24"/>
          <w:szCs w:val="24"/>
        </w:rPr>
        <w:t xml:space="preserve">GYTON, G. (2017) </w:t>
      </w:r>
      <w:r>
        <w:rPr>
          <w:rFonts w:asciiTheme="minorAscii"/>
          <w:sz w:val="24"/>
          <w:szCs w:val="24"/>
        </w:rPr>
        <w:fldChar w:fldCharType="begin"/>
      </w:r>
      <w:r>
        <w:rPr>
          <w:rFonts w:asciiTheme="minorAscii"/>
          <w:sz w:val="24"/>
          <w:szCs w:val="24"/>
        </w:rPr>
        <w:instrText xml:space="preserve"> HYPERLINK "https://www.peoplemanagement.co.uk/experts/advice/beyond-rhetoric-employee-engagement" \o "People Management online article" \t "/Users/russelltautting/Documents\\x/_blank" </w:instrText>
      </w:r>
      <w:r>
        <w:rPr>
          <w:rFonts w:asciiTheme="minorAscii"/>
          <w:sz w:val="24"/>
          <w:szCs w:val="24"/>
        </w:rPr>
        <w:fldChar w:fldCharType="separate"/>
      </w:r>
      <w:r>
        <w:rPr>
          <w:rStyle w:val="7"/>
          <w:rFonts w:asciiTheme="minorAscii"/>
          <w:sz w:val="24"/>
          <w:szCs w:val="24"/>
        </w:rPr>
        <w:t>How to move beyond the rhetoric on employee engagement</w:t>
      </w:r>
      <w:r>
        <w:rPr>
          <w:rFonts w:asciiTheme="minorAscii"/>
          <w:sz w:val="24"/>
          <w:szCs w:val="24"/>
        </w:rPr>
        <w:fldChar w:fldCharType="end"/>
      </w:r>
      <w:r>
        <w:rPr>
          <w:rFonts w:asciiTheme="minorAscii"/>
          <w:sz w:val="24"/>
          <w:szCs w:val="24"/>
        </w:rPr>
        <w:t xml:space="preserve">. </w:t>
      </w:r>
      <w:r>
        <w:rPr>
          <w:rFonts w:asciiTheme="minorAscii"/>
          <w:i/>
          <w:sz w:val="24"/>
          <w:szCs w:val="24"/>
        </w:rPr>
        <w:t>People Management</w:t>
      </w:r>
      <w:r>
        <w:rPr>
          <w:rFonts w:asciiTheme="minorAscii"/>
          <w:sz w:val="24"/>
          <w:szCs w:val="24"/>
        </w:rPr>
        <w:t> (online). 31 January.</w:t>
      </w:r>
    </w:p>
    <w:p>
      <w:pPr>
        <w:pStyle w:val="5"/>
        <w:keepNext w:val="0"/>
        <w:keepLines w:val="0"/>
        <w:widowControl/>
        <w:suppressLineNumbers w:val="0"/>
        <w:jc w:val="both"/>
        <w:rPr>
          <w:rFonts w:asciiTheme="minorAscii"/>
          <w:sz w:val="24"/>
          <w:szCs w:val="24"/>
        </w:rPr>
      </w:pPr>
      <w:r>
        <w:rPr>
          <w:rFonts w:asciiTheme="minorAscii"/>
          <w:sz w:val="24"/>
          <w:szCs w:val="24"/>
        </w:rPr>
        <w:t xml:space="preserve">MEYER, J.P. (2017) Has engagement had its day: what’s next and does it matter? </w:t>
      </w:r>
      <w:r>
        <w:rPr>
          <w:rFonts w:asciiTheme="minorAscii"/>
          <w:i/>
          <w:sz w:val="24"/>
          <w:szCs w:val="24"/>
        </w:rPr>
        <w:t>Organizational Dynamics</w:t>
      </w:r>
      <w:r>
        <w:rPr>
          <w:rFonts w:asciiTheme="minorAscii"/>
          <w:sz w:val="24"/>
          <w:szCs w:val="24"/>
        </w:rPr>
        <w:t>. Vol 46, No 2, pp87-95.</w:t>
      </w:r>
    </w:p>
    <w:p>
      <w:pPr>
        <w:pStyle w:val="5"/>
        <w:keepNext w:val="0"/>
        <w:keepLines w:val="0"/>
        <w:widowControl/>
        <w:suppressLineNumbers w:val="0"/>
        <w:jc w:val="both"/>
        <w:rPr>
          <w:rFonts w:asciiTheme="minorAscii"/>
          <w:sz w:val="24"/>
          <w:szCs w:val="24"/>
        </w:rPr>
      </w:pPr>
      <w:r>
        <w:rPr>
          <w:rFonts w:asciiTheme="minorAscii"/>
          <w:sz w:val="24"/>
          <w:szCs w:val="24"/>
        </w:rPr>
        <w:t xml:space="preserve">SHARP, R. (2019) </w:t>
      </w:r>
      <w:r>
        <w:rPr>
          <w:rFonts w:asciiTheme="minorAscii"/>
          <w:sz w:val="24"/>
          <w:szCs w:val="24"/>
        </w:rPr>
        <w:fldChar w:fldCharType="begin"/>
      </w:r>
      <w:r>
        <w:rPr>
          <w:rFonts w:asciiTheme="minorAscii"/>
          <w:sz w:val="24"/>
          <w:szCs w:val="24"/>
        </w:rPr>
        <w:instrText xml:space="preserve"> HYPERLINK "https://www.hrmagazine.co.uk/article-details/is-engagement-fact-or-fiction" \o "journal article - Is engagement fact or fiction?" \t "/Users/russelltautting/Documents\\x/_blank" </w:instrText>
      </w:r>
      <w:r>
        <w:rPr>
          <w:rFonts w:asciiTheme="minorAscii"/>
          <w:sz w:val="24"/>
          <w:szCs w:val="24"/>
        </w:rPr>
        <w:fldChar w:fldCharType="separate"/>
      </w:r>
      <w:r>
        <w:rPr>
          <w:rStyle w:val="7"/>
          <w:rFonts w:asciiTheme="minorAscii"/>
          <w:sz w:val="24"/>
          <w:szCs w:val="24"/>
        </w:rPr>
        <w:t>Is engagement fact or fiction?</w:t>
      </w:r>
      <w:r>
        <w:rPr>
          <w:rFonts w:asciiTheme="minorAscii"/>
          <w:sz w:val="24"/>
          <w:szCs w:val="24"/>
        </w:rPr>
        <w:fldChar w:fldCharType="end"/>
      </w:r>
      <w:r>
        <w:rPr>
          <w:rFonts w:asciiTheme="minorAscii"/>
          <w:i/>
          <w:sz w:val="24"/>
          <w:szCs w:val="24"/>
        </w:rPr>
        <w:t>Human Resources (HR)</w:t>
      </w:r>
      <w:r>
        <w:rPr>
          <w:rFonts w:asciiTheme="minorAscii"/>
          <w:sz w:val="24"/>
          <w:szCs w:val="24"/>
        </w:rPr>
        <w:t>. June. pp20-25.</w:t>
      </w:r>
    </w:p>
    <w:p>
      <w:pPr>
        <w:pStyle w:val="5"/>
        <w:keepNext w:val="0"/>
        <w:keepLines w:val="0"/>
        <w:widowControl/>
        <w:suppressLineNumbers w:val="0"/>
        <w:jc w:val="both"/>
        <w:rPr>
          <w:rFonts w:asciiTheme="minorAscii"/>
          <w:sz w:val="24"/>
          <w:szCs w:val="24"/>
        </w:rPr>
      </w:pPr>
      <w:r>
        <w:rPr>
          <w:rFonts w:asciiTheme="minorAscii"/>
          <w:sz w:val="24"/>
          <w:szCs w:val="24"/>
        </w:rPr>
        <w:t xml:space="preserve">CIPD members can use our </w:t>
      </w:r>
      <w:r>
        <w:rPr>
          <w:rFonts w:asciiTheme="minorAscii"/>
          <w:sz w:val="24"/>
          <w:szCs w:val="24"/>
        </w:rPr>
        <w:fldChar w:fldCharType="begin"/>
      </w:r>
      <w:r>
        <w:rPr>
          <w:rFonts w:asciiTheme="minorAscii"/>
          <w:sz w:val="24"/>
          <w:szCs w:val="24"/>
        </w:rPr>
        <w:instrText xml:space="preserve"> HYPERLINK "https://www.cipd.co.uk/knowledge/journals/" \o "HR, business and L&amp;D journals" \t "/Users/russelltautting/Documents\\x/_blank" </w:instrText>
      </w:r>
      <w:r>
        <w:rPr>
          <w:rFonts w:asciiTheme="minorAscii"/>
          <w:sz w:val="24"/>
          <w:szCs w:val="24"/>
        </w:rPr>
        <w:fldChar w:fldCharType="separate"/>
      </w:r>
      <w:r>
        <w:rPr>
          <w:rStyle w:val="7"/>
          <w:rFonts w:asciiTheme="minorAscii"/>
          <w:sz w:val="24"/>
          <w:szCs w:val="24"/>
        </w:rPr>
        <w:t>online journals</w:t>
      </w:r>
      <w:r>
        <w:rPr>
          <w:rFonts w:asciiTheme="minorAscii"/>
          <w:sz w:val="24"/>
          <w:szCs w:val="24"/>
        </w:rPr>
        <w:fldChar w:fldCharType="end"/>
      </w:r>
      <w:r>
        <w:rPr>
          <w:rFonts w:asciiTheme="minorAscii"/>
          <w:sz w:val="24"/>
          <w:szCs w:val="24"/>
        </w:rPr>
        <w:t xml:space="preserve"> to find articles from over 300 journal titles relevant to HR.</w:t>
      </w:r>
    </w:p>
    <w:p>
      <w:pPr>
        <w:pStyle w:val="5"/>
        <w:keepNext w:val="0"/>
        <w:keepLines w:val="0"/>
        <w:widowControl/>
        <w:suppressLineNumbers w:val="0"/>
        <w:jc w:val="both"/>
        <w:rPr>
          <w:rFonts w:asciiTheme="minorAscii"/>
          <w:sz w:val="24"/>
          <w:szCs w:val="24"/>
        </w:rPr>
      </w:pPr>
      <w:r>
        <w:rPr>
          <w:rFonts w:asciiTheme="minorAscii"/>
          <w:sz w:val="24"/>
          <w:szCs w:val="24"/>
        </w:rPr>
        <w:t xml:space="preserve">Members and </w:t>
      </w:r>
      <w:r>
        <w:rPr>
          <w:rFonts w:asciiTheme="minorAscii"/>
          <w:i/>
          <w:sz w:val="24"/>
          <w:szCs w:val="24"/>
        </w:rPr>
        <w:t>People Management</w:t>
      </w:r>
      <w:r>
        <w:rPr>
          <w:rFonts w:asciiTheme="minorAscii"/>
          <w:sz w:val="24"/>
          <w:szCs w:val="24"/>
        </w:rPr>
        <w:t xml:space="preserve"> subscribers can see articles on the </w:t>
      </w:r>
      <w:r>
        <w:rPr>
          <w:rFonts w:asciiTheme="minorAscii"/>
          <w:sz w:val="24"/>
          <w:szCs w:val="24"/>
        </w:rPr>
        <w:fldChar w:fldCharType="begin"/>
      </w:r>
      <w:r>
        <w:rPr>
          <w:rFonts w:asciiTheme="minorAscii"/>
          <w:sz w:val="24"/>
          <w:szCs w:val="24"/>
        </w:rPr>
        <w:instrText xml:space="preserve"> HYPERLINK "http://www.cipd.co.uk/pm/" \o "People Management website" \t "/Users/russelltautting/Documents\\x/_blank" </w:instrText>
      </w:r>
      <w:r>
        <w:rPr>
          <w:rFonts w:asciiTheme="minorAscii"/>
          <w:sz w:val="24"/>
          <w:szCs w:val="24"/>
        </w:rPr>
        <w:fldChar w:fldCharType="separate"/>
      </w:r>
      <w:r>
        <w:rPr>
          <w:rStyle w:val="7"/>
          <w:rFonts w:asciiTheme="minorAscii"/>
          <w:i/>
          <w:sz w:val="24"/>
          <w:szCs w:val="24"/>
        </w:rPr>
        <w:t>People Management</w:t>
      </w:r>
      <w:r>
        <w:rPr>
          <w:rFonts w:asciiTheme="minorAscii"/>
          <w:sz w:val="24"/>
          <w:szCs w:val="24"/>
        </w:rPr>
        <w:fldChar w:fldCharType="end"/>
      </w:r>
      <w:r>
        <w:rPr>
          <w:rFonts w:asciiTheme="minorAscii"/>
          <w:sz w:val="24"/>
          <w:szCs w:val="24"/>
        </w:rPr>
        <w:t xml:space="preserve"> website.</w:t>
      </w:r>
    </w:p>
    <w:p>
      <w:pPr>
        <w:pStyle w:val="5"/>
        <w:keepNext w:val="0"/>
        <w:keepLines w:val="0"/>
        <w:widowControl/>
        <w:suppressLineNumbers w:val="0"/>
        <w:jc w:val="both"/>
        <w:rPr>
          <w:rFonts w:asciiTheme="minorAscii"/>
          <w:sz w:val="24"/>
          <w:szCs w:val="24"/>
        </w:rPr>
      </w:pPr>
    </w:p>
    <w:p>
      <w:pPr>
        <w:pStyle w:val="5"/>
        <w:keepNext w:val="0"/>
        <w:keepLines w:val="0"/>
        <w:widowControl/>
        <w:suppressLineNumbers w:val="0"/>
        <w:jc w:val="both"/>
        <w:rPr>
          <w:rFonts w:asciiTheme="minorAscii"/>
          <w:sz w:val="24"/>
          <w:szCs w:val="24"/>
        </w:rPr>
      </w:pPr>
      <w:r>
        <w:rPr>
          <w:rFonts w:hint="default" w:hAnsi="sans-serif" w:eastAsia="sans-serif" w:cs="sans-serif" w:asciiTheme="minorAscii"/>
          <w:sz w:val="24"/>
          <w:szCs w:val="24"/>
        </w:rPr>
        <w:t>ADAM, S., and PHILLIPS, D. (2013) An ex-ante analysis of the effects of the UK Government’s welfare reforms on labour supply in Wales(No. R75). IFS Reports, Institute for Fiscal Studies.</w:t>
      </w:r>
    </w:p>
    <w:p>
      <w:pPr>
        <w:pStyle w:val="5"/>
        <w:keepNext w:val="0"/>
        <w:keepLines w:val="0"/>
        <w:widowControl/>
        <w:suppressLineNumbers w:val="0"/>
        <w:jc w:val="both"/>
        <w:rPr>
          <w:rFonts w:asciiTheme="minorAscii"/>
          <w:sz w:val="24"/>
          <w:szCs w:val="24"/>
        </w:rPr>
      </w:pPr>
      <w:r>
        <w:rPr>
          <w:rFonts w:hint="default" w:hAnsi="sans-serif" w:eastAsia="sans-serif" w:cs="sans-serif" w:asciiTheme="minorAscii"/>
          <w:sz w:val="24"/>
          <w:szCs w:val="24"/>
        </w:rPr>
        <w:t>ADAMS, R. (2009) Governance and the financial crisis. Unpublished working paper. University of Queensland.</w:t>
      </w:r>
    </w:p>
    <w:p>
      <w:pPr>
        <w:pStyle w:val="5"/>
        <w:keepNext w:val="0"/>
        <w:keepLines w:val="0"/>
        <w:widowControl/>
        <w:suppressLineNumbers w:val="0"/>
        <w:jc w:val="both"/>
        <w:rPr>
          <w:rFonts w:asciiTheme="minorAscii"/>
          <w:sz w:val="24"/>
          <w:szCs w:val="24"/>
        </w:rPr>
      </w:pPr>
      <w:r>
        <w:rPr>
          <w:rFonts w:hint="default" w:hAnsi="sans-serif" w:eastAsia="sans-serif" w:cs="sans-serif" w:asciiTheme="minorAscii"/>
          <w:sz w:val="24"/>
          <w:szCs w:val="24"/>
        </w:rPr>
        <w:t>AGARWAL, S., DRISCOLL, J.C., GABAIX, X. and LAIBSON, D. (2009) The age of reason: financial decisions over the life cycle and implications for regulation. Brookings Papers on Economic Activity. 51–101.</w:t>
      </w:r>
    </w:p>
    <w:p>
      <w:pPr>
        <w:pStyle w:val="5"/>
        <w:keepNext w:val="0"/>
        <w:keepLines w:val="0"/>
        <w:widowControl/>
        <w:suppressLineNumbers w:val="0"/>
        <w:jc w:val="both"/>
        <w:rPr>
          <w:rFonts w:asciiTheme="minorAscii"/>
          <w:sz w:val="24"/>
          <w:szCs w:val="24"/>
        </w:rPr>
      </w:pPr>
      <w:r>
        <w:rPr>
          <w:rFonts w:hint="default" w:hAnsi="sans-serif" w:eastAsia="sans-serif" w:cs="sans-serif" w:asciiTheme="minorAscii"/>
          <w:sz w:val="24"/>
          <w:szCs w:val="24"/>
        </w:rPr>
        <w:t>ALFES, K., TRUSS, K., SOANE, E.C., REES, C. and GATENBY, M. (2010) Creating an engaged workforce. London: Chartered Institute of Personnel and Development.</w:t>
      </w:r>
    </w:p>
    <w:p>
      <w:pPr>
        <w:jc w:val="both"/>
        <w:rPr>
          <w:rFonts w:hint="eastAsia" w:hAnsi="Arial Unicode MS" w:eastAsia="Arial Unicode MS" w:cs="Arial Unicode MS" w:asciiTheme="minorAscii"/>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Songti SC"/>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Heiti SC"/>
    <w:panose1 w:val="02010600030101010101"/>
    <w:charset w:val="00"/>
    <w:family w:val="auto"/>
    <w:pitch w:val="default"/>
    <w:sig w:usb0="00000001" w:usb1="080E0000" w:usb2="00000010" w:usb3="00000000" w:csb0="00040000" w:csb1="00000000"/>
  </w:font>
  <w:font w:name="Courier New">
    <w:panose1 w:val="02070309020205020404"/>
    <w:charset w:val="00"/>
    <w:family w:val="modern"/>
    <w:pitch w:val="default"/>
    <w:sig w:usb0="E0002AFF" w:usb1="C0007843" w:usb2="00000009" w:usb3="00000000" w:csb0="400001FF" w:csb1="FFFF0000"/>
  </w:font>
  <w:font w:name="Cambria">
    <w:altName w:val="PingFang SC"/>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Songti SC">
    <w:panose1 w:val="02010800040101010101"/>
    <w:charset w:val="86"/>
    <w:family w:val="auto"/>
    <w:pitch w:val="default"/>
    <w:sig w:usb0="00000001" w:usb1="080F0000" w:usb2="00000000" w:usb3="00000000" w:csb0="00040000" w:csb1="00000000"/>
  </w:font>
  <w:font w:name="Heiti SC">
    <w:panose1 w:val="02000000000000000000"/>
    <w:charset w:val="86"/>
    <w:family w:val="auto"/>
    <w:pitch w:val="default"/>
    <w:sig w:usb0="8000002F" w:usb1="0800004A" w:usb2="00000000" w:usb3="00000000" w:csb0="203E0000" w:csb1="00000000"/>
  </w:font>
  <w:font w:name="PingFang SC">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Songti SC"/>
    <w:panose1 w:val="00000000000000000000"/>
    <w:charset w:val="86"/>
    <w:family w:val="auto"/>
    <w:pitch w:val="default"/>
    <w:sig w:usb0="00000000" w:usb1="00000000" w:usb2="00000000" w:usb3="00000000" w:csb0="00000000" w:csb1="00000000"/>
  </w:font>
  <w:font w:name="SimSun">
    <w:altName w:val="Songti SC"/>
    <w:panose1 w:val="02010600030101010101"/>
    <w:charset w:val="86"/>
    <w:family w:val="auto"/>
    <w:pitch w:val="default"/>
    <w:sig w:usb0="00000000" w:usb1="00000000" w:usb2="00000010" w:usb3="00000000" w:csb0="00040001" w:csb1="00000000"/>
  </w:font>
  <w:font w:name="helvetica">
    <w:altName w:val="PingFang SC"/>
    <w:panose1 w:val="00000000000000000000"/>
    <w:charset w:val="00"/>
    <w:family w:val="auto"/>
    <w:pitch w:val="default"/>
    <w:sig w:usb0="00000000" w:usb1="00000000" w:usb2="00000000" w:usb3="00000000" w:csb0="00000000" w:csb1="00000000"/>
  </w:font>
  <w:font w:name="pingfang sc semibold">
    <w:altName w:val="PingFang SC"/>
    <w:panose1 w:val="00000000000000000000"/>
    <w:charset w:val="00"/>
    <w:family w:val="auto"/>
    <w:pitch w:val="default"/>
    <w:sig w:usb0="00000000" w:usb1="00000000" w:usb2="00000000" w:usb3="00000000" w:csb0="00000000" w:csb1="00000000"/>
  </w:font>
  <w:font w:name="sans-serif">
    <w:altName w:val="PingFang SC"/>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Kingsoft Extra">
    <w:panose1 w:val="05050102010205020202"/>
    <w:charset w:val="00"/>
    <w:family w:val="auto"/>
    <w:pitch w:val="default"/>
    <w:sig w:usb0="00000000" w:usb1="10000000" w:usb2="00000000" w:usb3="00000000" w:csb0="00000001" w:csb1="00000000"/>
  </w:font>
  <w:font w:name="Arial Unicode MS">
    <w:panose1 w:val="020B0604020202020204"/>
    <w:charset w:val="86"/>
    <w:family w:val="auto"/>
    <w:pitch w:val="default"/>
    <w:sig w:usb0="FFFFFFFF" w:usb1="E9FFFFFF" w:usb2="0000003F" w:usb3="00000000" w:csb0="603F01FF" w:csb1="FFFF0000"/>
  </w:font>
  <w:font w:name="SimSun">
    <w:altName w:val="Songti SC"/>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293D3A"/>
    <w:multiLevelType w:val="singleLevel"/>
    <w:tmpl w:val="5F293D3A"/>
    <w:lvl w:ilvl="0" w:tentative="0">
      <w:start w:val="1"/>
      <w:numFmt w:val="decimal"/>
      <w:suff w:val="nothing"/>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EDF4030"/>
    <w:rsid w:val="1EBF3AE7"/>
    <w:rsid w:val="1FD2DD90"/>
    <w:rsid w:val="3CBF8238"/>
    <w:rsid w:val="3FE516E5"/>
    <w:rsid w:val="3FEA5C8D"/>
    <w:rsid w:val="5FD1EC76"/>
    <w:rsid w:val="66FC8061"/>
    <w:rsid w:val="6FAA42CA"/>
    <w:rsid w:val="6FFAB588"/>
    <w:rsid w:val="77FFFA89"/>
    <w:rsid w:val="7EDF4030"/>
    <w:rsid w:val="DBFF9273"/>
    <w:rsid w:val="DDF66C4F"/>
    <w:rsid w:val="DEDF9A47"/>
    <w:rsid w:val="DFEFBF0F"/>
    <w:rsid w:val="E77A5C30"/>
    <w:rsid w:val="F7F2BDE0"/>
    <w:rsid w:val="F9D771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6">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7">
    <w:name w:val="Hyperlink"/>
    <w:basedOn w:val="6"/>
    <w:qFormat/>
    <w:uiPriority w:val="0"/>
    <w:rPr>
      <w:color w:val="0000FF"/>
      <w:u w:val="single"/>
    </w:rPr>
  </w:style>
  <w:style w:type="character" w:styleId="8">
    <w:name w:val="Strong"/>
    <w:basedOn w:val="6"/>
    <w:qFormat/>
    <w:uiPriority w:val="0"/>
    <w:rPr>
      <w:b/>
      <w:bCs/>
    </w:rPr>
  </w:style>
  <w:style w:type="paragraph" w:customStyle="1" w:styleId="10">
    <w:name w:val="p1"/>
    <w:qFormat/>
    <w:uiPriority w:val="0"/>
    <w:pPr>
      <w:spacing w:before="0" w:beforeAutospacing="0" w:after="0" w:afterAutospacing="0"/>
      <w:ind w:left="210" w:right="0"/>
      <w:jc w:val="center"/>
    </w:pPr>
    <w:rPr>
      <w:rFonts w:ascii="pingfang sc semibold" w:hAnsi="pingfang sc semibold" w:eastAsia="pingfang sc semibold" w:cs="pingfang sc semibold"/>
      <w:color w:val="000000"/>
      <w:kern w:val="0"/>
      <w:sz w:val="46"/>
      <w:szCs w:val="46"/>
      <w:lang w:val="en-US" w:eastAsia="zh-CN" w:bidi="ar"/>
    </w:rPr>
  </w:style>
  <w:style w:type="character" w:customStyle="1" w:styleId="11">
    <w:name w:val="s1"/>
    <w:qFormat/>
    <w:uiPriority w:val="0"/>
    <w:rPr>
      <w:rFonts w:ascii="PingFang SC" w:hAnsi="PingFang SC" w:eastAsia="PingFang SC" w:cs="PingFang SC"/>
      <w:sz w:val="46"/>
      <w:szCs w:val="46"/>
    </w:rPr>
  </w:style>
  <w:style w:type="paragraph" w:customStyle="1" w:styleId="12">
    <w:name w:val="p2"/>
    <w:qFormat/>
    <w:uiPriority w:val="0"/>
    <w:pPr>
      <w:spacing w:before="0" w:beforeAutospacing="0" w:after="0" w:afterAutospacing="0"/>
      <w:ind w:left="210" w:right="0"/>
      <w:jc w:val="center"/>
    </w:pPr>
    <w:rPr>
      <w:rFonts w:hint="eastAsia" w:ascii="PingFang SC" w:hAnsi="PingFang SC" w:eastAsia="PingFang SC" w:cs="PingFang SC"/>
      <w:color w:val="000000"/>
      <w:kern w:val="0"/>
      <w:sz w:val="46"/>
      <w:szCs w:val="46"/>
      <w:lang w:val="en-US" w:eastAsia="zh-CN" w:bidi="ar"/>
    </w:rPr>
  </w:style>
  <w:style w:type="character" w:customStyle="1" w:styleId="13">
    <w:name w:val="s2"/>
    <w:uiPriority w:val="0"/>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Office_2.4.0.4003_F1E327BC-269C-435d-A152-05C5408002CA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2020-08-04T15:54:00Z</dcterms:created>
  <dc:creator>russelltautting</dc:creator>
  <cp:lastModifiedBy>russelltautting</cp:lastModifiedBy>
  <dcterms:modified xsi:type="dcterms:W3CDTF">2020-08-24T11:21:25Z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1033-2.4.0.4003</vt:lpwstr>
  </property>
</Properties>
</file>