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81B6"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Style w:val="Strong"/>
          <w:rFonts w:ascii="Arial" w:hAnsi="Arial" w:cs="Arial"/>
          <w:color w:val="0E101A"/>
          <w:u w:val="single"/>
        </w:rPr>
        <w:t>Section 1</w:t>
      </w:r>
    </w:p>
    <w:p w14:paraId="085D140A"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75D66CD7" w14:textId="2E2864A9"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Inclusive leadership is a form of leadership that seeks to ensure that all individuals, regardless of their background, are treated with respect and given equal opportunities (White &amp; McLeod, 2016). In early years settings, inclusive leadership plays a critical role in fostering positive relationships among children from diverse backgrounds and enhancing learning outcomes for all children. This essay will explore the importance, implementation, advantages, and disadvantages associated with inclusive leadership within early years settings.</w:t>
      </w:r>
    </w:p>
    <w:p w14:paraId="3E1A7090"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175D12EA" w14:textId="5EAA7EE9"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Inclusive leadership can be defined as creating an environment where everyone feels valued, respected, and supported in their learning journey while promoting diversity; inclusive leaders not only acknowledge differences between individuals but also celebrate them (Bell &amp; Gilbertson, 2017). Such leaders recognize individual needs and tailor teaching methods accordingly to ensure every child has access to high-quality education so they can reach their full potential (Campbell et al., 2016).</w:t>
      </w:r>
    </w:p>
    <w:p w14:paraId="68AB633D" w14:textId="2375990F"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It is important to have inclusive leadership in early years provision because it sets a foundation for lifelong learning by acknowledging that every child is unique with different backgrounds, skills, and talents (Lyons-Dunlop et al., 2018). When teachers adopt an approach tailored towards inclusivity, it fosters a sense of belonging among children and improves their self-esteem and confidence, which has a positive impact on their academic achievements (Bell &amp; Gilbertson, 2017).</w:t>
      </w:r>
    </w:p>
    <w:p w14:paraId="120AF8E6" w14:textId="452D15C2"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Inclusive leadership has several benefits in early years settings. First, it promotes social awareness by fostering empathy toward others' differences (</w:t>
      </w:r>
      <w:proofErr w:type="spellStart"/>
      <w:r w:rsidRPr="00857173">
        <w:rPr>
          <w:rFonts w:ascii="Arial" w:hAnsi="Arial" w:cs="Arial"/>
          <w:color w:val="0E101A"/>
        </w:rPr>
        <w:t>Marton</w:t>
      </w:r>
      <w:proofErr w:type="spellEnd"/>
      <w:r w:rsidRPr="00857173">
        <w:rPr>
          <w:rFonts w:ascii="Arial" w:hAnsi="Arial" w:cs="Arial"/>
          <w:color w:val="0E101A"/>
        </w:rPr>
        <w:t xml:space="preserve"> et al.,</w:t>
      </w:r>
      <w:r w:rsidR="00AC5CBD">
        <w:rPr>
          <w:rFonts w:ascii="Arial" w:hAnsi="Arial" w:cs="Arial"/>
          <w:color w:val="0E101A"/>
        </w:rPr>
        <w:t xml:space="preserve"> 2022</w:t>
      </w:r>
      <w:r w:rsidRPr="00857173">
        <w:rPr>
          <w:rFonts w:ascii="Arial" w:hAnsi="Arial" w:cs="Arial"/>
          <w:color w:val="0E101A"/>
        </w:rPr>
        <w:t>). Secondly, it enhances learning outcomes by ensuring that all children have access to high-quality education despite their backgrounds or abilities (Kent &amp; McDonald</w:t>
      </w:r>
      <w:r w:rsidR="00AC5CBD">
        <w:rPr>
          <w:rFonts w:ascii="Arial" w:hAnsi="Arial" w:cs="Arial"/>
          <w:color w:val="0E101A"/>
        </w:rPr>
        <w:t>, 2020</w:t>
      </w:r>
      <w:r w:rsidRPr="00857173">
        <w:rPr>
          <w:rFonts w:ascii="Arial" w:hAnsi="Arial" w:cs="Arial"/>
          <w:color w:val="0E101A"/>
        </w:rPr>
        <w:t>). The approach also promotes cognitive development through engaging with diverse perspectives.</w:t>
      </w:r>
    </w:p>
    <w:p w14:paraId="49FB4BF2"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489D6C30" w14:textId="4C0A1C82"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However, implementing inclusive leadership can be challenging due to its complex nature (</w:t>
      </w:r>
      <w:proofErr w:type="spellStart"/>
      <w:r w:rsidRPr="00857173">
        <w:rPr>
          <w:rFonts w:ascii="Arial" w:hAnsi="Arial" w:cs="Arial"/>
          <w:color w:val="0E101A"/>
        </w:rPr>
        <w:t>Venketsamy</w:t>
      </w:r>
      <w:proofErr w:type="spellEnd"/>
      <w:r w:rsidRPr="00857173">
        <w:rPr>
          <w:rFonts w:ascii="Arial" w:hAnsi="Arial" w:cs="Arial"/>
          <w:color w:val="0E101A"/>
        </w:rPr>
        <w:t xml:space="preserve"> et al., </w:t>
      </w:r>
      <w:r w:rsidR="00FC54EB">
        <w:rPr>
          <w:rFonts w:ascii="Arial" w:hAnsi="Arial" w:cs="Arial"/>
          <w:color w:val="0E101A"/>
        </w:rPr>
        <w:t>2021</w:t>
      </w:r>
      <w:r w:rsidRPr="00857173">
        <w:rPr>
          <w:rFonts w:ascii="Arial" w:hAnsi="Arial" w:cs="Arial"/>
          <w:color w:val="0E101A"/>
        </w:rPr>
        <w:t xml:space="preserve">). One of the challenges includes identifying biases </w:t>
      </w:r>
      <w:r w:rsidRPr="00857173">
        <w:rPr>
          <w:rFonts w:ascii="Arial" w:hAnsi="Arial" w:cs="Arial"/>
          <w:color w:val="0E101A"/>
        </w:rPr>
        <w:lastRenderedPageBreak/>
        <w:t xml:space="preserve">among staff members toward </w:t>
      </w:r>
      <w:proofErr w:type="gramStart"/>
      <w:r w:rsidRPr="00857173">
        <w:rPr>
          <w:rFonts w:ascii="Arial" w:hAnsi="Arial" w:cs="Arial"/>
          <w:color w:val="0E101A"/>
        </w:rPr>
        <w:t>particular groups</w:t>
      </w:r>
      <w:proofErr w:type="gramEnd"/>
      <w:r w:rsidRPr="00857173">
        <w:rPr>
          <w:rFonts w:ascii="Arial" w:hAnsi="Arial" w:cs="Arial"/>
          <w:color w:val="0E101A"/>
        </w:rPr>
        <w:t xml:space="preserve"> such as those with disabilities or from different cultural backgrounds (</w:t>
      </w:r>
      <w:proofErr w:type="spellStart"/>
      <w:r w:rsidRPr="00857173">
        <w:rPr>
          <w:rFonts w:ascii="Arial" w:hAnsi="Arial" w:cs="Arial"/>
          <w:color w:val="0E101A"/>
        </w:rPr>
        <w:t>Marton</w:t>
      </w:r>
      <w:proofErr w:type="spellEnd"/>
      <w:r w:rsidRPr="00857173">
        <w:rPr>
          <w:rFonts w:ascii="Arial" w:hAnsi="Arial" w:cs="Arial"/>
          <w:color w:val="0E101A"/>
        </w:rPr>
        <w:t xml:space="preserve"> et al.,</w:t>
      </w:r>
      <w:r w:rsidR="00AC5CBD">
        <w:rPr>
          <w:rFonts w:ascii="Arial" w:hAnsi="Arial" w:cs="Arial"/>
          <w:color w:val="0E101A"/>
        </w:rPr>
        <w:t xml:space="preserve"> 2022</w:t>
      </w:r>
      <w:r w:rsidRPr="00857173">
        <w:rPr>
          <w:rFonts w:ascii="Arial" w:hAnsi="Arial" w:cs="Arial"/>
          <w:color w:val="0E101A"/>
        </w:rPr>
        <w:t>). </w:t>
      </w:r>
    </w:p>
    <w:p w14:paraId="5A4C4F25"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This section of the essay will look at a seven-year-old girl named Ellie, who has recently moved in with her father after he has overcome addiction and shown in </w:t>
      </w:r>
      <w:proofErr w:type="gramStart"/>
      <w:r w:rsidRPr="00857173">
        <w:rPr>
          <w:rFonts w:ascii="Arial" w:hAnsi="Arial" w:cs="Arial"/>
          <w:color w:val="0E101A"/>
        </w:rPr>
        <w:t>assessments</w:t>
      </w:r>
      <w:proofErr w:type="gramEnd"/>
      <w:r w:rsidRPr="00857173">
        <w:rPr>
          <w:rFonts w:ascii="Arial" w:hAnsi="Arial" w:cs="Arial"/>
          <w:color w:val="0E101A"/>
        </w:rPr>
        <w:t xml:space="preserve"> he is now able to care for Ellie as a single parent. Ellie has always completed academic work to a high standard for her age and is very outgoing within the school, but recently Ellie has been getting upset as she has not been getting her usual full marks in her spelling, not bringing her books in to change, etc. Elli gets very upset and states that her dad did not know about the days in which she has to complete work. The father keeps to himself at school drop-off and pick-up times and does not engage with staff or other parents. </w:t>
      </w:r>
    </w:p>
    <w:p w14:paraId="3C8512E3"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Working together will Ellie and her father is an important role of any practitioner within the setting. Arranging meetings where you can speak to both Ellie and her father separately can then help you support them both by coming together and discussing the </w:t>
      </w:r>
      <w:proofErr w:type="gramStart"/>
      <w:r w:rsidRPr="00857173">
        <w:rPr>
          <w:rFonts w:ascii="Arial" w:hAnsi="Arial" w:cs="Arial"/>
          <w:color w:val="0E101A"/>
        </w:rPr>
        <w:t>support</w:t>
      </w:r>
      <w:proofErr w:type="gramEnd"/>
      <w:r w:rsidRPr="00857173">
        <w:rPr>
          <w:rFonts w:ascii="Arial" w:hAnsi="Arial" w:cs="Arial"/>
          <w:color w:val="0E101A"/>
        </w:rPr>
        <w:t xml:space="preserve"> they both need and how you will help them. </w:t>
      </w:r>
    </w:p>
    <w:p w14:paraId="58325D23"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Inclusive leadership would implement this by making sure they are actively listening to both Ellie and her father. Active listening is a critical skill for supporting parents and children in the early years. By listening actively, educators can better understand the needs and concerns of parents and children, and work collaboratively to develop solutions that meet their needs. This can lead to improved communication, increased engagement, and enhanced problem-solving skills.</w:t>
      </w:r>
    </w:p>
    <w:p w14:paraId="1F2BFD48"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w:t>
      </w:r>
    </w:p>
    <w:p w14:paraId="75A06667" w14:textId="6DA88A3E"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Research has shown that active listening can have a positive impact on parent-teacher relationships. A study published in the Journal of Educational and Developmental Psychology found that parents who perceived their child's teacher as a good listener reported higher levels of satisfaction with their child's education (Klassen &amp; Chiu, 2010). Another study published in the Journal of Early Childhood Research found that active listening was positively related to parent engagement in their child's education (Barnes et al., 2019).</w:t>
      </w:r>
    </w:p>
    <w:p w14:paraId="258586EA"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w:t>
      </w:r>
    </w:p>
    <w:p w14:paraId="0E957E7A"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lastRenderedPageBreak/>
        <w:t> In addition to its benefits for parent-teacher relationships, active listening can also promote positive child development. When educators listen actively to children, they can better understand their needs and interests, and tailor their instruction to meet their individual needs. This can lead to improved learning outcomes and increased engagement in the learning process.</w:t>
      </w:r>
    </w:p>
    <w:p w14:paraId="61372ABD" w14:textId="00393523"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However, </w:t>
      </w:r>
      <w:r w:rsidR="00EC3AC9">
        <w:rPr>
          <w:rFonts w:ascii="Arial" w:hAnsi="Arial" w:cs="Arial"/>
          <w:color w:val="0E101A"/>
        </w:rPr>
        <w:t>some practitioners may be judgemental over the situation</w:t>
      </w:r>
      <w:r w:rsidRPr="00857173">
        <w:rPr>
          <w:rFonts w:ascii="Arial" w:hAnsi="Arial" w:cs="Arial"/>
          <w:color w:val="0E101A"/>
        </w:rPr>
        <w:t>.</w:t>
      </w:r>
      <w:r w:rsidR="00EC3AC9">
        <w:rPr>
          <w:rFonts w:ascii="Arial" w:hAnsi="Arial" w:cs="Arial"/>
          <w:color w:val="0E101A"/>
        </w:rPr>
        <w:t xml:space="preserve"> </w:t>
      </w:r>
      <w:r w:rsidRPr="00857173">
        <w:rPr>
          <w:rFonts w:ascii="Arial" w:hAnsi="Arial" w:cs="Arial"/>
          <w:color w:val="0E101A"/>
        </w:rPr>
        <w:t xml:space="preserve">Social Care Wales (2020) asserts that practitioners and services must recognize that most parents want what is best for their children and should be believed. However, Cottle and Alexander (2014) claim that because of the parents' lifestyles or lower socioeconomic status, practitioners may judge parents and label their families as problem families. If parents choose not to interact with professionals, it may be assumed that they are careless and inadequate (Epstein, 2018). However, as stated by Ozturk (2011), communication between parents and professionals is essential because it enables the gathering of knowledge and information about the child, enabling appropriate support for the child. </w:t>
      </w:r>
      <w:proofErr w:type="gramStart"/>
      <w:r w:rsidRPr="00857173">
        <w:rPr>
          <w:rFonts w:ascii="Arial" w:hAnsi="Arial" w:cs="Arial"/>
          <w:color w:val="0E101A"/>
        </w:rPr>
        <w:t>Similarly</w:t>
      </w:r>
      <w:proofErr w:type="gramEnd"/>
      <w:r w:rsidRPr="00857173">
        <w:rPr>
          <w:rFonts w:ascii="Arial" w:hAnsi="Arial" w:cs="Arial"/>
          <w:color w:val="0E101A"/>
        </w:rPr>
        <w:t xml:space="preserve"> to this, the Welsh Government (2017) notes that communication with parents gives practitioners a holistic view of the child, enabling them to determine the child's developmental stage at the time. As a result, communication is crucial for ensuring that children receive the right support and opportunities in school.</w:t>
      </w:r>
    </w:p>
    <w:p w14:paraId="1C6F7878"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29FBD2D5" w14:textId="2DB8280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As well as practitioners, there will also be a variety of multi-agency workers involved to support Ellie's wellness as well as the father's recovery and parenting due to the father's history of substance abuse (NSPCC, 2019). There will be a team of social workers and drug misuse specialists who have worked well with Ellie and her father to support them through this difficult situation (</w:t>
      </w:r>
      <w:proofErr w:type="spellStart"/>
      <w:r w:rsidRPr="00857173">
        <w:rPr>
          <w:rFonts w:ascii="Arial" w:hAnsi="Arial" w:cs="Arial"/>
          <w:color w:val="0E101A"/>
        </w:rPr>
        <w:t>Hafford-Letchfield</w:t>
      </w:r>
      <w:proofErr w:type="spellEnd"/>
      <w:r w:rsidRPr="00857173">
        <w:rPr>
          <w:rFonts w:ascii="Arial" w:hAnsi="Arial" w:cs="Arial"/>
          <w:color w:val="0E101A"/>
        </w:rPr>
        <w:t xml:space="preserve"> et al. 2014). </w:t>
      </w:r>
      <w:proofErr w:type="gramStart"/>
      <w:r w:rsidRPr="00857173">
        <w:rPr>
          <w:rFonts w:ascii="Arial" w:hAnsi="Arial" w:cs="Arial"/>
          <w:color w:val="0E101A"/>
        </w:rPr>
        <w:t>The United Nations Convention on the Rights of the Child (UNICEF, No Date),</w:t>
      </w:r>
      <w:proofErr w:type="gramEnd"/>
      <w:r w:rsidRPr="00857173">
        <w:rPr>
          <w:rFonts w:ascii="Arial" w:hAnsi="Arial" w:cs="Arial"/>
          <w:color w:val="0E101A"/>
        </w:rPr>
        <w:t xml:space="preserve"> specifies that children should not be separated from their parents unless it is in their best interests, therefore this shows how multi-agencies have worked together to help the father with his recovery and gain guardianship of Ellie again.</w:t>
      </w:r>
    </w:p>
    <w:p w14:paraId="3CD40F38"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The ability of a social worker to listen to parents with supportive power may increase the opportunities for the father to collaborate with the school, prevent relapse, and be provided with a sense of belonging. Addiction recovery is a long process that requires </w:t>
      </w:r>
      <w:r w:rsidRPr="00857173">
        <w:rPr>
          <w:rFonts w:ascii="Arial" w:hAnsi="Arial" w:cs="Arial"/>
          <w:color w:val="0E101A"/>
        </w:rPr>
        <w:lastRenderedPageBreak/>
        <w:t>parents to maintain change. However, inadequate support, negative emotions, and the belief that they are not considered a "normal" part of society may contribute to relapse, prohibit inclusion, and affect the child's well-being (Ferdman, 2014). Therefore, working with other agencies to support parents and children can be fundamental.</w:t>
      </w:r>
    </w:p>
    <w:p w14:paraId="2E58A904" w14:textId="451E5414"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The father might also worry about power struggles in an unreliable relationship with the social worker. According to Ferguson et al.</w:t>
      </w:r>
      <w:r w:rsidR="00AB7E98">
        <w:rPr>
          <w:rFonts w:ascii="Arial" w:hAnsi="Arial" w:cs="Arial"/>
          <w:color w:val="0E101A"/>
        </w:rPr>
        <w:t xml:space="preserve"> (2021)</w:t>
      </w:r>
      <w:r w:rsidRPr="00857173">
        <w:rPr>
          <w:rFonts w:ascii="Arial" w:hAnsi="Arial" w:cs="Arial"/>
          <w:color w:val="0E101A"/>
        </w:rPr>
        <w:t xml:space="preserve"> </w:t>
      </w:r>
      <w:proofErr w:type="gramStart"/>
      <w:r w:rsidR="00AB7E98">
        <w:rPr>
          <w:rFonts w:ascii="Arial" w:hAnsi="Arial" w:cs="Arial"/>
          <w:color w:val="0E101A"/>
        </w:rPr>
        <w:t>t</w:t>
      </w:r>
      <w:r w:rsidRPr="00857173">
        <w:rPr>
          <w:rFonts w:ascii="Arial" w:hAnsi="Arial" w:cs="Arial"/>
          <w:color w:val="0E101A"/>
        </w:rPr>
        <w:t>he majority of</w:t>
      </w:r>
      <w:proofErr w:type="gramEnd"/>
      <w:r w:rsidRPr="00857173">
        <w:rPr>
          <w:rFonts w:ascii="Arial" w:hAnsi="Arial" w:cs="Arial"/>
          <w:color w:val="0E101A"/>
        </w:rPr>
        <w:t xml:space="preserve"> parental contact with social workers occurs unintentionally, and the ability social workers have to step in and protect children from harm could make a father fearful that he might behave inappropriately and prompt further intervention from the social worker. Similar to how many parents believe social workers have power over them rather than are there to support them, they often feel helpless, voiceless, and unable to communicate with other support systems like schools (Ward et al. 2014) However, as stated by Welsh Government (2019), services and parents must work together to support and listen to families in order to ensure that families at the "edge of care" stay together and to help prevent future adverse childhood experiences for children. Ferdman, Prime, and Riggio (2021) note that services should foster a sense of safety and give people a voice, enabling inclusion, and they concur with this.</w:t>
      </w:r>
    </w:p>
    <w:p w14:paraId="1A58D7D8"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5D5D47B1"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5E94436A"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Style w:val="Strong"/>
          <w:rFonts w:ascii="Arial" w:hAnsi="Arial" w:cs="Arial"/>
          <w:color w:val="0E101A"/>
          <w:u w:val="single"/>
        </w:rPr>
        <w:t>Section Two</w:t>
      </w:r>
    </w:p>
    <w:p w14:paraId="78EB2BD8" w14:textId="1118350C"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Implementing inclusive education policies in early childhood education requires creating a positive environment promoting diversity and acceptance (</w:t>
      </w:r>
      <w:proofErr w:type="spellStart"/>
      <w:r w:rsidRPr="00857173">
        <w:rPr>
          <w:rFonts w:ascii="Arial" w:hAnsi="Arial" w:cs="Arial"/>
          <w:color w:val="0E101A"/>
        </w:rPr>
        <w:t>Ackah</w:t>
      </w:r>
      <w:proofErr w:type="spellEnd"/>
      <w:r w:rsidRPr="00857173">
        <w:rPr>
          <w:rFonts w:ascii="Arial" w:hAnsi="Arial" w:cs="Arial"/>
          <w:color w:val="0E101A"/>
        </w:rPr>
        <w:t xml:space="preserve">-Jnr &amp; </w:t>
      </w:r>
      <w:proofErr w:type="spellStart"/>
      <w:r w:rsidRPr="00857173">
        <w:rPr>
          <w:rFonts w:ascii="Arial" w:hAnsi="Arial" w:cs="Arial"/>
          <w:color w:val="0E101A"/>
        </w:rPr>
        <w:t>Udah</w:t>
      </w:r>
      <w:proofErr w:type="spellEnd"/>
      <w:r w:rsidRPr="00857173">
        <w:rPr>
          <w:rFonts w:ascii="Arial" w:hAnsi="Arial" w:cs="Arial"/>
          <w:color w:val="0E101A"/>
        </w:rPr>
        <w:t xml:space="preserve"> </w:t>
      </w:r>
      <w:r w:rsidR="00AC5CBD">
        <w:rPr>
          <w:rFonts w:ascii="Arial" w:hAnsi="Arial" w:cs="Arial"/>
          <w:color w:val="0E101A"/>
        </w:rPr>
        <w:t>2020</w:t>
      </w:r>
      <w:r w:rsidRPr="00857173">
        <w:rPr>
          <w:rFonts w:ascii="Arial" w:hAnsi="Arial" w:cs="Arial"/>
          <w:color w:val="0E101A"/>
        </w:rPr>
        <w:t>). It involves encouraging collaboration and communication between teachers, parents, and students. Providing equal opportunities for all children is another crucial aspect of inclusive leadership (</w:t>
      </w:r>
      <w:proofErr w:type="spellStart"/>
      <w:r w:rsidRPr="00857173">
        <w:rPr>
          <w:rFonts w:ascii="Arial" w:hAnsi="Arial" w:cs="Arial"/>
          <w:color w:val="0E101A"/>
        </w:rPr>
        <w:t>Bipath</w:t>
      </w:r>
      <w:proofErr w:type="spellEnd"/>
      <w:r w:rsidRPr="00857173">
        <w:rPr>
          <w:rFonts w:ascii="Arial" w:hAnsi="Arial" w:cs="Arial"/>
          <w:color w:val="0E101A"/>
        </w:rPr>
        <w:t xml:space="preserve"> et al. </w:t>
      </w:r>
      <w:r w:rsidR="00AC5CBD">
        <w:rPr>
          <w:rFonts w:ascii="Arial" w:hAnsi="Arial" w:cs="Arial"/>
          <w:color w:val="0E101A"/>
        </w:rPr>
        <w:t>2021</w:t>
      </w:r>
      <w:r w:rsidRPr="00857173">
        <w:rPr>
          <w:rFonts w:ascii="Arial" w:hAnsi="Arial" w:cs="Arial"/>
          <w:color w:val="0E101A"/>
        </w:rPr>
        <w:t>). Identifying and addressing barriers to participation helps create an enabling environment for learning while adapting teaching strategies ensures that individual needs are met.</w:t>
      </w:r>
    </w:p>
    <w:p w14:paraId="70FE04B6"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5C07B513"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The Welsh Government (2020) Curriculum for Wales is a set of guidelines that outlines the national expectations for education in Wales. The curriculum aims to improve attainment, reduce the attainment gap, and develop learners who are ambitious, </w:t>
      </w:r>
      <w:r w:rsidRPr="00857173">
        <w:rPr>
          <w:rFonts w:ascii="Arial" w:hAnsi="Arial" w:cs="Arial"/>
          <w:color w:val="0E101A"/>
        </w:rPr>
        <w:lastRenderedPageBreak/>
        <w:t xml:space="preserve">capable, and engaged. Inclusive leadership plays a critical role in early years provision as it ensures that all children have equal opportunities to succeed regardless of their background or abilities. This section will examine whether the Welsh Government (2020) Curriculum for Wales truly enables inclusive leadership in early years provision. Furthermore, this section will identify and discuss both the strengths and weaknesses of this curriculum </w:t>
      </w:r>
      <w:proofErr w:type="gramStart"/>
      <w:r w:rsidRPr="00857173">
        <w:rPr>
          <w:rFonts w:ascii="Arial" w:hAnsi="Arial" w:cs="Arial"/>
          <w:color w:val="0E101A"/>
        </w:rPr>
        <w:t>with regard to</w:t>
      </w:r>
      <w:proofErr w:type="gramEnd"/>
      <w:r w:rsidRPr="00857173">
        <w:rPr>
          <w:rFonts w:ascii="Arial" w:hAnsi="Arial" w:cs="Arial"/>
          <w:color w:val="0E101A"/>
        </w:rPr>
        <w:t xml:space="preserve"> inclusive leadership within the Curriculum for Wales. </w:t>
      </w:r>
    </w:p>
    <w:p w14:paraId="2EBA7697"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The Curriculum for Wales aims to provide clarity and coherence in the education system. It outlines six areas of learning and experience (ALN), including expressive arts, humanities, languages, literacy, numeracy, and science and technology. The curriculum also emphasizes building relationships, developing well-being, and promoting skills, knowledge, &amp; understanding (Ashby et al., 2021).</w:t>
      </w:r>
    </w:p>
    <w:p w14:paraId="42644CC8"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In Welsh Government, inclusive leadership has proven to be a powerful tool to promote diversity, equity, and inclusion in the public sector. This kind of leadership helps to create an environment where everyone's talents and perspectives are valued, respected, and appreciated, leading to a rise in creativity, innovation, and productivity. When people feel included, they tend to be more engaged, more committed, and more motivated to make a difference. As a result, inclusive leadership leads to better decision-making, better communication, and better outcomes.</w:t>
      </w:r>
    </w:p>
    <w:p w14:paraId="1CE26AE7"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The benefits of inclusive leadership in the Welsh Government's curriculum are evident in the development of its educational system. Inclusive leadership has enabled the inclusion of diversity and equity objectives in the learning process. With diversity being a key component of inclusive learning, the curriculum has been designed to accommodate a diverse student population by promoting the development of intercultural competence through understanding, respecting, and celebrating diversity (Ashby et al., 2021). Inclusive leadership has encouraged the integration of different ethnicities and cultures, making education a powerful tool to help students understand and appreciate different perspectives. The result of this approach is a welcoming and supportive educational environment that nurtures student growth and development. Furthermore, it provides a platform for creating diverse partnerships between families, schools, and communities, which is vital to establishing a support network necessary for inclusivity (Bell &amp; Gilbertson., 2017).</w:t>
      </w:r>
    </w:p>
    <w:p w14:paraId="352BD604"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lastRenderedPageBreak/>
        <w:t> </w:t>
      </w:r>
    </w:p>
    <w:p w14:paraId="6DBE36D6"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Inclusive leadership in Welsh Government's curriculum also goes beyond diversity, equity, and inclusion. It has led to the development of a more holistic approach to education, </w:t>
      </w:r>
      <w:proofErr w:type="gramStart"/>
      <w:r w:rsidRPr="00857173">
        <w:rPr>
          <w:rFonts w:ascii="Arial" w:hAnsi="Arial" w:cs="Arial"/>
          <w:color w:val="0E101A"/>
        </w:rPr>
        <w:t>This</w:t>
      </w:r>
      <w:proofErr w:type="gramEnd"/>
      <w:r w:rsidRPr="00857173">
        <w:rPr>
          <w:rFonts w:ascii="Arial" w:hAnsi="Arial" w:cs="Arial"/>
          <w:color w:val="0E101A"/>
        </w:rPr>
        <w:t xml:space="preserve"> is supported by White and </w:t>
      </w:r>
      <w:proofErr w:type="spellStart"/>
      <w:r w:rsidRPr="00857173">
        <w:rPr>
          <w:rFonts w:ascii="Arial" w:hAnsi="Arial" w:cs="Arial"/>
          <w:color w:val="0E101A"/>
        </w:rPr>
        <w:t>Mcloed</w:t>
      </w:r>
      <w:proofErr w:type="spellEnd"/>
      <w:r w:rsidRPr="00857173">
        <w:rPr>
          <w:rFonts w:ascii="Arial" w:hAnsi="Arial" w:cs="Arial"/>
          <w:color w:val="0E101A"/>
        </w:rPr>
        <w:t xml:space="preserve"> (2016) who suggest This facilitates cross-disciplinary cooperation between educators. Learning environments are also collaboratively designed &amp; resources are shared accordingly. Inclusive leadership prioritizes mental health, emotional intelligence, and individual differences in learning styles. As a result, the Welsh Government's curriculum has been designed to provide a supportive learning environment with learning opportunities for all students. Inclusive leadership has been critical in providing a learning system that acknowledges and addresses the individual needs of each student, including their strengths, challenges, and resources. Overall, inclusive leadership has resulted in a curriculum that offers equal access, promotes equitable learning, and ensures a positive educational experience for all students. </w:t>
      </w:r>
    </w:p>
    <w:p w14:paraId="354A9259"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w:t>
      </w:r>
    </w:p>
    <w:p w14:paraId="08DD3BAC"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However, while being beneficial in many aspects, inclusive leadership has its weak points that need addressing. Firstly, inclusive leadership has the potential of creating a sense of tokenism and insincerity among the leaders. This means that the leaders may not be genuinely interested in accommodating everyone, but they are trying to make themselves look good by catering to the needs of everyone. This can cause resentment among the employees and cause reduced motivation and morale.</w:t>
      </w:r>
    </w:p>
    <w:p w14:paraId="2A46F912"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Secondly, inclusive leadership can lead to a sense of being lost among the goals of the organization or the government curriculum. Including every person's opinion in decision-making can create too many ideas and, as a result, can derail or cloud the government's objectives. This can lead to lost focus and energy, creating conflict and a lack of direction. This may have a detrimental effect not only on the government but also on the public, who rely on the government to provide them with clarity and direction.</w:t>
      </w:r>
    </w:p>
    <w:p w14:paraId="7FCDFB3B"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Thirdly, inclusive leadership may lead to a slow decision-making process due to the need to consider everyone's perspective before making any move. This can be disadvantageous to the government, as it can take a longer time to execute plans and </w:t>
      </w:r>
      <w:r w:rsidRPr="00857173">
        <w:rPr>
          <w:rFonts w:ascii="Arial" w:hAnsi="Arial" w:cs="Arial"/>
          <w:color w:val="0E101A"/>
        </w:rPr>
        <w:lastRenderedPageBreak/>
        <w:t>programs that may have a significant impact on citizens' lives. It may also lead to delays in handling emergencies, which can cause adverse effects on the public's welfare.</w:t>
      </w:r>
    </w:p>
    <w:p w14:paraId="1C2C0284"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In conclusion, while inclusive leadership can bring a lot of benefits to the Welsh Government curriculum, </w:t>
      </w:r>
      <w:proofErr w:type="spellStart"/>
      <w:r w:rsidRPr="00857173">
        <w:rPr>
          <w:rFonts w:ascii="Arial" w:hAnsi="Arial" w:cs="Arial"/>
          <w:color w:val="0E101A"/>
        </w:rPr>
        <w:t>its</w:t>
      </w:r>
      <w:proofErr w:type="spellEnd"/>
      <w:r w:rsidRPr="00857173">
        <w:rPr>
          <w:rFonts w:ascii="Arial" w:hAnsi="Arial" w:cs="Arial"/>
          <w:color w:val="0E101A"/>
        </w:rPr>
        <w:t xml:space="preserve"> possible downsides are worth considering. Measures such as training for government leaders should be put in place to ensure that inclusive leadership caters to everyone while being efficient and </w:t>
      </w:r>
      <w:proofErr w:type="spellStart"/>
      <w:r w:rsidRPr="00857173">
        <w:rPr>
          <w:rFonts w:ascii="Arial" w:hAnsi="Arial" w:cs="Arial"/>
          <w:color w:val="0E101A"/>
        </w:rPr>
        <w:t>farseeing</w:t>
      </w:r>
      <w:proofErr w:type="spellEnd"/>
      <w:r w:rsidRPr="00857173">
        <w:rPr>
          <w:rFonts w:ascii="Arial" w:hAnsi="Arial" w:cs="Arial"/>
          <w:color w:val="0E101A"/>
        </w:rPr>
        <w:t>. It's essential to note that great leaders are those who can balance both inclusiveness with efficiency, creating an environment that is conducive to the growth of the government and its people.</w:t>
      </w:r>
    </w:p>
    <w:p w14:paraId="66C859DE"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2F2C79A2" w14:textId="77777777" w:rsidR="00857173" w:rsidRP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The curriculum supports inclusive leadership by providing guidance on how to facilitate learners' diverse needs through differentiated teaching methods (</w:t>
      </w:r>
      <w:proofErr w:type="spellStart"/>
      <w:r w:rsidRPr="00857173">
        <w:rPr>
          <w:rFonts w:ascii="Arial" w:hAnsi="Arial" w:cs="Arial"/>
          <w:color w:val="0E101A"/>
        </w:rPr>
        <w:t>Turnock</w:t>
      </w:r>
      <w:proofErr w:type="spellEnd"/>
      <w:r w:rsidRPr="00857173">
        <w:rPr>
          <w:rFonts w:ascii="Arial" w:hAnsi="Arial" w:cs="Arial"/>
          <w:color w:val="0E101A"/>
        </w:rPr>
        <w:t xml:space="preserve"> et al., 2018). Its emphasis on creating a supportive environment that acknowledges diversity helps teachers understand individual child's development stages while fostering inclusion.</w:t>
      </w:r>
    </w:p>
    <w:p w14:paraId="5843097A"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1ECF6E0E" w14:textId="4FA0A7A1" w:rsidR="00857173" w:rsidRPr="00857173" w:rsidRDefault="00844F49" w:rsidP="00857173">
      <w:pPr>
        <w:pStyle w:val="NormalWeb"/>
        <w:spacing w:before="0" w:beforeAutospacing="0" w:after="0" w:afterAutospacing="0" w:line="360" w:lineRule="auto"/>
        <w:rPr>
          <w:rFonts w:ascii="Arial" w:hAnsi="Arial" w:cs="Arial"/>
          <w:color w:val="0E101A"/>
        </w:rPr>
      </w:pPr>
      <w:r>
        <w:rPr>
          <w:rFonts w:ascii="Arial" w:hAnsi="Arial" w:cs="Arial"/>
          <w:color w:val="0E101A"/>
        </w:rPr>
        <w:t>There are many benefits to the curriculum, however o</w:t>
      </w:r>
      <w:r w:rsidR="00857173" w:rsidRPr="00857173">
        <w:rPr>
          <w:rFonts w:ascii="Arial" w:hAnsi="Arial" w:cs="Arial"/>
          <w:color w:val="0E101A"/>
        </w:rPr>
        <w:t>ne weakness is that there are no specific goals or targets concerning inclusion in the early year’s provision. The policy gives general guidance on ensuring equality of access but does not provide any quantifiable metrics to evaluate its success (Elliott et al., 2018). This makes it difficult to measure whether the policy has been effective in improving outcomes among learners.</w:t>
      </w:r>
    </w:p>
    <w:p w14:paraId="16BDD5AC" w14:textId="77777777" w:rsidR="00857173" w:rsidRPr="00857173" w:rsidRDefault="00857173" w:rsidP="00857173">
      <w:pPr>
        <w:pStyle w:val="NormalWeb"/>
        <w:spacing w:before="0" w:beforeAutospacing="0" w:after="0" w:afterAutospacing="0" w:line="360" w:lineRule="auto"/>
        <w:rPr>
          <w:rFonts w:ascii="Arial" w:hAnsi="Arial" w:cs="Arial"/>
          <w:color w:val="0E101A"/>
        </w:rPr>
      </w:pPr>
    </w:p>
    <w:p w14:paraId="0BBADF02" w14:textId="77777777" w:rsidR="00857173" w:rsidRDefault="00857173" w:rsidP="00857173">
      <w:pPr>
        <w:pStyle w:val="NormalWeb"/>
        <w:spacing w:before="0" w:beforeAutospacing="0" w:after="0" w:afterAutospacing="0" w:line="360" w:lineRule="auto"/>
        <w:rPr>
          <w:rFonts w:ascii="Arial" w:hAnsi="Arial" w:cs="Arial"/>
          <w:color w:val="0E101A"/>
        </w:rPr>
      </w:pPr>
      <w:r w:rsidRPr="00857173">
        <w:rPr>
          <w:rFonts w:ascii="Arial" w:hAnsi="Arial" w:cs="Arial"/>
          <w:color w:val="0E101A"/>
        </w:rPr>
        <w:t xml:space="preserve">Another weakness is that it neglects socio-economic factors as barriers influencing children's educational attainment. It overlooks how poverty affects learning experiences; </w:t>
      </w:r>
      <w:proofErr w:type="gramStart"/>
      <w:r w:rsidRPr="00857173">
        <w:rPr>
          <w:rFonts w:ascii="Arial" w:hAnsi="Arial" w:cs="Arial"/>
          <w:color w:val="0E101A"/>
        </w:rPr>
        <w:t>thus</w:t>
      </w:r>
      <w:proofErr w:type="gramEnd"/>
      <w:r w:rsidRPr="00857173">
        <w:rPr>
          <w:rFonts w:ascii="Arial" w:hAnsi="Arial" w:cs="Arial"/>
          <w:color w:val="0E101A"/>
        </w:rPr>
        <w:t xml:space="preserve"> vulnerable children may be left behind without adequate support (</w:t>
      </w:r>
      <w:proofErr w:type="spellStart"/>
      <w:r w:rsidRPr="00857173">
        <w:rPr>
          <w:rFonts w:ascii="Arial" w:hAnsi="Arial" w:cs="Arial"/>
          <w:color w:val="0E101A"/>
        </w:rPr>
        <w:t>Turnock</w:t>
      </w:r>
      <w:proofErr w:type="spellEnd"/>
      <w:r w:rsidRPr="00857173">
        <w:rPr>
          <w:rFonts w:ascii="Arial" w:hAnsi="Arial" w:cs="Arial"/>
          <w:color w:val="0E101A"/>
        </w:rPr>
        <w:t xml:space="preserve"> et al., 2018).</w:t>
      </w:r>
    </w:p>
    <w:p w14:paraId="30D35806" w14:textId="77777777" w:rsidR="00EC3AC9" w:rsidRDefault="00EC3AC9" w:rsidP="00857173">
      <w:pPr>
        <w:pStyle w:val="NormalWeb"/>
        <w:spacing w:before="0" w:beforeAutospacing="0" w:after="0" w:afterAutospacing="0" w:line="360" w:lineRule="auto"/>
        <w:rPr>
          <w:rFonts w:ascii="Arial" w:hAnsi="Arial" w:cs="Arial"/>
          <w:color w:val="0E101A"/>
        </w:rPr>
      </w:pPr>
    </w:p>
    <w:p w14:paraId="0020E1BC" w14:textId="4ADD5567" w:rsidR="00EC3AC9" w:rsidRDefault="00EC3AC9" w:rsidP="00857173">
      <w:pPr>
        <w:pStyle w:val="NormalWeb"/>
        <w:spacing w:before="0" w:beforeAutospacing="0" w:after="0" w:afterAutospacing="0" w:line="360" w:lineRule="auto"/>
        <w:rPr>
          <w:rFonts w:ascii="Arial" w:hAnsi="Arial" w:cs="Arial"/>
          <w:color w:val="0E101A"/>
          <w:u w:val="single"/>
        </w:rPr>
      </w:pPr>
      <w:r w:rsidRPr="00EC3AC9">
        <w:rPr>
          <w:rFonts w:ascii="Arial" w:hAnsi="Arial" w:cs="Arial"/>
          <w:color w:val="0E101A"/>
          <w:u w:val="single"/>
        </w:rPr>
        <w:t>Section Three</w:t>
      </w:r>
    </w:p>
    <w:p w14:paraId="5BC7C9B2" w14:textId="77777777"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Promoting Inclusive Leadership in Early Years Settings.</w:t>
      </w:r>
    </w:p>
    <w:p w14:paraId="1A9193E6" w14:textId="77777777"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w:t>
      </w:r>
    </w:p>
    <w:p w14:paraId="7F26A5E9" w14:textId="614BA9AC"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lastRenderedPageBreak/>
        <w:t xml:space="preserve">Inclusive leadership is essential in early years settings to ensure that all children, regardless of their background, are provided with equal opportunities to learn and develop. Inclusive leadership involves creating a welcoming and supportive environment that values diversity and promotes equity. In this blog, we will discuss some strategies that early </w:t>
      </w:r>
      <w:proofErr w:type="gramStart"/>
      <w:r w:rsidRPr="00EC3AC9">
        <w:rPr>
          <w:rFonts w:ascii="Arial" w:hAnsi="Arial" w:cs="Arial"/>
          <w:color w:val="0E101A"/>
        </w:rPr>
        <w:t>years</w:t>
      </w:r>
      <w:proofErr w:type="gramEnd"/>
      <w:r w:rsidRPr="00EC3AC9">
        <w:rPr>
          <w:rFonts w:ascii="Arial" w:hAnsi="Arial" w:cs="Arial"/>
          <w:color w:val="0E101A"/>
        </w:rPr>
        <w:t xml:space="preserve"> leaders can use to promote inclusive leadership in their settings.</w:t>
      </w:r>
    </w:p>
    <w:p w14:paraId="0F465358" w14:textId="5F8C8DCA"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1. Develop a shared vision of inclusion: Early years leaders should work with their team to develop a shared vision of inclusion that reflects the values and beliefs of the setting. This vision should be communicated to all staff, parents, and children to ensure that everyone is working towards the same goal</w:t>
      </w:r>
      <w:r w:rsidR="00AB7E98">
        <w:rPr>
          <w:rFonts w:ascii="Arial" w:hAnsi="Arial" w:cs="Arial"/>
          <w:color w:val="0E101A"/>
        </w:rPr>
        <w:t xml:space="preserve"> (</w:t>
      </w:r>
      <w:r w:rsidR="00AB7E98">
        <w:rPr>
          <w:rFonts w:ascii="Helvetica" w:hAnsi="Helvetica"/>
          <w:color w:val="000000"/>
          <w:sz w:val="18"/>
          <w:szCs w:val="18"/>
        </w:rPr>
        <w:t>Department for Education, 2017)</w:t>
      </w:r>
      <w:r w:rsidRPr="00EC3AC9">
        <w:rPr>
          <w:rFonts w:ascii="Arial" w:hAnsi="Arial" w:cs="Arial"/>
          <w:color w:val="0E101A"/>
        </w:rPr>
        <w:t>. This can be achieved through regular team meetings, training sessions, and parent consultations.</w:t>
      </w:r>
    </w:p>
    <w:p w14:paraId="247B8925" w14:textId="0E75129D"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2. Build a diverse team: Early years leaders should strive to build a diverse team that reflects the community they serve. This can include staff from different cultural backgrounds, genders, and abilities. A diverse team can bring different perspectives and experiences to the setting, which can enrich the learning environment for children. </w:t>
      </w:r>
    </w:p>
    <w:p w14:paraId="38C5E1E9" w14:textId="6962CD91"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3. Provide ongoing training and support: Early years leaders should provide ongoing training and support to their team to ensure that they have the knowledge and skills to promote inclusion. This can include training on cultural awareness, anti-bias education, and inclusive teaching practices. Leaders should also provide regular feedback and coaching to their teams to help them improve their practice. </w:t>
      </w:r>
    </w:p>
    <w:p w14:paraId="1A787FEA" w14:textId="77777777"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4. Involve parents and families: Early years leaders should involve parents and families in the setting to promote a sense of belonging and partnership. This can include regular communication, parent consultations, and involving parents in decision-making processes. Leaders should also ensure that the setting is accessible and welcoming to all families, regardless of their background.</w:t>
      </w:r>
    </w:p>
    <w:p w14:paraId="1BCFE670" w14:textId="77777777"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 xml:space="preserve"> </w:t>
      </w:r>
    </w:p>
    <w:p w14:paraId="11C81388" w14:textId="40601382"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lastRenderedPageBreak/>
        <w:t xml:space="preserve"> 5. Use inclusive teaching practices: Early years leaders should promote inclusive teaching practices that cater to the diverse needs of children. This can include using a variety of teaching strategies, adapting the curriculum to meet the needs of individual children, and providing additional support where necessary. Leaders should also ensure that the setting is physically accessible and inclusive of all children</w:t>
      </w:r>
      <w:r w:rsidR="00AB7E98">
        <w:rPr>
          <w:rFonts w:ascii="Arial" w:hAnsi="Arial" w:cs="Arial"/>
          <w:color w:val="0E101A"/>
        </w:rPr>
        <w:t xml:space="preserve"> (</w:t>
      </w:r>
      <w:r w:rsidR="00AB7E98">
        <w:rPr>
          <w:rFonts w:ascii="Helvetica" w:hAnsi="Helvetica"/>
          <w:color w:val="000000"/>
          <w:sz w:val="18"/>
          <w:szCs w:val="18"/>
        </w:rPr>
        <w:t>Early Childhood Australia, 2018).</w:t>
      </w:r>
    </w:p>
    <w:p w14:paraId="4766FF50" w14:textId="40D9486E" w:rsidR="00EC3AC9" w:rsidRPr="00EC3AC9" w:rsidRDefault="00EC3AC9" w:rsidP="00EC3AC9">
      <w:pPr>
        <w:pStyle w:val="NormalWeb"/>
        <w:spacing w:after="0" w:line="360" w:lineRule="auto"/>
        <w:rPr>
          <w:rFonts w:ascii="Arial" w:hAnsi="Arial" w:cs="Arial"/>
          <w:color w:val="0E101A"/>
        </w:rPr>
      </w:pPr>
      <w:r w:rsidRPr="00EC3AC9">
        <w:rPr>
          <w:rFonts w:ascii="Arial" w:hAnsi="Arial" w:cs="Arial"/>
          <w:color w:val="0E101A"/>
        </w:rPr>
        <w:t>In conclusion, promoting inclusive leadership in early years settings is essential to ensure that all children are provided with equal opportunities to learn and develop. Early years leaders can promote inclusive leadership by developing a shared vision of inclusion, building a diverse team, providing ongoing training and support, involving parents and families, and using inclusive teaching practices. By doing so, early years leaders can create a welcoming and supportive environment that values diversity and promotes equality</w:t>
      </w:r>
      <w:r w:rsidR="00AB7E98">
        <w:rPr>
          <w:rFonts w:ascii="Arial" w:hAnsi="Arial" w:cs="Arial"/>
          <w:color w:val="0E101A"/>
        </w:rPr>
        <w:t xml:space="preserve"> (</w:t>
      </w:r>
      <w:r w:rsidR="00AB7E98">
        <w:rPr>
          <w:rFonts w:ascii="Helvetica" w:hAnsi="Helvetica"/>
          <w:color w:val="000000"/>
          <w:sz w:val="18"/>
          <w:szCs w:val="18"/>
        </w:rPr>
        <w:t>National Association for the Education of Young Children, 2019)</w:t>
      </w:r>
      <w:r w:rsidR="00AB7E98" w:rsidRPr="00EC3AC9">
        <w:rPr>
          <w:rFonts w:ascii="Arial" w:hAnsi="Arial" w:cs="Arial"/>
          <w:color w:val="0E101A"/>
        </w:rPr>
        <w:t>.</w:t>
      </w:r>
    </w:p>
    <w:p w14:paraId="5D7AE33C" w14:textId="77777777" w:rsidR="005A3B29" w:rsidRDefault="005A3B29" w:rsidP="005A3B29">
      <w:pPr>
        <w:spacing w:after="0"/>
        <w:ind w:firstLine="0"/>
      </w:pPr>
    </w:p>
    <w:p w14:paraId="2CE8AA93" w14:textId="77777777" w:rsidR="005A3B29" w:rsidRDefault="005A3B29" w:rsidP="005A3B29">
      <w:pPr>
        <w:spacing w:after="0"/>
        <w:ind w:firstLine="0"/>
      </w:pPr>
    </w:p>
    <w:p w14:paraId="51616ACC" w14:textId="77777777" w:rsidR="005429BA" w:rsidRDefault="00844F49" w:rsidP="005A3B29">
      <w:pPr>
        <w:spacing w:after="0"/>
        <w:ind w:firstLine="0"/>
      </w:pPr>
      <w:r>
        <w:t>Reference List.</w:t>
      </w:r>
    </w:p>
    <w:p w14:paraId="4D9CBE29" w14:textId="17A83760" w:rsidR="00AC5CBD" w:rsidRDefault="00AC5CBD" w:rsidP="00AC5CBD">
      <w:pPr>
        <w:spacing w:after="0"/>
        <w:ind w:firstLine="0"/>
      </w:pPr>
      <w:proofErr w:type="spellStart"/>
      <w:r>
        <w:t>Ackah</w:t>
      </w:r>
      <w:proofErr w:type="spellEnd"/>
      <w:r>
        <w:t xml:space="preserve">-Jnr, Francis R., and Hyacinth </w:t>
      </w:r>
      <w:proofErr w:type="spellStart"/>
      <w:r>
        <w:t>Udah</w:t>
      </w:r>
      <w:proofErr w:type="spellEnd"/>
      <w:r>
        <w:t xml:space="preserve">. </w:t>
      </w:r>
      <w:r>
        <w:t xml:space="preserve">(2020) </w:t>
      </w:r>
      <w:r>
        <w:t xml:space="preserve">"Implementing Inclusive Education </w:t>
      </w:r>
      <w:proofErr w:type="gramStart"/>
      <w:r>
        <w:t>In</w:t>
      </w:r>
      <w:proofErr w:type="gramEnd"/>
      <w:r>
        <w:t xml:space="preserve"> Early</w:t>
      </w:r>
    </w:p>
    <w:p w14:paraId="1138100D" w14:textId="77777777" w:rsidR="00AC5CBD" w:rsidRDefault="00AC5CBD" w:rsidP="00AC5CBD">
      <w:pPr>
        <w:spacing w:after="0"/>
        <w:ind w:firstLine="0"/>
      </w:pPr>
      <w:r>
        <w:t>Childhood Settings: The Interplay and Impact of Exclusion, Teacher Qualities and</w:t>
      </w:r>
    </w:p>
    <w:p w14:paraId="2ECC7E71" w14:textId="77777777" w:rsidR="00AC5CBD" w:rsidRDefault="00AC5CBD" w:rsidP="00AC5CBD">
      <w:pPr>
        <w:spacing w:after="0"/>
        <w:ind w:firstLine="0"/>
      </w:pPr>
      <w:r>
        <w:t xml:space="preserve">Professional Development in Ghana." </w:t>
      </w:r>
      <w:r w:rsidRPr="00AC5CBD">
        <w:rPr>
          <w:i/>
          <w:iCs/>
        </w:rPr>
        <w:t>Journal of Educational Research and Practice</w:t>
      </w:r>
      <w:r>
        <w:t>, vol.</w:t>
      </w:r>
    </w:p>
    <w:p w14:paraId="761B85F8" w14:textId="79EA6069" w:rsidR="00AC5CBD" w:rsidRDefault="00AC5CBD" w:rsidP="00AC5CBD">
      <w:pPr>
        <w:spacing w:after="0"/>
        <w:ind w:firstLine="0"/>
      </w:pPr>
      <w:r>
        <w:t>11, no. 1, pp. 1-16</w:t>
      </w:r>
      <w:r>
        <w:t>. Available at:</w:t>
      </w:r>
    </w:p>
    <w:p w14:paraId="18EF81E4" w14:textId="149D44E8" w:rsidR="00AC5CBD" w:rsidRDefault="00AC5CBD" w:rsidP="00AC5CBD">
      <w:pPr>
        <w:spacing w:after="0"/>
        <w:ind w:firstLine="0"/>
      </w:pPr>
      <w:hyperlink r:id="rId6" w:history="1">
        <w:r w:rsidRPr="000F3B5B">
          <w:rPr>
            <w:rStyle w:val="Hyperlink"/>
          </w:rPr>
          <w:t>https://scholarworks.waldenu.edu/cgi/viewcontent.cgi?article=1547&amp;context=jerap</w:t>
        </w:r>
      </w:hyperlink>
      <w:r>
        <w:t>.</w:t>
      </w:r>
      <w:r>
        <w:t xml:space="preserve"> (Accessed: 11</w:t>
      </w:r>
      <w:r w:rsidRPr="00AC5CBD">
        <w:rPr>
          <w:vertAlign w:val="superscript"/>
        </w:rPr>
        <w:t>th</w:t>
      </w:r>
      <w:r>
        <w:t xml:space="preserve"> June 2023).</w:t>
      </w:r>
    </w:p>
    <w:p w14:paraId="3756D8FA" w14:textId="77777777" w:rsidR="00AC5CBD" w:rsidRDefault="00AC5CBD" w:rsidP="00AC5CBD">
      <w:pPr>
        <w:spacing w:after="0"/>
        <w:ind w:firstLine="0"/>
      </w:pPr>
    </w:p>
    <w:p w14:paraId="7B405DB2" w14:textId="28371E87" w:rsidR="00FC54EB" w:rsidRPr="00FC54EB" w:rsidRDefault="00AC5CBD" w:rsidP="00FC54EB">
      <w:pPr>
        <w:spacing w:after="0"/>
        <w:ind w:firstLine="0"/>
      </w:pPr>
      <w:proofErr w:type="spellStart"/>
      <w:r>
        <w:t>Bipath</w:t>
      </w:r>
      <w:proofErr w:type="spellEnd"/>
      <w:r>
        <w:t xml:space="preserve">, K., et al. </w:t>
      </w:r>
      <w:r>
        <w:t xml:space="preserve">(2021) </w:t>
      </w:r>
      <w:r>
        <w:t>"Leadership in Implementing Inclusive Education Policy in Early Childhood</w:t>
      </w:r>
      <w:r>
        <w:t xml:space="preserve"> </w:t>
      </w:r>
      <w:r>
        <w:t xml:space="preserve">Education and Care Playrooms in South Africa." </w:t>
      </w:r>
      <w:r w:rsidRPr="00AC5CBD">
        <w:rPr>
          <w:i/>
          <w:iCs/>
        </w:rPr>
        <w:t>Education Sciences</w:t>
      </w:r>
      <w:r>
        <w:t xml:space="preserve">, vol. 11, no. 12, </w:t>
      </w:r>
      <w:r>
        <w:lastRenderedPageBreak/>
        <w:t xml:space="preserve">pp. 1-18, </w:t>
      </w:r>
      <w:r>
        <w:t xml:space="preserve">available at: </w:t>
      </w:r>
      <w:hyperlink r:id="rId7" w:history="1">
        <w:r w:rsidRPr="000F3B5B">
          <w:rPr>
            <w:rStyle w:val="Hyperlink"/>
          </w:rPr>
          <w:t>https://www.mdpi.com/2227-7102/11/12/815/pdf?version=1639702827</w:t>
        </w:r>
      </w:hyperlink>
      <w:r>
        <w:t>.</w:t>
      </w:r>
      <w:r>
        <w:t xml:space="preserve"> (Accessed: 11</w:t>
      </w:r>
      <w:r w:rsidRPr="00AC5CBD">
        <w:rPr>
          <w:vertAlign w:val="superscript"/>
        </w:rPr>
        <w:t>th</w:t>
      </w:r>
      <w:r>
        <w:t xml:space="preserve"> June 2023).</w:t>
      </w:r>
    </w:p>
    <w:p w14:paraId="08A89C98" w14:textId="7A1C6336" w:rsidR="00493EA0" w:rsidRDefault="005429BA" w:rsidP="00AC5CBD">
      <w:pPr>
        <w:spacing w:line="360" w:lineRule="auto"/>
        <w:ind w:firstLine="0"/>
        <w:jc w:val="both"/>
      </w:pPr>
      <w:r w:rsidRPr="00411A5F">
        <w:rPr>
          <w:rFonts w:ascii="Arial" w:hAnsi="Arial" w:cs="Arial"/>
        </w:rPr>
        <w:t>Cottle, M. and Alexander, E. (2014)</w:t>
      </w:r>
      <w:r w:rsidRPr="00411A5F">
        <w:rPr>
          <w:rFonts w:ascii="Arial" w:hAnsi="Arial" w:cs="Arial"/>
          <w:color w:val="000000" w:themeColor="text1"/>
        </w:rPr>
        <w:t xml:space="preserve"> ‘Parent partnership and ‘quality’ early years services: practitioners' perspectives’, </w:t>
      </w:r>
      <w:r w:rsidRPr="00411A5F">
        <w:rPr>
          <w:rFonts w:ascii="Arial" w:hAnsi="Arial" w:cs="Arial"/>
          <w:i/>
          <w:iCs/>
          <w:color w:val="000000" w:themeColor="text1"/>
        </w:rPr>
        <w:t xml:space="preserve">European Early Childhood Education Research Journal, </w:t>
      </w:r>
      <w:r w:rsidRPr="00411A5F">
        <w:rPr>
          <w:rFonts w:ascii="Arial" w:hAnsi="Arial" w:cs="Arial"/>
          <w:color w:val="000000" w:themeColor="text1"/>
        </w:rPr>
        <w:t>22(5), pp. 637-659. DOI:</w:t>
      </w:r>
      <w:r w:rsidRPr="00411A5F">
        <w:rPr>
          <w:rFonts w:ascii="Arial" w:hAnsi="Arial" w:cs="Arial"/>
        </w:rPr>
        <w:t xml:space="preserve"> </w:t>
      </w:r>
      <w:hyperlink r:id="rId8" w:history="1">
        <w:r w:rsidRPr="00411A5F">
          <w:rPr>
            <w:rFonts w:ascii="Arial" w:hAnsi="Arial" w:cs="Arial"/>
            <w:color w:val="0000FF" w:themeColor="hyperlink"/>
            <w:u w:val="single"/>
          </w:rPr>
          <w:t>https://doi.org/10.1080/1350293X.2013.788314</w:t>
        </w:r>
      </w:hyperlink>
      <w:r w:rsidRPr="00411A5F">
        <w:rPr>
          <w:rFonts w:ascii="Arial" w:hAnsi="Arial" w:cs="Arial"/>
          <w:color w:val="000000" w:themeColor="text1"/>
        </w:rPr>
        <w:t xml:space="preserve">  </w:t>
      </w:r>
      <w:r w:rsidRPr="00411A5F">
        <w:rPr>
          <w:rFonts w:ascii="Arial" w:hAnsi="Arial" w:cs="Arial"/>
        </w:rPr>
        <w:t xml:space="preserve">(Accessed: 18 </w:t>
      </w:r>
      <w:r>
        <w:rPr>
          <w:rFonts w:ascii="Arial" w:hAnsi="Arial" w:cs="Arial"/>
        </w:rPr>
        <w:t>June</w:t>
      </w:r>
      <w:r w:rsidRPr="00411A5F">
        <w:rPr>
          <w:rFonts w:ascii="Arial" w:hAnsi="Arial" w:cs="Arial"/>
        </w:rPr>
        <w:t xml:space="preserve"> 202</w:t>
      </w:r>
      <w:r>
        <w:rPr>
          <w:rFonts w:ascii="Arial" w:hAnsi="Arial" w:cs="Arial"/>
        </w:rPr>
        <w:t>3</w:t>
      </w:r>
      <w:r w:rsidRPr="00411A5F">
        <w:rPr>
          <w:rFonts w:ascii="Arial" w:hAnsi="Arial" w:cs="Arial"/>
        </w:rPr>
        <w:t xml:space="preserve">). </w:t>
      </w:r>
      <w:r w:rsidR="00844F49">
        <w:br/>
      </w:r>
      <w:r w:rsidR="00B255B0">
        <w:rPr>
          <w:rFonts w:ascii="Helvetica" w:hAnsi="Helvetica"/>
          <w:color w:val="000000"/>
          <w:sz w:val="18"/>
          <w:szCs w:val="18"/>
        </w:rPr>
        <w:t xml:space="preserve">Department for Education. (2017). </w:t>
      </w:r>
      <w:r w:rsidR="00B255B0" w:rsidRPr="00B255B0">
        <w:rPr>
          <w:rFonts w:ascii="Helvetica" w:hAnsi="Helvetica"/>
          <w:i/>
          <w:iCs/>
          <w:color w:val="000000"/>
          <w:sz w:val="18"/>
          <w:szCs w:val="18"/>
        </w:rPr>
        <w:t>Early years foundation stage: Statutory framework</w:t>
      </w:r>
      <w:r w:rsidR="00B255B0">
        <w:rPr>
          <w:rFonts w:ascii="Helvetica" w:hAnsi="Helvetica"/>
          <w:color w:val="000000"/>
          <w:sz w:val="18"/>
          <w:szCs w:val="18"/>
        </w:rPr>
        <w:t>. Available at:</w:t>
      </w:r>
      <w:r w:rsidR="00B255B0">
        <w:rPr>
          <w:rStyle w:val="apple-converted-space"/>
          <w:rFonts w:ascii="Helvetica" w:hAnsi="Helvetica"/>
          <w:color w:val="000000"/>
          <w:sz w:val="18"/>
          <w:szCs w:val="18"/>
        </w:rPr>
        <w:t> </w:t>
      </w:r>
      <w:hyperlink r:id="rId9" w:history="1">
        <w:r w:rsidR="00B255B0">
          <w:rPr>
            <w:rStyle w:val="Hyperlink"/>
            <w:rFonts w:ascii="Helvetica" w:hAnsi="Helvetica"/>
            <w:sz w:val="18"/>
            <w:szCs w:val="18"/>
          </w:rPr>
          <w:t>https://www.gov.uk/government/publications/early-years-foundation-stage-framework--2</w:t>
        </w:r>
      </w:hyperlink>
      <w:r w:rsidR="00B255B0">
        <w:t xml:space="preserve"> (Accessed: 20</w:t>
      </w:r>
      <w:r w:rsidR="00B255B0" w:rsidRPr="00B255B0">
        <w:rPr>
          <w:vertAlign w:val="superscript"/>
        </w:rPr>
        <w:t>th</w:t>
      </w:r>
      <w:r w:rsidR="00B255B0">
        <w:t xml:space="preserve"> June 2023).</w:t>
      </w:r>
      <w:r w:rsidR="00B255B0">
        <w:rPr>
          <w:rFonts w:ascii="Helvetica" w:hAnsi="Helvetica"/>
          <w:color w:val="000000"/>
          <w:sz w:val="18"/>
          <w:szCs w:val="18"/>
        </w:rPr>
        <w:br/>
        <w:t xml:space="preserve">- Early Childhood Australia. (2018). </w:t>
      </w:r>
      <w:r w:rsidR="00B255B0" w:rsidRPr="00B255B0">
        <w:rPr>
          <w:rFonts w:ascii="Helvetica" w:hAnsi="Helvetica"/>
          <w:i/>
          <w:iCs/>
          <w:color w:val="000000"/>
          <w:sz w:val="18"/>
          <w:szCs w:val="18"/>
        </w:rPr>
        <w:t>Inclusion in early childhood education</w:t>
      </w:r>
      <w:r w:rsidR="00B255B0">
        <w:rPr>
          <w:rFonts w:ascii="Helvetica" w:hAnsi="Helvetica"/>
          <w:color w:val="000000"/>
          <w:sz w:val="18"/>
          <w:szCs w:val="18"/>
        </w:rPr>
        <w:t>. Available at:</w:t>
      </w:r>
      <w:r w:rsidR="00B255B0">
        <w:rPr>
          <w:rStyle w:val="apple-converted-space"/>
          <w:rFonts w:ascii="Helvetica" w:hAnsi="Helvetica"/>
          <w:color w:val="000000"/>
          <w:sz w:val="18"/>
          <w:szCs w:val="18"/>
        </w:rPr>
        <w:t> </w:t>
      </w:r>
      <w:hyperlink r:id="rId10" w:history="1">
        <w:r w:rsidR="00B255B0">
          <w:rPr>
            <w:rStyle w:val="Hyperlink"/>
            <w:rFonts w:ascii="Helvetica" w:hAnsi="Helvetica"/>
            <w:sz w:val="18"/>
            <w:szCs w:val="18"/>
          </w:rPr>
          <w:t>https://www.earlychildhoodaustralia.org.au/our-publications/every-child-magazine/every-child-index/every-child-vol-24-4-2018/inclusion-in-early-childhood-education/</w:t>
        </w:r>
      </w:hyperlink>
      <w:r w:rsidR="00B255B0">
        <w:t xml:space="preserve"> (Accessed: 20</w:t>
      </w:r>
      <w:r w:rsidR="00B255B0" w:rsidRPr="00B255B0">
        <w:rPr>
          <w:vertAlign w:val="superscript"/>
        </w:rPr>
        <w:t>th</w:t>
      </w:r>
      <w:r w:rsidR="00B255B0">
        <w:t xml:space="preserve"> June 2023).</w:t>
      </w:r>
    </w:p>
    <w:p w14:paraId="478C1F80" w14:textId="77777777" w:rsidR="00493EA0" w:rsidRPr="00411A5F" w:rsidRDefault="00493EA0" w:rsidP="007811F0">
      <w:pPr>
        <w:spacing w:line="360" w:lineRule="auto"/>
        <w:ind w:firstLine="0"/>
        <w:jc w:val="both"/>
        <w:rPr>
          <w:rFonts w:ascii="Arial" w:hAnsi="Arial" w:cs="Arial"/>
        </w:rPr>
      </w:pPr>
      <w:r w:rsidRPr="00411A5F">
        <w:rPr>
          <w:rFonts w:ascii="Arial" w:hAnsi="Arial" w:cs="Arial"/>
        </w:rPr>
        <w:t xml:space="preserve">Epstein, J. (2018) </w:t>
      </w:r>
      <w:r w:rsidRPr="00493EA0">
        <w:rPr>
          <w:rFonts w:ascii="Arial" w:hAnsi="Arial" w:cs="Arial"/>
          <w:i/>
          <w:iCs/>
        </w:rPr>
        <w:t>School, Family, and Community Partnerships: Preparing Educators and Improving Schools</w:t>
      </w:r>
      <w:r w:rsidRPr="00411A5F">
        <w:rPr>
          <w:rFonts w:ascii="Arial" w:hAnsi="Arial" w:cs="Arial"/>
        </w:rPr>
        <w:t>. 2</w:t>
      </w:r>
      <w:r w:rsidRPr="00411A5F">
        <w:rPr>
          <w:rFonts w:ascii="Arial" w:hAnsi="Arial" w:cs="Arial"/>
          <w:vertAlign w:val="superscript"/>
        </w:rPr>
        <w:t>nd</w:t>
      </w:r>
      <w:r w:rsidRPr="00411A5F">
        <w:rPr>
          <w:rFonts w:ascii="Arial" w:hAnsi="Arial" w:cs="Arial"/>
        </w:rPr>
        <w:t xml:space="preserve"> ed. London: Routledge. </w:t>
      </w:r>
    </w:p>
    <w:p w14:paraId="5EDF4147" w14:textId="47A8B12B" w:rsidR="007811F0" w:rsidRDefault="007811F0" w:rsidP="007811F0">
      <w:pPr>
        <w:spacing w:line="360" w:lineRule="auto"/>
        <w:ind w:firstLine="0"/>
        <w:jc w:val="both"/>
        <w:rPr>
          <w:rFonts w:ascii="Arial" w:hAnsi="Arial" w:cs="Arial"/>
        </w:rPr>
      </w:pPr>
      <w:r w:rsidRPr="00411A5F">
        <w:rPr>
          <w:rFonts w:ascii="Arial" w:hAnsi="Arial" w:cs="Arial"/>
        </w:rPr>
        <w:t xml:space="preserve">Ferdman, B.M. (2014) </w:t>
      </w:r>
      <w:r w:rsidRPr="00411A5F">
        <w:rPr>
          <w:rFonts w:ascii="Arial" w:hAnsi="Arial" w:cs="Arial"/>
          <w:i/>
          <w:iCs/>
        </w:rPr>
        <w:t xml:space="preserve">Diversity at work: The practice of inclusion. </w:t>
      </w:r>
      <w:r w:rsidRPr="00411A5F">
        <w:rPr>
          <w:rFonts w:ascii="Arial" w:hAnsi="Arial" w:cs="Arial"/>
        </w:rPr>
        <w:t xml:space="preserve">Available at: </w:t>
      </w:r>
      <w:r w:rsidRPr="00411A5F">
        <w:rPr>
          <w:rFonts w:ascii="Arial" w:hAnsi="Arial" w:cs="Arial"/>
          <w:i/>
          <w:iCs/>
        </w:rPr>
        <w:t xml:space="preserve"> </w:t>
      </w:r>
      <w:hyperlink r:id="rId11" w:history="1">
        <w:r w:rsidRPr="00411A5F">
          <w:rPr>
            <w:rFonts w:ascii="Arial" w:hAnsi="Arial" w:cs="Arial"/>
            <w:i/>
            <w:iCs/>
            <w:color w:val="0000FF" w:themeColor="hyperlink"/>
            <w:u w:val="single"/>
          </w:rPr>
          <w:t>https://onlinelibrary-wiley-com.ezproxy.uwtsd.ac.uk/doi/book/10.1002/9781118764282</w:t>
        </w:r>
      </w:hyperlink>
      <w:r w:rsidRPr="00411A5F">
        <w:rPr>
          <w:rFonts w:ascii="Arial" w:hAnsi="Arial" w:cs="Arial"/>
          <w:i/>
          <w:iCs/>
        </w:rPr>
        <w:t xml:space="preserve"> (</w:t>
      </w:r>
      <w:r w:rsidRPr="00411A5F">
        <w:rPr>
          <w:rFonts w:ascii="Arial" w:hAnsi="Arial" w:cs="Arial"/>
        </w:rPr>
        <w:t xml:space="preserve">Accessed: 18 </w:t>
      </w:r>
      <w:r>
        <w:rPr>
          <w:rFonts w:ascii="Arial" w:hAnsi="Arial" w:cs="Arial"/>
        </w:rPr>
        <w:t>June</w:t>
      </w:r>
      <w:r w:rsidRPr="00411A5F">
        <w:rPr>
          <w:rFonts w:ascii="Arial" w:hAnsi="Arial" w:cs="Arial"/>
        </w:rPr>
        <w:t xml:space="preserve"> 202</w:t>
      </w:r>
      <w:r>
        <w:rPr>
          <w:rFonts w:ascii="Arial" w:hAnsi="Arial" w:cs="Arial"/>
        </w:rPr>
        <w:t>3</w:t>
      </w:r>
      <w:r w:rsidRPr="00411A5F">
        <w:rPr>
          <w:rFonts w:ascii="Arial" w:hAnsi="Arial" w:cs="Arial"/>
        </w:rPr>
        <w:t xml:space="preserve">). </w:t>
      </w:r>
    </w:p>
    <w:p w14:paraId="72B9B7F3" w14:textId="77D4840C" w:rsidR="00AE33C1" w:rsidRPr="00AE33C1" w:rsidRDefault="007811F0" w:rsidP="00AE33C1">
      <w:pPr>
        <w:spacing w:line="360" w:lineRule="auto"/>
        <w:ind w:firstLine="0"/>
        <w:jc w:val="both"/>
        <w:rPr>
          <w:rFonts w:ascii="Arial" w:hAnsi="Arial" w:cs="Arial"/>
        </w:rPr>
      </w:pPr>
      <w:r w:rsidRPr="00411A5F">
        <w:rPr>
          <w:rFonts w:ascii="Arial" w:hAnsi="Arial" w:cs="Arial"/>
        </w:rPr>
        <w:t xml:space="preserve">Ferdman, B.M., Prime, J. and Riggio, R.E. (2021) </w:t>
      </w:r>
      <w:r w:rsidRPr="00AE33C1">
        <w:rPr>
          <w:rFonts w:ascii="Arial" w:hAnsi="Arial" w:cs="Arial"/>
          <w:i/>
          <w:iCs/>
        </w:rPr>
        <w:t xml:space="preserve">Inclusive Leadership: Transforming diverse lives, </w:t>
      </w:r>
      <w:proofErr w:type="gramStart"/>
      <w:r w:rsidRPr="00AE33C1">
        <w:rPr>
          <w:rFonts w:ascii="Arial" w:hAnsi="Arial" w:cs="Arial"/>
          <w:i/>
          <w:iCs/>
        </w:rPr>
        <w:t>workplaces</w:t>
      </w:r>
      <w:proofErr w:type="gramEnd"/>
      <w:r w:rsidRPr="00AE33C1">
        <w:rPr>
          <w:rFonts w:ascii="Arial" w:hAnsi="Arial" w:cs="Arial"/>
          <w:i/>
          <w:iCs/>
        </w:rPr>
        <w:t xml:space="preserve"> and societies. </w:t>
      </w:r>
      <w:r w:rsidRPr="00411A5F">
        <w:rPr>
          <w:rFonts w:ascii="Arial" w:hAnsi="Arial" w:cs="Arial"/>
        </w:rPr>
        <w:t xml:space="preserve">London: Routledge. </w:t>
      </w:r>
    </w:p>
    <w:p w14:paraId="395E8A6D" w14:textId="5BFED99F" w:rsidR="007811F0" w:rsidRPr="00411A5F" w:rsidRDefault="00AE33C1" w:rsidP="007811F0">
      <w:pPr>
        <w:spacing w:line="360" w:lineRule="auto"/>
        <w:ind w:firstLine="0"/>
        <w:jc w:val="both"/>
        <w:rPr>
          <w:rFonts w:ascii="Arial" w:hAnsi="Arial" w:cs="Arial"/>
        </w:rPr>
      </w:pPr>
      <w:r>
        <w:rPr>
          <w:rFonts w:ascii="Arial" w:hAnsi="Arial" w:cs="Arial"/>
          <w:i/>
          <w:iCs/>
        </w:rPr>
        <w:t>Ferguson, H</w:t>
      </w:r>
      <w:r w:rsidR="007811F0" w:rsidRPr="00411A5F">
        <w:rPr>
          <w:rFonts w:ascii="Arial" w:hAnsi="Arial" w:cs="Arial"/>
          <w:i/>
          <w:iCs/>
        </w:rPr>
        <w:t>.</w:t>
      </w:r>
      <w:r>
        <w:rPr>
          <w:rFonts w:ascii="Arial" w:hAnsi="Arial" w:cs="Arial"/>
          <w:i/>
          <w:iCs/>
        </w:rPr>
        <w:t>, Disney, T.,</w:t>
      </w:r>
      <w:r w:rsidR="007811F0" w:rsidRPr="00411A5F">
        <w:rPr>
          <w:rFonts w:ascii="Arial" w:hAnsi="Arial" w:cs="Arial"/>
        </w:rPr>
        <w:t xml:space="preserve"> </w:t>
      </w:r>
      <w:r>
        <w:rPr>
          <w:rFonts w:ascii="Arial" w:hAnsi="Arial" w:cs="Arial"/>
        </w:rPr>
        <w:t xml:space="preserve">Warwick, L., Leigh, J., </w:t>
      </w:r>
      <w:proofErr w:type="spellStart"/>
      <w:r>
        <w:rPr>
          <w:rFonts w:ascii="Arial" w:hAnsi="Arial" w:cs="Arial"/>
        </w:rPr>
        <w:t>Cooner</w:t>
      </w:r>
      <w:proofErr w:type="spellEnd"/>
      <w:r>
        <w:rPr>
          <w:rFonts w:ascii="Arial" w:hAnsi="Arial" w:cs="Arial"/>
        </w:rPr>
        <w:t xml:space="preserve">, T., </w:t>
      </w:r>
      <w:proofErr w:type="spellStart"/>
      <w:r>
        <w:rPr>
          <w:rFonts w:ascii="Arial" w:hAnsi="Arial" w:cs="Arial"/>
        </w:rPr>
        <w:t>Beddoe</w:t>
      </w:r>
      <w:proofErr w:type="spellEnd"/>
      <w:r>
        <w:rPr>
          <w:rFonts w:ascii="Arial" w:hAnsi="Arial" w:cs="Arial"/>
        </w:rPr>
        <w:t xml:space="preserve">, L. </w:t>
      </w:r>
      <w:r w:rsidR="007811F0" w:rsidRPr="00411A5F">
        <w:rPr>
          <w:rFonts w:ascii="Arial" w:hAnsi="Arial" w:cs="Arial"/>
        </w:rPr>
        <w:t xml:space="preserve">(2021) ‘Hostile relationships in social work practice: anxiety, hate and conflict in long-term work with involuntary service users’, </w:t>
      </w:r>
      <w:r w:rsidR="007811F0" w:rsidRPr="00411A5F">
        <w:rPr>
          <w:rFonts w:ascii="Arial" w:hAnsi="Arial" w:cs="Arial"/>
          <w:i/>
          <w:iCs/>
        </w:rPr>
        <w:t>Journal of Social Work Practice</w:t>
      </w:r>
      <w:r w:rsidR="007811F0" w:rsidRPr="00411A5F">
        <w:rPr>
          <w:rFonts w:ascii="Arial" w:hAnsi="Arial" w:cs="Arial"/>
        </w:rPr>
        <w:t xml:space="preserve">, 35:1, 19-37. DOI: </w:t>
      </w:r>
      <w:hyperlink r:id="rId12" w:history="1">
        <w:r w:rsidR="007811F0" w:rsidRPr="00411A5F">
          <w:rPr>
            <w:rFonts w:ascii="Arial" w:hAnsi="Arial" w:cs="Arial"/>
            <w:color w:val="0000FF" w:themeColor="hyperlink"/>
            <w:u w:val="single"/>
          </w:rPr>
          <w:t>https://doi.org/10.1080/02650533.2020.1834371</w:t>
        </w:r>
      </w:hyperlink>
      <w:r w:rsidR="007811F0" w:rsidRPr="00411A5F">
        <w:rPr>
          <w:rFonts w:ascii="Arial" w:hAnsi="Arial" w:cs="Arial"/>
        </w:rPr>
        <w:t xml:space="preserve"> (Accessed: 18 November 2022).</w:t>
      </w:r>
    </w:p>
    <w:p w14:paraId="0DE1D906" w14:textId="77777777" w:rsidR="00A34F69" w:rsidRDefault="00A34F69" w:rsidP="00A34F69">
      <w:pPr>
        <w:spacing w:line="360" w:lineRule="auto"/>
        <w:ind w:firstLine="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Hafford-Letchfield</w:t>
      </w:r>
      <w:proofErr w:type="spellEnd"/>
      <w:r>
        <w:rPr>
          <w:rFonts w:ascii="Arial" w:hAnsi="Arial" w:cs="Arial"/>
          <w:color w:val="222222"/>
          <w:sz w:val="20"/>
          <w:szCs w:val="20"/>
          <w:shd w:val="clear" w:color="auto" w:fill="FFFFFF"/>
        </w:rPr>
        <w:t xml:space="preserve">, T., Lambley, S., </w:t>
      </w:r>
      <w:proofErr w:type="spellStart"/>
      <w:r>
        <w:rPr>
          <w:rFonts w:ascii="Arial" w:hAnsi="Arial" w:cs="Arial"/>
          <w:color w:val="222222"/>
          <w:sz w:val="20"/>
          <w:szCs w:val="20"/>
          <w:shd w:val="clear" w:color="auto" w:fill="FFFFFF"/>
        </w:rPr>
        <w:t>Spolander</w:t>
      </w:r>
      <w:proofErr w:type="spellEnd"/>
      <w:r>
        <w:rPr>
          <w:rFonts w:ascii="Arial" w:hAnsi="Arial" w:cs="Arial"/>
          <w:color w:val="222222"/>
          <w:sz w:val="20"/>
          <w:szCs w:val="20"/>
          <w:shd w:val="clear" w:color="auto" w:fill="FFFFFF"/>
        </w:rPr>
        <w:t>, G., &amp; Cocker, C. (2014). </w:t>
      </w:r>
      <w:r>
        <w:rPr>
          <w:rFonts w:ascii="Arial" w:hAnsi="Arial" w:cs="Arial"/>
          <w:i/>
          <w:iCs/>
          <w:color w:val="222222"/>
          <w:sz w:val="20"/>
          <w:szCs w:val="20"/>
          <w:shd w:val="clear" w:color="auto" w:fill="FFFFFF"/>
        </w:rPr>
        <w:t>Inclusive leadership in social work and social care</w:t>
      </w:r>
      <w:r>
        <w:rPr>
          <w:rFonts w:ascii="Arial" w:hAnsi="Arial" w:cs="Arial"/>
          <w:color w:val="222222"/>
          <w:sz w:val="20"/>
          <w:szCs w:val="20"/>
          <w:shd w:val="clear" w:color="auto" w:fill="FFFFFF"/>
        </w:rPr>
        <w:t>. Bristol: Policy Press.</w:t>
      </w:r>
    </w:p>
    <w:p w14:paraId="2ACE292F" w14:textId="77777777" w:rsidR="00FC54EB" w:rsidRDefault="00FC54EB" w:rsidP="00FC54EB">
      <w:pPr>
        <w:spacing w:after="0"/>
        <w:ind w:firstLine="0"/>
      </w:pPr>
      <w:r>
        <w:t xml:space="preserve">Kent, J., </w:t>
      </w:r>
      <w:proofErr w:type="spellStart"/>
      <w:r>
        <w:t>andMcDonald</w:t>
      </w:r>
      <w:proofErr w:type="spellEnd"/>
      <w:r>
        <w:t xml:space="preserve">, S. (2020) "What are the experiences of speech and language </w:t>
      </w:r>
      <w:proofErr w:type="gramStart"/>
      <w:r>
        <w:t>therapists</w:t>
      </w:r>
      <w:proofErr w:type="gramEnd"/>
    </w:p>
    <w:p w14:paraId="420EC4F8" w14:textId="77777777" w:rsidR="00FC54EB" w:rsidRDefault="00FC54EB" w:rsidP="00FC54EB">
      <w:pPr>
        <w:spacing w:after="0"/>
        <w:ind w:firstLine="0"/>
      </w:pPr>
      <w:r>
        <w:t xml:space="preserve">implementing a staff development approach in early years settings to enhance </w:t>
      </w:r>
      <w:proofErr w:type="gramStart"/>
      <w:r>
        <w:t>good</w:t>
      </w:r>
      <w:proofErr w:type="gramEnd"/>
    </w:p>
    <w:p w14:paraId="4BA73037" w14:textId="77777777" w:rsidR="00FC54EB" w:rsidRDefault="00FC54EB" w:rsidP="00FC54EB">
      <w:pPr>
        <w:spacing w:after="0"/>
        <w:ind w:firstLine="0"/>
      </w:pPr>
      <w:r>
        <w:t xml:space="preserve">communication practices?" </w:t>
      </w:r>
      <w:r w:rsidRPr="00AC5CBD">
        <w:rPr>
          <w:i/>
          <w:iCs/>
        </w:rPr>
        <w:t>Child Language Teaching and Therapy</w:t>
      </w:r>
      <w:r>
        <w:t>, vol. 36, no. 1,</w:t>
      </w:r>
    </w:p>
    <w:p w14:paraId="007E7C7E" w14:textId="38674FCA" w:rsidR="00FC54EB" w:rsidRPr="00FC54EB" w:rsidRDefault="00FC54EB" w:rsidP="00FC54EB">
      <w:pPr>
        <w:spacing w:after="0"/>
        <w:ind w:firstLine="0"/>
      </w:pPr>
      <w:r>
        <w:lastRenderedPageBreak/>
        <w:t xml:space="preserve">pp. 3-18. Available at: </w:t>
      </w:r>
      <w:hyperlink r:id="rId13" w:history="1">
        <w:r w:rsidRPr="000F3B5B">
          <w:rPr>
            <w:rStyle w:val="Hyperlink"/>
          </w:rPr>
          <w:t>https://journals.sagepub.com/doi/pdf/10.1177/0265659020974426</w:t>
        </w:r>
      </w:hyperlink>
      <w:r>
        <w:t>. (Accessed: 11</w:t>
      </w:r>
      <w:r w:rsidRPr="00AC5CBD">
        <w:rPr>
          <w:vertAlign w:val="superscript"/>
        </w:rPr>
        <w:t>th</w:t>
      </w:r>
      <w:r>
        <w:t xml:space="preserve"> June 2023).</w:t>
      </w:r>
    </w:p>
    <w:p w14:paraId="35BDE28E" w14:textId="77777777" w:rsidR="00FC54EB" w:rsidRDefault="00FC54EB" w:rsidP="00FC54EB">
      <w:pPr>
        <w:spacing w:after="0"/>
        <w:ind w:firstLine="0"/>
      </w:pPr>
      <w:proofErr w:type="spellStart"/>
      <w:r>
        <w:t>Marton</w:t>
      </w:r>
      <w:proofErr w:type="spellEnd"/>
      <w:r>
        <w:t xml:space="preserve">, Vera, et al. (2022) "Inclusive bilingual early years education by means of the Reggio Emilia Approach." </w:t>
      </w:r>
      <w:r w:rsidRPr="00AC5CBD">
        <w:rPr>
          <w:i/>
          <w:iCs/>
        </w:rPr>
        <w:t>Journal of Early Childhood Education Research</w:t>
      </w:r>
      <w:r>
        <w:t>, vol. 11, no. 1, pp.</w:t>
      </w:r>
    </w:p>
    <w:p w14:paraId="3BACF97B" w14:textId="7ED971F1" w:rsidR="00E81E75" w:rsidRDefault="00FC54EB" w:rsidP="00FC54EB">
      <w:pPr>
        <w:spacing w:after="0"/>
        <w:ind w:firstLine="0"/>
      </w:pPr>
      <w:r>
        <w:t xml:space="preserve">1-16. Available at: </w:t>
      </w:r>
      <w:hyperlink r:id="rId14" w:history="1">
        <w:r w:rsidRPr="000F3B5B">
          <w:rPr>
            <w:rStyle w:val="Hyperlink"/>
          </w:rPr>
          <w:t>https://ojs.elte.hu/gyermekneveles/article/download/4185/3489</w:t>
        </w:r>
      </w:hyperlink>
      <w:r>
        <w:t>. (Accessed: 11</w:t>
      </w:r>
      <w:r w:rsidRPr="00AC5CBD">
        <w:rPr>
          <w:vertAlign w:val="superscript"/>
        </w:rPr>
        <w:t>th</w:t>
      </w:r>
      <w:r>
        <w:t xml:space="preserve"> June 2023).</w:t>
      </w:r>
      <w:r w:rsidR="00B255B0">
        <w:rPr>
          <w:rFonts w:ascii="Helvetica" w:hAnsi="Helvetica"/>
          <w:color w:val="000000"/>
          <w:sz w:val="18"/>
          <w:szCs w:val="18"/>
        </w:rPr>
        <w:br/>
        <w:t>- National Association for the Education of Young Children. (2019). Advancing equity in early childhood education. Available at:</w:t>
      </w:r>
      <w:r w:rsidR="00B255B0">
        <w:rPr>
          <w:rStyle w:val="apple-converted-space"/>
          <w:rFonts w:ascii="Helvetica" w:hAnsi="Helvetica"/>
          <w:color w:val="000000"/>
          <w:sz w:val="18"/>
          <w:szCs w:val="18"/>
        </w:rPr>
        <w:t> </w:t>
      </w:r>
      <w:hyperlink r:id="rId15" w:history="1">
        <w:r w:rsidR="00B255B0">
          <w:rPr>
            <w:rStyle w:val="Hyperlink"/>
            <w:rFonts w:ascii="Helvetica" w:hAnsi="Helvetica"/>
            <w:sz w:val="18"/>
            <w:szCs w:val="18"/>
          </w:rPr>
          <w:t>https://www.naeyc.org/resources/topics/equity</w:t>
        </w:r>
      </w:hyperlink>
      <w:r w:rsidR="00B255B0">
        <w:t xml:space="preserve"> (Accessed: 20</w:t>
      </w:r>
      <w:r w:rsidR="00B255B0" w:rsidRPr="00B255B0">
        <w:rPr>
          <w:vertAlign w:val="superscript"/>
        </w:rPr>
        <w:t>th</w:t>
      </w:r>
      <w:r w:rsidR="00B255B0">
        <w:t xml:space="preserve"> June 2023).</w:t>
      </w:r>
    </w:p>
    <w:p w14:paraId="530A5E89" w14:textId="20B2F575" w:rsidR="00A34F69" w:rsidRPr="00411A5F" w:rsidRDefault="00A34F69" w:rsidP="00A34F69">
      <w:pPr>
        <w:spacing w:line="360" w:lineRule="auto"/>
        <w:ind w:firstLine="0"/>
        <w:jc w:val="both"/>
        <w:rPr>
          <w:rFonts w:ascii="Arial" w:hAnsi="Arial" w:cs="Arial"/>
        </w:rPr>
      </w:pPr>
      <w:r w:rsidRPr="00411A5F">
        <w:rPr>
          <w:rFonts w:ascii="Arial" w:hAnsi="Arial" w:cs="Arial"/>
        </w:rPr>
        <w:t xml:space="preserve">NSPCC (2019) </w:t>
      </w:r>
      <w:r w:rsidRPr="00411A5F">
        <w:rPr>
          <w:rFonts w:ascii="Arial" w:hAnsi="Arial" w:cs="Arial"/>
          <w:i/>
          <w:iCs/>
        </w:rPr>
        <w:t>Multi-agency working.</w:t>
      </w:r>
      <w:r w:rsidRPr="00411A5F">
        <w:rPr>
          <w:rFonts w:ascii="Arial" w:hAnsi="Arial" w:cs="Arial"/>
        </w:rPr>
        <w:t xml:space="preserve"> Available at: </w:t>
      </w:r>
      <w:hyperlink r:id="rId16" w:anchor="heading-top" w:history="1">
        <w:r w:rsidRPr="00411A5F">
          <w:rPr>
            <w:rFonts w:ascii="Arial" w:hAnsi="Arial" w:cs="Arial"/>
            <w:color w:val="0000FF" w:themeColor="hyperlink"/>
            <w:u w:val="single"/>
          </w:rPr>
          <w:t>https://learning.nspcc.org.uk/child-protection-system/multi-agency-working-child-protection#heading-top</w:t>
        </w:r>
      </w:hyperlink>
      <w:r w:rsidRPr="00411A5F">
        <w:rPr>
          <w:rFonts w:ascii="Arial" w:hAnsi="Arial" w:cs="Arial"/>
        </w:rPr>
        <w:t xml:space="preserve"> (Accessed: </w:t>
      </w:r>
      <w:r>
        <w:rPr>
          <w:rFonts w:ascii="Arial" w:hAnsi="Arial" w:cs="Arial"/>
        </w:rPr>
        <w:t>08</w:t>
      </w:r>
      <w:r w:rsidRPr="00A34F69">
        <w:rPr>
          <w:rFonts w:ascii="Arial" w:hAnsi="Arial" w:cs="Arial"/>
          <w:vertAlign w:val="superscript"/>
        </w:rPr>
        <w:t>th</w:t>
      </w:r>
      <w:r>
        <w:rPr>
          <w:rFonts w:ascii="Arial" w:hAnsi="Arial" w:cs="Arial"/>
        </w:rPr>
        <w:t xml:space="preserve"> June</w:t>
      </w:r>
      <w:r w:rsidRPr="00411A5F">
        <w:rPr>
          <w:rFonts w:ascii="Arial" w:hAnsi="Arial" w:cs="Arial"/>
        </w:rPr>
        <w:t xml:space="preserve"> 202</w:t>
      </w:r>
      <w:r>
        <w:rPr>
          <w:rFonts w:ascii="Arial" w:hAnsi="Arial" w:cs="Arial"/>
        </w:rPr>
        <w:t>3</w:t>
      </w:r>
      <w:r w:rsidRPr="00411A5F">
        <w:rPr>
          <w:rFonts w:ascii="Arial" w:hAnsi="Arial" w:cs="Arial"/>
        </w:rPr>
        <w:t>).</w:t>
      </w:r>
    </w:p>
    <w:p w14:paraId="1A31B5DE" w14:textId="2EB149A1" w:rsidR="0017674D" w:rsidRPr="00411A5F" w:rsidRDefault="0017674D" w:rsidP="0017674D">
      <w:pPr>
        <w:spacing w:line="360" w:lineRule="auto"/>
        <w:ind w:firstLine="0"/>
        <w:jc w:val="both"/>
        <w:rPr>
          <w:rFonts w:ascii="Arial" w:hAnsi="Arial" w:cs="Arial"/>
        </w:rPr>
      </w:pPr>
      <w:proofErr w:type="spellStart"/>
      <w:r w:rsidRPr="00411A5F">
        <w:rPr>
          <w:rFonts w:ascii="Arial" w:hAnsi="Arial" w:cs="Arial"/>
        </w:rPr>
        <w:t>Öztürk</w:t>
      </w:r>
      <w:proofErr w:type="spellEnd"/>
      <w:r w:rsidRPr="00411A5F">
        <w:rPr>
          <w:rFonts w:ascii="Arial" w:hAnsi="Arial" w:cs="Arial"/>
        </w:rPr>
        <w:t xml:space="preserve">, M. (2013) ‘Family partnership in early childhood assessment’, </w:t>
      </w:r>
      <w:r w:rsidRPr="00411A5F">
        <w:rPr>
          <w:rFonts w:ascii="Arial" w:hAnsi="Arial" w:cs="Arial"/>
          <w:i/>
          <w:iCs/>
        </w:rPr>
        <w:t>Mediterranean Journal of Social Sciences</w:t>
      </w:r>
      <w:r w:rsidRPr="00411A5F">
        <w:rPr>
          <w:rFonts w:ascii="Arial" w:hAnsi="Arial" w:cs="Arial"/>
        </w:rPr>
        <w:t xml:space="preserve">, 4(3), p.679. URL: </w:t>
      </w:r>
      <w:hyperlink r:id="rId17" w:history="1">
        <w:r w:rsidRPr="00411A5F">
          <w:rPr>
            <w:rFonts w:ascii="Arial" w:hAnsi="Arial" w:cs="Arial"/>
            <w:color w:val="0000FF" w:themeColor="hyperlink"/>
            <w:u w:val="single"/>
          </w:rPr>
          <w:t>https://www.mcser.org/journal/index.php/mjss/article/viewFile/525/550</w:t>
        </w:r>
      </w:hyperlink>
      <w:r w:rsidRPr="00411A5F">
        <w:rPr>
          <w:rFonts w:ascii="Arial" w:hAnsi="Arial" w:cs="Arial"/>
        </w:rPr>
        <w:t xml:space="preserve"> (Accessed: </w:t>
      </w:r>
      <w:r>
        <w:rPr>
          <w:rFonts w:ascii="Arial" w:hAnsi="Arial" w:cs="Arial"/>
        </w:rPr>
        <w:t>08</w:t>
      </w:r>
      <w:r w:rsidRPr="0017674D">
        <w:rPr>
          <w:rFonts w:ascii="Arial" w:hAnsi="Arial" w:cs="Arial"/>
          <w:vertAlign w:val="superscript"/>
        </w:rPr>
        <w:t>th</w:t>
      </w:r>
      <w:r>
        <w:rPr>
          <w:rFonts w:ascii="Arial" w:hAnsi="Arial" w:cs="Arial"/>
        </w:rPr>
        <w:t xml:space="preserve"> June</w:t>
      </w:r>
      <w:r w:rsidRPr="00411A5F">
        <w:rPr>
          <w:rFonts w:ascii="Arial" w:hAnsi="Arial" w:cs="Arial"/>
        </w:rPr>
        <w:t xml:space="preserve"> 202</w:t>
      </w:r>
      <w:r>
        <w:rPr>
          <w:rFonts w:ascii="Arial" w:hAnsi="Arial" w:cs="Arial"/>
        </w:rPr>
        <w:t>3</w:t>
      </w:r>
      <w:r w:rsidRPr="00411A5F">
        <w:rPr>
          <w:rFonts w:ascii="Arial" w:hAnsi="Arial" w:cs="Arial"/>
        </w:rPr>
        <w:t>).</w:t>
      </w:r>
    </w:p>
    <w:p w14:paraId="037CDC9B" w14:textId="42037E57" w:rsidR="00497862" w:rsidRDefault="00497862" w:rsidP="00497862">
      <w:pPr>
        <w:spacing w:line="360" w:lineRule="auto"/>
        <w:ind w:firstLine="0"/>
        <w:jc w:val="both"/>
        <w:rPr>
          <w:rFonts w:ascii="Arial" w:hAnsi="Arial" w:cs="Arial"/>
        </w:rPr>
      </w:pPr>
      <w:r w:rsidRPr="00411A5F">
        <w:rPr>
          <w:rFonts w:ascii="Arial" w:hAnsi="Arial" w:cs="Arial"/>
        </w:rPr>
        <w:t xml:space="preserve">Social Care Wales (2020) The Drama Triangle in Child Protection [Video]. Available at: </w:t>
      </w:r>
      <w:hyperlink r:id="rId18" w:history="1">
        <w:r w:rsidRPr="00411A5F">
          <w:rPr>
            <w:rFonts w:ascii="Arial" w:hAnsi="Arial" w:cs="Arial"/>
            <w:color w:val="0000FF" w:themeColor="hyperlink"/>
            <w:u w:val="single"/>
          </w:rPr>
          <w:t>https://www.youtube.com/watch?v=-gzQbhyEsr4&amp;t=513s</w:t>
        </w:r>
      </w:hyperlink>
      <w:r w:rsidRPr="00411A5F">
        <w:rPr>
          <w:rFonts w:ascii="Arial" w:hAnsi="Arial" w:cs="Arial"/>
        </w:rPr>
        <w:t xml:space="preserve"> (Accessed: 11</w:t>
      </w:r>
      <w:r w:rsidRPr="00497862">
        <w:rPr>
          <w:rFonts w:ascii="Arial" w:hAnsi="Arial" w:cs="Arial"/>
          <w:vertAlign w:val="superscript"/>
        </w:rPr>
        <w:t>th</w:t>
      </w:r>
      <w:r w:rsidRPr="00411A5F">
        <w:rPr>
          <w:rFonts w:ascii="Arial" w:hAnsi="Arial" w:cs="Arial"/>
        </w:rPr>
        <w:t xml:space="preserve"> J</w:t>
      </w:r>
      <w:r>
        <w:rPr>
          <w:rFonts w:ascii="Arial" w:hAnsi="Arial" w:cs="Arial"/>
        </w:rPr>
        <w:t>une</w:t>
      </w:r>
      <w:r w:rsidRPr="00411A5F">
        <w:rPr>
          <w:rFonts w:ascii="Arial" w:hAnsi="Arial" w:cs="Arial"/>
        </w:rPr>
        <w:t xml:space="preserve"> 202</w:t>
      </w:r>
      <w:r>
        <w:rPr>
          <w:rFonts w:ascii="Arial" w:hAnsi="Arial" w:cs="Arial"/>
        </w:rPr>
        <w:t>3</w:t>
      </w:r>
      <w:r w:rsidRPr="00411A5F">
        <w:rPr>
          <w:rFonts w:ascii="Arial" w:hAnsi="Arial" w:cs="Arial"/>
        </w:rPr>
        <w:t xml:space="preserve">). </w:t>
      </w:r>
    </w:p>
    <w:p w14:paraId="513918A6" w14:textId="5ACA8AAD" w:rsidR="00FC54EB" w:rsidRPr="00411A5F" w:rsidRDefault="00FC54EB" w:rsidP="00497862">
      <w:pPr>
        <w:spacing w:line="360" w:lineRule="auto"/>
        <w:ind w:firstLine="0"/>
        <w:jc w:val="both"/>
        <w:rPr>
          <w:rFonts w:ascii="Arial" w:hAnsi="Arial" w:cs="Arial"/>
        </w:rPr>
      </w:pPr>
      <w:proofErr w:type="spellStart"/>
      <w:r>
        <w:rPr>
          <w:rFonts w:ascii="Arial" w:hAnsi="Arial" w:cs="Arial"/>
          <w:color w:val="222222"/>
          <w:sz w:val="20"/>
          <w:szCs w:val="20"/>
          <w:shd w:val="clear" w:color="auto" w:fill="FFFFFF"/>
        </w:rPr>
        <w:t>Venketsamy</w:t>
      </w:r>
      <w:proofErr w:type="spellEnd"/>
      <w:r>
        <w:rPr>
          <w:rFonts w:ascii="Arial" w:hAnsi="Arial" w:cs="Arial"/>
          <w:color w:val="222222"/>
          <w:sz w:val="20"/>
          <w:szCs w:val="20"/>
          <w:shd w:val="clear" w:color="auto" w:fill="FFFFFF"/>
        </w:rPr>
        <w:t xml:space="preserve">, R., Smart, L., &amp; </w:t>
      </w:r>
      <w:proofErr w:type="spellStart"/>
      <w:r>
        <w:rPr>
          <w:rFonts w:ascii="Arial" w:hAnsi="Arial" w:cs="Arial"/>
          <w:color w:val="222222"/>
          <w:sz w:val="20"/>
          <w:szCs w:val="20"/>
          <w:shd w:val="clear" w:color="auto" w:fill="FFFFFF"/>
        </w:rPr>
        <w:t>Zijing</w:t>
      </w:r>
      <w:proofErr w:type="spellEnd"/>
      <w:r>
        <w:rPr>
          <w:rFonts w:ascii="Arial" w:hAnsi="Arial" w:cs="Arial"/>
          <w:color w:val="222222"/>
          <w:sz w:val="20"/>
          <w:szCs w:val="20"/>
          <w:shd w:val="clear" w:color="auto" w:fill="FFFFFF"/>
        </w:rPr>
        <w:t>, H. U. (2021). Creating and leading a learning environment in diverse Foundation Phase classrooms in a South African school. </w:t>
      </w:r>
      <w:r>
        <w:rPr>
          <w:rFonts w:ascii="Arial" w:hAnsi="Arial" w:cs="Arial"/>
          <w:i/>
          <w:iCs/>
          <w:color w:val="222222"/>
          <w:sz w:val="20"/>
          <w:szCs w:val="20"/>
          <w:shd w:val="clear" w:color="auto" w:fill="FFFFFF"/>
        </w:rPr>
        <w:t>Journal for the Education of Gifted Young Scientists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(4), 359-376.</w:t>
      </w:r>
    </w:p>
    <w:p w14:paraId="2537033A" w14:textId="345BCE95" w:rsidR="008861B4" w:rsidRDefault="008861B4" w:rsidP="008861B4">
      <w:pPr>
        <w:spacing w:line="360" w:lineRule="auto"/>
        <w:ind w:firstLine="0"/>
        <w:jc w:val="both"/>
        <w:rPr>
          <w:rFonts w:ascii="Arial" w:hAnsi="Arial" w:cs="Arial"/>
        </w:rPr>
      </w:pPr>
      <w:r w:rsidRPr="00411A5F">
        <w:rPr>
          <w:rFonts w:ascii="Arial" w:hAnsi="Arial" w:cs="Arial"/>
        </w:rPr>
        <w:t xml:space="preserve">Ward, H., Brown, R. and Hyde-Dryden, G. (2014) </w:t>
      </w:r>
      <w:r w:rsidRPr="00411A5F">
        <w:rPr>
          <w:rFonts w:ascii="Arial" w:hAnsi="Arial" w:cs="Arial"/>
          <w:i/>
          <w:iCs/>
        </w:rPr>
        <w:t>Assessing Parental Capacity to Change when Children are on the Edge of Care: an overview of current research evidence.</w:t>
      </w:r>
      <w:r w:rsidRPr="00411A5F">
        <w:rPr>
          <w:rFonts w:ascii="Arial" w:hAnsi="Arial" w:cs="Arial"/>
        </w:rPr>
        <w:t xml:space="preserve"> Available</w:t>
      </w:r>
      <w:r>
        <w:rPr>
          <w:rFonts w:ascii="Arial" w:hAnsi="Arial" w:cs="Arial"/>
        </w:rPr>
        <w:t xml:space="preserve"> </w:t>
      </w:r>
      <w:r w:rsidRPr="00411A5F">
        <w:rPr>
          <w:rFonts w:ascii="Arial" w:hAnsi="Arial" w:cs="Arial"/>
        </w:rPr>
        <w:t xml:space="preserve">at: </w:t>
      </w:r>
    </w:p>
    <w:p w14:paraId="1733B993" w14:textId="7D7C6191" w:rsidR="008861B4" w:rsidRPr="00411A5F" w:rsidRDefault="00000000" w:rsidP="008861B4">
      <w:pPr>
        <w:spacing w:line="360" w:lineRule="auto"/>
        <w:ind w:firstLine="0"/>
        <w:jc w:val="both"/>
        <w:rPr>
          <w:rFonts w:ascii="Arial" w:hAnsi="Arial" w:cs="Arial"/>
        </w:rPr>
      </w:pPr>
      <w:hyperlink r:id="rId19" w:history="1">
        <w:r w:rsidR="008861B4" w:rsidRPr="000F3B5B">
          <w:rPr>
            <w:rStyle w:val="Hyperlink"/>
            <w:rFonts w:ascii="Arial" w:hAnsi="Arial" w:cs="Arial"/>
          </w:rPr>
          <w:t>https://repository.lboro.ac.uk/articles/report/Assessing_parental_capacity_to_change_when_children_are_on_the_edge_of_care_an_overview_of_current_research_evidence/9580151</w:t>
        </w:r>
      </w:hyperlink>
      <w:r w:rsidR="008861B4" w:rsidRPr="00411A5F">
        <w:rPr>
          <w:rFonts w:ascii="Arial" w:hAnsi="Arial" w:cs="Arial"/>
        </w:rPr>
        <w:t xml:space="preserve"> (Accessed: 1</w:t>
      </w:r>
      <w:r w:rsidR="008861B4">
        <w:rPr>
          <w:rFonts w:ascii="Arial" w:hAnsi="Arial" w:cs="Arial"/>
        </w:rPr>
        <w:t>1th</w:t>
      </w:r>
      <w:r w:rsidR="008861B4" w:rsidRPr="00411A5F">
        <w:rPr>
          <w:rFonts w:ascii="Arial" w:hAnsi="Arial" w:cs="Arial"/>
        </w:rPr>
        <w:t xml:space="preserve"> </w:t>
      </w:r>
      <w:r w:rsidR="008861B4">
        <w:rPr>
          <w:rFonts w:ascii="Arial" w:hAnsi="Arial" w:cs="Arial"/>
        </w:rPr>
        <w:t>June</w:t>
      </w:r>
      <w:r w:rsidR="008861B4" w:rsidRPr="00411A5F">
        <w:rPr>
          <w:rFonts w:ascii="Arial" w:hAnsi="Arial" w:cs="Arial"/>
        </w:rPr>
        <w:t xml:space="preserve"> 202</w:t>
      </w:r>
      <w:r w:rsidR="008861B4">
        <w:rPr>
          <w:rFonts w:ascii="Arial" w:hAnsi="Arial" w:cs="Arial"/>
        </w:rPr>
        <w:t>3</w:t>
      </w:r>
      <w:r w:rsidR="008861B4" w:rsidRPr="00411A5F">
        <w:rPr>
          <w:rFonts w:ascii="Arial" w:hAnsi="Arial" w:cs="Arial"/>
        </w:rPr>
        <w:t xml:space="preserve">). </w:t>
      </w:r>
    </w:p>
    <w:p w14:paraId="23CA37FB" w14:textId="2EDB539B" w:rsidR="00AE04C0" w:rsidRPr="00411A5F" w:rsidRDefault="00AE04C0" w:rsidP="00AE04C0">
      <w:pPr>
        <w:spacing w:line="360" w:lineRule="auto"/>
        <w:ind w:firstLine="0"/>
        <w:jc w:val="both"/>
        <w:rPr>
          <w:rFonts w:ascii="Arial" w:hAnsi="Arial" w:cs="Arial"/>
        </w:rPr>
      </w:pPr>
      <w:r w:rsidRPr="00411A5F">
        <w:rPr>
          <w:rFonts w:ascii="Arial" w:hAnsi="Arial" w:cs="Arial"/>
        </w:rPr>
        <w:lastRenderedPageBreak/>
        <w:t xml:space="preserve">Welsh Government (2017) Education in Wales: Our national mission Action plan 2017–21. Available at: </w:t>
      </w:r>
      <w:hyperlink r:id="rId20" w:history="1">
        <w:r w:rsidRPr="00411A5F">
          <w:rPr>
            <w:rFonts w:ascii="Arial" w:hAnsi="Arial" w:cs="Arial"/>
            <w:color w:val="0000FF" w:themeColor="hyperlink"/>
            <w:u w:val="single"/>
          </w:rPr>
          <w:t>https://gov.wales/sites/default/files/publications/2018-03/education-in-wales-our-national-mission.pdf</w:t>
        </w:r>
      </w:hyperlink>
      <w:r w:rsidRPr="00411A5F">
        <w:rPr>
          <w:rFonts w:ascii="Arial" w:hAnsi="Arial" w:cs="Arial"/>
        </w:rPr>
        <w:t xml:space="preserve"> (Accessed: </w:t>
      </w:r>
      <w:r>
        <w:rPr>
          <w:rFonts w:ascii="Arial" w:hAnsi="Arial" w:cs="Arial"/>
        </w:rPr>
        <w:t>0</w:t>
      </w:r>
      <w:r w:rsidRPr="00411A5F">
        <w:rPr>
          <w:rFonts w:ascii="Arial" w:hAnsi="Arial" w:cs="Arial"/>
        </w:rPr>
        <w:t>8</w:t>
      </w:r>
      <w:r w:rsidRPr="00AE04C0">
        <w:rPr>
          <w:rFonts w:ascii="Arial" w:hAnsi="Arial" w:cs="Arial"/>
          <w:vertAlign w:val="superscript"/>
        </w:rPr>
        <w:t>th</w:t>
      </w:r>
      <w:r w:rsidRPr="00411A5F">
        <w:rPr>
          <w:rFonts w:ascii="Arial" w:hAnsi="Arial" w:cs="Arial"/>
        </w:rPr>
        <w:t xml:space="preserve"> </w:t>
      </w:r>
      <w:r>
        <w:rPr>
          <w:rFonts w:ascii="Arial" w:hAnsi="Arial" w:cs="Arial"/>
        </w:rPr>
        <w:t>June</w:t>
      </w:r>
      <w:r w:rsidRPr="00411A5F">
        <w:rPr>
          <w:rFonts w:ascii="Arial" w:hAnsi="Arial" w:cs="Arial"/>
        </w:rPr>
        <w:t xml:space="preserve"> 202</w:t>
      </w:r>
      <w:r>
        <w:rPr>
          <w:rFonts w:ascii="Arial" w:hAnsi="Arial" w:cs="Arial"/>
        </w:rPr>
        <w:t>3</w:t>
      </w:r>
      <w:r w:rsidRPr="00411A5F">
        <w:rPr>
          <w:rFonts w:ascii="Arial" w:hAnsi="Arial" w:cs="Arial"/>
        </w:rPr>
        <w:t>).</w:t>
      </w:r>
    </w:p>
    <w:p w14:paraId="1FD24D63" w14:textId="77777777" w:rsidR="00AE04C0" w:rsidRPr="00411A5F" w:rsidRDefault="00AE04C0" w:rsidP="00AE04C0">
      <w:pPr>
        <w:spacing w:line="360" w:lineRule="auto"/>
        <w:jc w:val="both"/>
        <w:rPr>
          <w:rFonts w:ascii="Arial" w:hAnsi="Arial" w:cs="Arial"/>
        </w:rPr>
      </w:pPr>
    </w:p>
    <w:p w14:paraId="61EF8117" w14:textId="32D0D3EA" w:rsidR="00AE04C0" w:rsidRPr="00411A5F" w:rsidRDefault="00AE04C0" w:rsidP="00AE04C0">
      <w:pPr>
        <w:spacing w:line="360" w:lineRule="auto"/>
        <w:ind w:firstLine="0"/>
        <w:jc w:val="both"/>
        <w:rPr>
          <w:rFonts w:ascii="Arial" w:hAnsi="Arial" w:cs="Arial"/>
        </w:rPr>
      </w:pPr>
      <w:r w:rsidRPr="00411A5F">
        <w:rPr>
          <w:rFonts w:ascii="Arial" w:hAnsi="Arial" w:cs="Arial"/>
        </w:rPr>
        <w:t xml:space="preserve">Welsh Government (2019) </w:t>
      </w:r>
      <w:r w:rsidRPr="00411A5F">
        <w:rPr>
          <w:rFonts w:ascii="Arial" w:hAnsi="Arial" w:cs="Arial"/>
          <w:i/>
          <w:iCs/>
        </w:rPr>
        <w:t>Substance Misuse Delivery Plan 2019-2022</w:t>
      </w:r>
      <w:r w:rsidRPr="00411A5F">
        <w:rPr>
          <w:rFonts w:ascii="Arial" w:hAnsi="Arial" w:cs="Arial"/>
        </w:rPr>
        <w:t xml:space="preserve">. Available at: </w:t>
      </w:r>
      <w:hyperlink r:id="rId21" w:history="1">
        <w:r w:rsidRPr="00411A5F">
          <w:rPr>
            <w:rFonts w:ascii="Arial" w:hAnsi="Arial" w:cs="Arial"/>
            <w:color w:val="0000FF" w:themeColor="hyperlink"/>
            <w:u w:val="single"/>
          </w:rPr>
          <w:t>https://gov.wales/sites/default/files/publications/2019-10/substance-misuse-delivery-plan-2019-22.pdf</w:t>
        </w:r>
      </w:hyperlink>
      <w:r w:rsidRPr="00411A5F">
        <w:rPr>
          <w:rFonts w:ascii="Arial" w:hAnsi="Arial" w:cs="Arial"/>
        </w:rPr>
        <w:t xml:space="preserve"> (Accessed: </w:t>
      </w:r>
      <w:r>
        <w:rPr>
          <w:rFonts w:ascii="Arial" w:hAnsi="Arial" w:cs="Arial"/>
        </w:rPr>
        <w:t>08</w:t>
      </w:r>
      <w:r w:rsidRPr="00AE04C0">
        <w:rPr>
          <w:rFonts w:ascii="Arial" w:hAnsi="Arial" w:cs="Arial"/>
          <w:vertAlign w:val="superscript"/>
        </w:rPr>
        <w:t>th</w:t>
      </w:r>
      <w:r w:rsidRPr="00411A5F">
        <w:rPr>
          <w:rFonts w:ascii="Arial" w:hAnsi="Arial" w:cs="Arial"/>
        </w:rPr>
        <w:t xml:space="preserve"> J</w:t>
      </w:r>
      <w:r>
        <w:rPr>
          <w:rFonts w:ascii="Arial" w:hAnsi="Arial" w:cs="Arial"/>
        </w:rPr>
        <w:t>une</w:t>
      </w:r>
      <w:r w:rsidRPr="00411A5F">
        <w:rPr>
          <w:rFonts w:ascii="Arial" w:hAnsi="Arial" w:cs="Arial"/>
        </w:rPr>
        <w:t xml:space="preserve"> 202</w:t>
      </w:r>
      <w:r>
        <w:rPr>
          <w:rFonts w:ascii="Arial" w:hAnsi="Arial" w:cs="Arial"/>
        </w:rPr>
        <w:t>3</w:t>
      </w:r>
      <w:r w:rsidRPr="00411A5F">
        <w:rPr>
          <w:rFonts w:ascii="Arial" w:hAnsi="Arial" w:cs="Arial"/>
        </w:rPr>
        <w:t>).</w:t>
      </w:r>
    </w:p>
    <w:p w14:paraId="3C383D0D" w14:textId="77777777" w:rsidR="00AE04C0" w:rsidRPr="00411A5F" w:rsidRDefault="00AE04C0" w:rsidP="00AE04C0">
      <w:pPr>
        <w:spacing w:line="360" w:lineRule="auto"/>
        <w:jc w:val="both"/>
        <w:rPr>
          <w:rFonts w:ascii="Arial" w:hAnsi="Arial" w:cs="Arial"/>
        </w:rPr>
      </w:pPr>
    </w:p>
    <w:p w14:paraId="548AF290" w14:textId="5445F2F2" w:rsidR="00AE04C0" w:rsidRPr="00411A5F" w:rsidRDefault="00AE04C0" w:rsidP="00AE04C0">
      <w:pPr>
        <w:spacing w:line="360" w:lineRule="auto"/>
        <w:ind w:firstLine="0"/>
        <w:jc w:val="both"/>
        <w:rPr>
          <w:rFonts w:ascii="Arial" w:hAnsi="Arial" w:cs="Arial"/>
        </w:rPr>
      </w:pPr>
      <w:r w:rsidRPr="00411A5F">
        <w:rPr>
          <w:rFonts w:ascii="Arial" w:hAnsi="Arial" w:cs="Arial"/>
        </w:rPr>
        <w:t xml:space="preserve">Welsh Government (2020) </w:t>
      </w:r>
      <w:r w:rsidRPr="00411A5F">
        <w:rPr>
          <w:rFonts w:ascii="Arial" w:hAnsi="Arial" w:cs="Arial"/>
          <w:i/>
          <w:iCs/>
        </w:rPr>
        <w:t>Education in Wales: Our national mission guidance.</w:t>
      </w:r>
      <w:r w:rsidRPr="00411A5F">
        <w:rPr>
          <w:rFonts w:ascii="Arial" w:hAnsi="Arial" w:cs="Arial"/>
        </w:rPr>
        <w:t xml:space="preserve"> Available at: </w:t>
      </w:r>
      <w:hyperlink r:id="rId22" w:history="1">
        <w:r w:rsidRPr="00411A5F">
          <w:rPr>
            <w:rFonts w:ascii="Arial" w:hAnsi="Arial" w:cs="Arial"/>
            <w:color w:val="0000FF" w:themeColor="hyperlink"/>
            <w:u w:val="single"/>
          </w:rPr>
          <w:t>https://gov.wales/sites/default/files/publications/2020-10/education-in-Wales-our-national-mission-update-october-2020.pdf</w:t>
        </w:r>
      </w:hyperlink>
      <w:r w:rsidRPr="00411A5F">
        <w:rPr>
          <w:rFonts w:ascii="Arial" w:hAnsi="Arial" w:cs="Arial"/>
        </w:rPr>
        <w:t xml:space="preserve"> (Accessed: </w:t>
      </w:r>
      <w:r>
        <w:rPr>
          <w:rFonts w:ascii="Arial" w:hAnsi="Arial" w:cs="Arial"/>
        </w:rPr>
        <w:t>08</w:t>
      </w:r>
      <w:r w:rsidRPr="00AE04C0">
        <w:rPr>
          <w:rFonts w:ascii="Arial" w:hAnsi="Arial" w:cs="Arial"/>
          <w:vertAlign w:val="superscript"/>
        </w:rPr>
        <w:t>th</w:t>
      </w:r>
      <w:r>
        <w:rPr>
          <w:rFonts w:ascii="Arial" w:hAnsi="Arial" w:cs="Arial"/>
        </w:rPr>
        <w:t xml:space="preserve"> June</w:t>
      </w:r>
      <w:r w:rsidRPr="00411A5F">
        <w:rPr>
          <w:rFonts w:ascii="Arial" w:hAnsi="Arial" w:cs="Arial"/>
        </w:rPr>
        <w:t xml:space="preserve"> 202</w:t>
      </w:r>
      <w:r>
        <w:rPr>
          <w:rFonts w:ascii="Arial" w:hAnsi="Arial" w:cs="Arial"/>
        </w:rPr>
        <w:t>3</w:t>
      </w:r>
      <w:r w:rsidRPr="00411A5F">
        <w:rPr>
          <w:rFonts w:ascii="Arial" w:hAnsi="Arial" w:cs="Arial"/>
        </w:rPr>
        <w:t>).</w:t>
      </w:r>
    </w:p>
    <w:p w14:paraId="2B255A6A" w14:textId="77777777" w:rsidR="00A34F69" w:rsidRPr="00A34F69" w:rsidRDefault="00A34F69" w:rsidP="00A34F69">
      <w:pPr>
        <w:spacing w:line="360" w:lineRule="auto"/>
        <w:ind w:firstLine="0"/>
        <w:jc w:val="both"/>
        <w:rPr>
          <w:rFonts w:ascii="Arial" w:eastAsiaTheme="minorEastAsia" w:hAnsi="Arial" w:cs="Arial"/>
          <w:lang w:eastAsia="zh-CN"/>
        </w:rPr>
      </w:pPr>
    </w:p>
    <w:sectPr w:rsidR="00A34F69" w:rsidRPr="00A34F69">
      <w:headerReference w:type="default" r:id="rId23"/>
      <w:headerReference w:type="firs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8D4D6" w14:textId="77777777" w:rsidR="0010678F" w:rsidRDefault="0010678F">
      <w:pPr>
        <w:spacing w:after="0" w:line="240" w:lineRule="auto"/>
      </w:pPr>
      <w:r>
        <w:separator/>
      </w:r>
    </w:p>
  </w:endnote>
  <w:endnote w:type="continuationSeparator" w:id="0">
    <w:p w14:paraId="519915A8" w14:textId="77777777" w:rsidR="0010678F" w:rsidRDefault="00106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63E38" w14:textId="77777777" w:rsidR="0010678F" w:rsidRDefault="0010678F">
      <w:pPr>
        <w:spacing w:after="0" w:line="240" w:lineRule="auto"/>
      </w:pPr>
      <w:r>
        <w:separator/>
      </w:r>
    </w:p>
  </w:footnote>
  <w:footnote w:type="continuationSeparator" w:id="0">
    <w:p w14:paraId="51F8B03F" w14:textId="77777777" w:rsidR="0010678F" w:rsidRDefault="00106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F986" w14:textId="372D69B0" w:rsidR="00E81E75" w:rsidRPr="00844F49" w:rsidRDefault="00844F49">
    <w:pPr>
      <w:pBdr>
        <w:top w:val="nil"/>
        <w:left w:val="nil"/>
        <w:bottom w:val="nil"/>
        <w:right w:val="nil"/>
        <w:between w:val="nil"/>
      </w:pBdr>
      <w:tabs>
        <w:tab w:val="center" w:pos="4680"/>
        <w:tab w:val="right" w:pos="9360"/>
      </w:tabs>
      <w:spacing w:after="0" w:line="240" w:lineRule="auto"/>
      <w:ind w:firstLine="0"/>
      <w:jc w:val="right"/>
      <w:rPr>
        <w:color w:val="000000"/>
        <w:lang w:val="en-GB"/>
      </w:rPr>
    </w:pPr>
    <w:r>
      <w:rPr>
        <w:color w:val="000000"/>
        <w:lang w:val="en-GB"/>
      </w:rPr>
      <w:t>Siobhan Roper</w:t>
    </w:r>
    <w:r>
      <w:rPr>
        <w:color w:val="000000"/>
        <w:lang w:val="en-GB"/>
      </w:rPr>
      <w:br/>
      <w:t>ECEY6004</w:t>
    </w:r>
    <w:r>
      <w:rPr>
        <w:color w:val="000000"/>
        <w:lang w:val="en-GB"/>
      </w:rPr>
      <w:br/>
      <w:t>2015646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F987" w14:textId="77777777" w:rsidR="00E81E75" w:rsidRDefault="007C33C4">
    <w:pPr>
      <w:pBdr>
        <w:top w:val="nil"/>
        <w:left w:val="nil"/>
        <w:bottom w:val="nil"/>
        <w:right w:val="nil"/>
        <w:between w:val="nil"/>
      </w:pBdr>
      <w:tabs>
        <w:tab w:val="center" w:pos="4680"/>
        <w:tab w:val="right" w:pos="9360"/>
      </w:tabs>
      <w:spacing w:after="0" w:line="240" w:lineRule="auto"/>
      <w:ind w:firstLine="0"/>
      <w:rPr>
        <w:color w:val="000000"/>
      </w:rPr>
    </w:pPr>
    <w:r>
      <w:rPr>
        <w:color w:val="000000"/>
      </w:rPr>
      <w:t>Running head: DOUBLE-CLICK INSERT SHORT TITLE (50 CHARACTERS OR LESS)</w:t>
    </w:r>
    <w:r>
      <w:rPr>
        <w:color w:val="000000"/>
      </w:rPr>
      <w:tab/>
    </w:r>
    <w:r>
      <w:rPr>
        <w:color w:val="000000"/>
      </w:rPr>
      <w:fldChar w:fldCharType="begin"/>
    </w:r>
    <w:r>
      <w:rPr>
        <w:color w:val="000000"/>
      </w:rPr>
      <w:instrText>PAGE</w:instrTex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E75"/>
    <w:rsid w:val="00022DCA"/>
    <w:rsid w:val="00025F8A"/>
    <w:rsid w:val="000600F1"/>
    <w:rsid w:val="0010678F"/>
    <w:rsid w:val="00160F82"/>
    <w:rsid w:val="0017674D"/>
    <w:rsid w:val="0025201A"/>
    <w:rsid w:val="00412A65"/>
    <w:rsid w:val="00463E03"/>
    <w:rsid w:val="00467080"/>
    <w:rsid w:val="00493EA0"/>
    <w:rsid w:val="00497862"/>
    <w:rsid w:val="004B1632"/>
    <w:rsid w:val="004F0713"/>
    <w:rsid w:val="005429BA"/>
    <w:rsid w:val="005A3B29"/>
    <w:rsid w:val="00623EE8"/>
    <w:rsid w:val="007340F2"/>
    <w:rsid w:val="0075677D"/>
    <w:rsid w:val="007811F0"/>
    <w:rsid w:val="007916B1"/>
    <w:rsid w:val="007C0694"/>
    <w:rsid w:val="007C33C4"/>
    <w:rsid w:val="00844F49"/>
    <w:rsid w:val="00857173"/>
    <w:rsid w:val="008861B4"/>
    <w:rsid w:val="009007EE"/>
    <w:rsid w:val="009B5ED6"/>
    <w:rsid w:val="00A34F69"/>
    <w:rsid w:val="00AB353E"/>
    <w:rsid w:val="00AB7E98"/>
    <w:rsid w:val="00AC5CBD"/>
    <w:rsid w:val="00AD1036"/>
    <w:rsid w:val="00AE04C0"/>
    <w:rsid w:val="00AE33C1"/>
    <w:rsid w:val="00B255B0"/>
    <w:rsid w:val="00B87E1B"/>
    <w:rsid w:val="00C324AD"/>
    <w:rsid w:val="00C66846"/>
    <w:rsid w:val="00D447D0"/>
    <w:rsid w:val="00E81E75"/>
    <w:rsid w:val="00EC3AC9"/>
    <w:rsid w:val="00F06D24"/>
    <w:rsid w:val="00F81915"/>
    <w:rsid w:val="00FB5526"/>
    <w:rsid w:val="00FC54EB"/>
    <w:rsid w:val="00FD3B13"/>
    <w:rsid w:val="3BD33A4F"/>
    <w:rsid w:val="447BC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CF96D"/>
  <w15:docId w15:val="{9D288BF4-02FC-4D45-A27F-B47B2E2DF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3840"/>
      <w:jc w:val="center"/>
      <w:outlineLvl w:val="0"/>
    </w:pPr>
  </w:style>
  <w:style w:type="paragraph" w:styleId="Heading2">
    <w:name w:val="heading 2"/>
    <w:basedOn w:val="Normal"/>
    <w:next w:val="Normal"/>
    <w:pPr>
      <w:ind w:firstLine="0"/>
      <w:jc w:val="center"/>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A3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B29"/>
    <w:rPr>
      <w:rFonts w:ascii="Segoe UI" w:hAnsi="Segoe UI" w:cs="Segoe UI"/>
      <w:sz w:val="18"/>
      <w:szCs w:val="18"/>
    </w:rPr>
  </w:style>
  <w:style w:type="character" w:styleId="CommentReference">
    <w:name w:val="annotation reference"/>
    <w:basedOn w:val="DefaultParagraphFont"/>
    <w:uiPriority w:val="99"/>
    <w:semiHidden/>
    <w:unhideWhenUsed/>
    <w:rsid w:val="0025201A"/>
    <w:rPr>
      <w:sz w:val="16"/>
      <w:szCs w:val="16"/>
    </w:rPr>
  </w:style>
  <w:style w:type="paragraph" w:styleId="CommentText">
    <w:name w:val="annotation text"/>
    <w:basedOn w:val="Normal"/>
    <w:link w:val="CommentTextChar"/>
    <w:uiPriority w:val="99"/>
    <w:semiHidden/>
    <w:unhideWhenUsed/>
    <w:rsid w:val="0025201A"/>
    <w:pPr>
      <w:spacing w:line="240" w:lineRule="auto"/>
    </w:pPr>
    <w:rPr>
      <w:sz w:val="20"/>
      <w:szCs w:val="20"/>
    </w:rPr>
  </w:style>
  <w:style w:type="character" w:customStyle="1" w:styleId="CommentTextChar">
    <w:name w:val="Comment Text Char"/>
    <w:basedOn w:val="DefaultParagraphFont"/>
    <w:link w:val="CommentText"/>
    <w:uiPriority w:val="99"/>
    <w:semiHidden/>
    <w:rsid w:val="0025201A"/>
    <w:rPr>
      <w:sz w:val="20"/>
      <w:szCs w:val="20"/>
    </w:rPr>
  </w:style>
  <w:style w:type="paragraph" w:styleId="CommentSubject">
    <w:name w:val="annotation subject"/>
    <w:basedOn w:val="CommentText"/>
    <w:next w:val="CommentText"/>
    <w:link w:val="CommentSubjectChar"/>
    <w:uiPriority w:val="99"/>
    <w:semiHidden/>
    <w:unhideWhenUsed/>
    <w:rsid w:val="0025201A"/>
    <w:rPr>
      <w:b/>
      <w:bCs/>
    </w:rPr>
  </w:style>
  <w:style w:type="character" w:customStyle="1" w:styleId="CommentSubjectChar">
    <w:name w:val="Comment Subject Char"/>
    <w:basedOn w:val="CommentTextChar"/>
    <w:link w:val="CommentSubject"/>
    <w:uiPriority w:val="99"/>
    <w:semiHidden/>
    <w:rsid w:val="0025201A"/>
    <w:rPr>
      <w:b/>
      <w:bCs/>
      <w:sz w:val="20"/>
      <w:szCs w:val="20"/>
    </w:rPr>
  </w:style>
  <w:style w:type="paragraph" w:styleId="NormalWeb">
    <w:name w:val="Normal (Web)"/>
    <w:basedOn w:val="Normal"/>
    <w:uiPriority w:val="99"/>
    <w:semiHidden/>
    <w:unhideWhenUsed/>
    <w:rsid w:val="004F0713"/>
    <w:pPr>
      <w:spacing w:before="100" w:beforeAutospacing="1" w:after="100" w:afterAutospacing="1" w:line="240" w:lineRule="auto"/>
      <w:ind w:firstLine="0"/>
    </w:pPr>
    <w:rPr>
      <w:lang w:val="en-GB"/>
    </w:rPr>
  </w:style>
  <w:style w:type="character" w:styleId="Strong">
    <w:name w:val="Strong"/>
    <w:basedOn w:val="DefaultParagraphFont"/>
    <w:uiPriority w:val="22"/>
    <w:qFormat/>
    <w:rsid w:val="00857173"/>
    <w:rPr>
      <w:b/>
      <w:bCs/>
    </w:rPr>
  </w:style>
  <w:style w:type="paragraph" w:styleId="Header">
    <w:name w:val="header"/>
    <w:basedOn w:val="Normal"/>
    <w:link w:val="HeaderChar"/>
    <w:uiPriority w:val="99"/>
    <w:unhideWhenUsed/>
    <w:rsid w:val="00844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F49"/>
  </w:style>
  <w:style w:type="paragraph" w:styleId="Footer">
    <w:name w:val="footer"/>
    <w:basedOn w:val="Normal"/>
    <w:link w:val="FooterChar"/>
    <w:uiPriority w:val="99"/>
    <w:unhideWhenUsed/>
    <w:rsid w:val="00844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F49"/>
  </w:style>
  <w:style w:type="character" w:customStyle="1" w:styleId="apple-converted-space">
    <w:name w:val="apple-converted-space"/>
    <w:basedOn w:val="DefaultParagraphFont"/>
    <w:rsid w:val="00B255B0"/>
  </w:style>
  <w:style w:type="character" w:styleId="Hyperlink">
    <w:name w:val="Hyperlink"/>
    <w:basedOn w:val="DefaultParagraphFont"/>
    <w:uiPriority w:val="99"/>
    <w:unhideWhenUsed/>
    <w:rsid w:val="00B255B0"/>
    <w:rPr>
      <w:color w:val="0000FF"/>
      <w:u w:val="single"/>
    </w:rPr>
  </w:style>
  <w:style w:type="character" w:customStyle="1" w:styleId="nlmarticle-title">
    <w:name w:val="nlm_article-title"/>
    <w:basedOn w:val="DefaultParagraphFont"/>
    <w:rsid w:val="00AE33C1"/>
  </w:style>
  <w:style w:type="character" w:customStyle="1" w:styleId="contribdegrees">
    <w:name w:val="contribdegrees"/>
    <w:basedOn w:val="DefaultParagraphFont"/>
    <w:rsid w:val="00AE33C1"/>
  </w:style>
  <w:style w:type="character" w:styleId="FollowedHyperlink">
    <w:name w:val="FollowedHyperlink"/>
    <w:basedOn w:val="DefaultParagraphFont"/>
    <w:uiPriority w:val="99"/>
    <w:semiHidden/>
    <w:unhideWhenUsed/>
    <w:rsid w:val="0017674D"/>
    <w:rPr>
      <w:color w:val="800080" w:themeColor="followedHyperlink"/>
      <w:u w:val="single"/>
    </w:rPr>
  </w:style>
  <w:style w:type="character" w:styleId="UnresolvedMention">
    <w:name w:val="Unresolved Mention"/>
    <w:basedOn w:val="DefaultParagraphFont"/>
    <w:uiPriority w:val="99"/>
    <w:semiHidden/>
    <w:unhideWhenUsed/>
    <w:rsid w:val="00886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09114">
      <w:bodyDiv w:val="1"/>
      <w:marLeft w:val="0"/>
      <w:marRight w:val="0"/>
      <w:marTop w:val="0"/>
      <w:marBottom w:val="0"/>
      <w:divBdr>
        <w:top w:val="none" w:sz="0" w:space="0" w:color="auto"/>
        <w:left w:val="none" w:sz="0" w:space="0" w:color="auto"/>
        <w:bottom w:val="none" w:sz="0" w:space="0" w:color="auto"/>
        <w:right w:val="none" w:sz="0" w:space="0" w:color="auto"/>
      </w:divBdr>
      <w:divsChild>
        <w:div w:id="1704555942">
          <w:marLeft w:val="0"/>
          <w:marRight w:val="0"/>
          <w:marTop w:val="0"/>
          <w:marBottom w:val="0"/>
          <w:divBdr>
            <w:top w:val="none" w:sz="0" w:space="0" w:color="auto"/>
            <w:left w:val="none" w:sz="0" w:space="0" w:color="auto"/>
            <w:bottom w:val="none" w:sz="0" w:space="0" w:color="auto"/>
            <w:right w:val="none" w:sz="0" w:space="0" w:color="auto"/>
          </w:divBdr>
          <w:divsChild>
            <w:div w:id="512888802">
              <w:marLeft w:val="0"/>
              <w:marRight w:val="0"/>
              <w:marTop w:val="0"/>
              <w:marBottom w:val="0"/>
              <w:divBdr>
                <w:top w:val="none" w:sz="0" w:space="0" w:color="auto"/>
                <w:left w:val="none" w:sz="0" w:space="0" w:color="auto"/>
                <w:bottom w:val="none" w:sz="0" w:space="0" w:color="auto"/>
                <w:right w:val="none" w:sz="0" w:space="0" w:color="auto"/>
              </w:divBdr>
              <w:divsChild>
                <w:div w:id="720447905">
                  <w:marLeft w:val="0"/>
                  <w:marRight w:val="0"/>
                  <w:marTop w:val="0"/>
                  <w:marBottom w:val="0"/>
                  <w:divBdr>
                    <w:top w:val="none" w:sz="0" w:space="0" w:color="auto"/>
                    <w:left w:val="none" w:sz="0" w:space="0" w:color="auto"/>
                    <w:bottom w:val="none" w:sz="0" w:space="0" w:color="auto"/>
                    <w:right w:val="none" w:sz="0" w:space="0" w:color="auto"/>
                  </w:divBdr>
                  <w:divsChild>
                    <w:div w:id="1347443099">
                      <w:marLeft w:val="0"/>
                      <w:marRight w:val="0"/>
                      <w:marTop w:val="0"/>
                      <w:marBottom w:val="0"/>
                      <w:divBdr>
                        <w:top w:val="none" w:sz="0" w:space="0" w:color="auto"/>
                        <w:left w:val="none" w:sz="0" w:space="0" w:color="auto"/>
                        <w:bottom w:val="none" w:sz="0" w:space="0" w:color="auto"/>
                        <w:right w:val="none" w:sz="0" w:space="0" w:color="auto"/>
                      </w:divBdr>
                      <w:divsChild>
                        <w:div w:id="14984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31206">
      <w:bodyDiv w:val="1"/>
      <w:marLeft w:val="0"/>
      <w:marRight w:val="0"/>
      <w:marTop w:val="0"/>
      <w:marBottom w:val="0"/>
      <w:divBdr>
        <w:top w:val="none" w:sz="0" w:space="0" w:color="auto"/>
        <w:left w:val="none" w:sz="0" w:space="0" w:color="auto"/>
        <w:bottom w:val="none" w:sz="0" w:space="0" w:color="auto"/>
        <w:right w:val="none" w:sz="0" w:space="0" w:color="auto"/>
      </w:divBdr>
    </w:div>
    <w:div w:id="480971928">
      <w:bodyDiv w:val="1"/>
      <w:marLeft w:val="0"/>
      <w:marRight w:val="0"/>
      <w:marTop w:val="0"/>
      <w:marBottom w:val="0"/>
      <w:divBdr>
        <w:top w:val="none" w:sz="0" w:space="0" w:color="auto"/>
        <w:left w:val="none" w:sz="0" w:space="0" w:color="auto"/>
        <w:bottom w:val="none" w:sz="0" w:space="0" w:color="auto"/>
        <w:right w:val="none" w:sz="0" w:space="0" w:color="auto"/>
      </w:divBdr>
    </w:div>
    <w:div w:id="521548923">
      <w:bodyDiv w:val="1"/>
      <w:marLeft w:val="0"/>
      <w:marRight w:val="0"/>
      <w:marTop w:val="0"/>
      <w:marBottom w:val="0"/>
      <w:divBdr>
        <w:top w:val="none" w:sz="0" w:space="0" w:color="auto"/>
        <w:left w:val="none" w:sz="0" w:space="0" w:color="auto"/>
        <w:bottom w:val="none" w:sz="0" w:space="0" w:color="auto"/>
        <w:right w:val="none" w:sz="0" w:space="0" w:color="auto"/>
      </w:divBdr>
    </w:div>
    <w:div w:id="576398048">
      <w:bodyDiv w:val="1"/>
      <w:marLeft w:val="0"/>
      <w:marRight w:val="0"/>
      <w:marTop w:val="0"/>
      <w:marBottom w:val="0"/>
      <w:divBdr>
        <w:top w:val="none" w:sz="0" w:space="0" w:color="auto"/>
        <w:left w:val="none" w:sz="0" w:space="0" w:color="auto"/>
        <w:bottom w:val="none" w:sz="0" w:space="0" w:color="auto"/>
        <w:right w:val="none" w:sz="0" w:space="0" w:color="auto"/>
      </w:divBdr>
    </w:div>
    <w:div w:id="1238981226">
      <w:bodyDiv w:val="1"/>
      <w:marLeft w:val="0"/>
      <w:marRight w:val="0"/>
      <w:marTop w:val="0"/>
      <w:marBottom w:val="0"/>
      <w:divBdr>
        <w:top w:val="none" w:sz="0" w:space="0" w:color="auto"/>
        <w:left w:val="none" w:sz="0" w:space="0" w:color="auto"/>
        <w:bottom w:val="none" w:sz="0" w:space="0" w:color="auto"/>
        <w:right w:val="none" w:sz="0" w:space="0" w:color="auto"/>
      </w:divBdr>
      <w:divsChild>
        <w:div w:id="229779934">
          <w:marLeft w:val="0"/>
          <w:marRight w:val="0"/>
          <w:marTop w:val="0"/>
          <w:marBottom w:val="0"/>
          <w:divBdr>
            <w:top w:val="none" w:sz="0" w:space="0" w:color="auto"/>
            <w:left w:val="none" w:sz="0" w:space="0" w:color="auto"/>
            <w:bottom w:val="none" w:sz="0" w:space="0" w:color="auto"/>
            <w:right w:val="none" w:sz="0" w:space="0" w:color="auto"/>
          </w:divBdr>
          <w:divsChild>
            <w:div w:id="1746342240">
              <w:marLeft w:val="0"/>
              <w:marRight w:val="0"/>
              <w:marTop w:val="0"/>
              <w:marBottom w:val="0"/>
              <w:divBdr>
                <w:top w:val="none" w:sz="0" w:space="0" w:color="auto"/>
                <w:left w:val="none" w:sz="0" w:space="0" w:color="auto"/>
                <w:bottom w:val="none" w:sz="0" w:space="0" w:color="auto"/>
                <w:right w:val="none" w:sz="0" w:space="0" w:color="auto"/>
              </w:divBdr>
              <w:divsChild>
                <w:div w:id="1988630452">
                  <w:marLeft w:val="0"/>
                  <w:marRight w:val="0"/>
                  <w:marTop w:val="0"/>
                  <w:marBottom w:val="0"/>
                  <w:divBdr>
                    <w:top w:val="none" w:sz="0" w:space="0" w:color="auto"/>
                    <w:left w:val="none" w:sz="0" w:space="0" w:color="auto"/>
                    <w:bottom w:val="none" w:sz="0" w:space="0" w:color="auto"/>
                    <w:right w:val="none" w:sz="0" w:space="0" w:color="auto"/>
                  </w:divBdr>
                  <w:divsChild>
                    <w:div w:id="1924299234">
                      <w:marLeft w:val="0"/>
                      <w:marRight w:val="0"/>
                      <w:marTop w:val="0"/>
                      <w:marBottom w:val="0"/>
                      <w:divBdr>
                        <w:top w:val="none" w:sz="0" w:space="0" w:color="auto"/>
                        <w:left w:val="none" w:sz="0" w:space="0" w:color="auto"/>
                        <w:bottom w:val="none" w:sz="0" w:space="0" w:color="auto"/>
                        <w:right w:val="none" w:sz="0" w:space="0" w:color="auto"/>
                      </w:divBdr>
                    </w:div>
                    <w:div w:id="1936011128">
                      <w:marLeft w:val="0"/>
                      <w:marRight w:val="0"/>
                      <w:marTop w:val="0"/>
                      <w:marBottom w:val="0"/>
                      <w:divBdr>
                        <w:top w:val="none" w:sz="0" w:space="0" w:color="auto"/>
                        <w:left w:val="none" w:sz="0" w:space="0" w:color="auto"/>
                        <w:bottom w:val="none" w:sz="0" w:space="0" w:color="auto"/>
                        <w:right w:val="none" w:sz="0" w:space="0" w:color="auto"/>
                      </w:divBdr>
                    </w:div>
                    <w:div w:id="315912665">
                      <w:marLeft w:val="0"/>
                      <w:marRight w:val="0"/>
                      <w:marTop w:val="0"/>
                      <w:marBottom w:val="0"/>
                      <w:divBdr>
                        <w:top w:val="none" w:sz="0" w:space="0" w:color="auto"/>
                        <w:left w:val="none" w:sz="0" w:space="0" w:color="auto"/>
                        <w:bottom w:val="none" w:sz="0" w:space="0" w:color="auto"/>
                        <w:right w:val="none" w:sz="0" w:space="0" w:color="auto"/>
                      </w:divBdr>
                    </w:div>
                    <w:div w:id="1268729753">
                      <w:marLeft w:val="0"/>
                      <w:marRight w:val="0"/>
                      <w:marTop w:val="0"/>
                      <w:marBottom w:val="0"/>
                      <w:divBdr>
                        <w:top w:val="none" w:sz="0" w:space="0" w:color="auto"/>
                        <w:left w:val="none" w:sz="0" w:space="0" w:color="auto"/>
                        <w:bottom w:val="none" w:sz="0" w:space="0" w:color="auto"/>
                        <w:right w:val="none" w:sz="0" w:space="0" w:color="auto"/>
                      </w:divBdr>
                    </w:div>
                    <w:div w:id="1625692122">
                      <w:marLeft w:val="0"/>
                      <w:marRight w:val="0"/>
                      <w:marTop w:val="0"/>
                      <w:marBottom w:val="0"/>
                      <w:divBdr>
                        <w:top w:val="none" w:sz="0" w:space="0" w:color="auto"/>
                        <w:left w:val="none" w:sz="0" w:space="0" w:color="auto"/>
                        <w:bottom w:val="none" w:sz="0" w:space="0" w:color="auto"/>
                        <w:right w:val="none" w:sz="0" w:space="0" w:color="auto"/>
                      </w:divBdr>
                    </w:div>
                    <w:div w:id="12793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393854">
      <w:bodyDiv w:val="1"/>
      <w:marLeft w:val="0"/>
      <w:marRight w:val="0"/>
      <w:marTop w:val="0"/>
      <w:marBottom w:val="0"/>
      <w:divBdr>
        <w:top w:val="none" w:sz="0" w:space="0" w:color="auto"/>
        <w:left w:val="none" w:sz="0" w:space="0" w:color="auto"/>
        <w:bottom w:val="none" w:sz="0" w:space="0" w:color="auto"/>
        <w:right w:val="none" w:sz="0" w:space="0" w:color="auto"/>
      </w:divBdr>
    </w:div>
    <w:div w:id="1848709999">
      <w:bodyDiv w:val="1"/>
      <w:marLeft w:val="0"/>
      <w:marRight w:val="0"/>
      <w:marTop w:val="0"/>
      <w:marBottom w:val="0"/>
      <w:divBdr>
        <w:top w:val="none" w:sz="0" w:space="0" w:color="auto"/>
        <w:left w:val="none" w:sz="0" w:space="0" w:color="auto"/>
        <w:bottom w:val="none" w:sz="0" w:space="0" w:color="auto"/>
        <w:right w:val="none" w:sz="0" w:space="0" w:color="auto"/>
      </w:divBdr>
    </w:div>
    <w:div w:id="19531307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0293X.2013.788314" TargetMode="External"/><Relationship Id="rId13" Type="http://schemas.openxmlformats.org/officeDocument/2006/relationships/hyperlink" Target="https://journals.sagepub.com/doi/pdf/10.1177/0265659020974426" TargetMode="External"/><Relationship Id="rId18" Type="http://schemas.openxmlformats.org/officeDocument/2006/relationships/hyperlink" Target="https://www.youtube.com/watch?v=-gzQbhyEsr4&amp;t=513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gov.wales/sites/default/files/publications/2019-10/substance-misuse-delivery-plan-2019-22.pdf" TargetMode="External"/><Relationship Id="rId7" Type="http://schemas.openxmlformats.org/officeDocument/2006/relationships/hyperlink" Target="https://www.mdpi.com/2227-7102/11/12/815/pdf?version=1639702827" TargetMode="External"/><Relationship Id="rId12" Type="http://schemas.openxmlformats.org/officeDocument/2006/relationships/hyperlink" Target="https://doi.org/10.1080/02650533.2020.1834371" TargetMode="External"/><Relationship Id="rId17" Type="http://schemas.openxmlformats.org/officeDocument/2006/relationships/hyperlink" Target="https://www.mcser.org/journal/index.php/mjss/article/viewFile/525/55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earning.nspcc.org.uk/child-protection-system/multi-agency-working-child-protection" TargetMode="External"/><Relationship Id="rId20" Type="http://schemas.openxmlformats.org/officeDocument/2006/relationships/hyperlink" Target="https://gov.wales/sites/default/files/publications/2018-03/education-in-wales-our-national-mission.pdf" TargetMode="External"/><Relationship Id="rId1" Type="http://schemas.openxmlformats.org/officeDocument/2006/relationships/styles" Target="styles.xml"/><Relationship Id="rId6" Type="http://schemas.openxmlformats.org/officeDocument/2006/relationships/hyperlink" Target="https://scholarworks.waldenu.edu/cgi/viewcontent.cgi?article=1547&amp;context=jerap" TargetMode="External"/><Relationship Id="rId11" Type="http://schemas.openxmlformats.org/officeDocument/2006/relationships/hyperlink" Target="https://onlinelibrary-wiley-com.ezproxy.uwtsd.ac.uk/doi/book/10.1002/9781118764282"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www.naeyc.org/resources/topics/equity" TargetMode="External"/><Relationship Id="rId23" Type="http://schemas.openxmlformats.org/officeDocument/2006/relationships/header" Target="header1.xml"/><Relationship Id="rId10" Type="http://schemas.openxmlformats.org/officeDocument/2006/relationships/hyperlink" Target="https://www.earlychildhoodaustralia.org.au/our-publications/every-child-magazine/every-child-index/every-child-vol-24-4-2018/inclusion-in-early-childhood-education/" TargetMode="External"/><Relationship Id="rId19" Type="http://schemas.openxmlformats.org/officeDocument/2006/relationships/hyperlink" Target="https://repository.lboro.ac.uk/articles/report/Assessing_parental_capacity_to_change_when_children_are_on_the_edge_of_care_an_overview_of_current_research_evidence/9580151" TargetMode="External"/><Relationship Id="rId4" Type="http://schemas.openxmlformats.org/officeDocument/2006/relationships/footnotes" Target="footnote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ojs.elte.hu/gyermekneveles/article/download/4185/3489" TargetMode="External"/><Relationship Id="rId22" Type="http://schemas.openxmlformats.org/officeDocument/2006/relationships/hyperlink" Target="https://gov.wales/sites/default/files/publications/2020-10/education-in-Wales-our-national-mission-update-october-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2038</TotalTime>
  <Pages>12</Pages>
  <Words>3823</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Roper</dc:creator>
  <cp:lastModifiedBy>ROP09093478 (Siobhan Louise Roper)</cp:lastModifiedBy>
  <cp:revision>22</cp:revision>
  <cp:lastPrinted>2023-06-12T10:03:00Z</cp:lastPrinted>
  <dcterms:created xsi:type="dcterms:W3CDTF">2023-06-12T11:24:00Z</dcterms:created>
  <dcterms:modified xsi:type="dcterms:W3CDTF">2023-06-25T21:33:00Z</dcterms:modified>
</cp:coreProperties>
</file>