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b w:val="1"/>
        </w:rPr>
      </w:pPr>
      <w:r w:rsidDel="00000000" w:rsidR="00000000" w:rsidRPr="00000000">
        <w:rPr>
          <w:b w:val="1"/>
          <w:rtl w:val="0"/>
        </w:rPr>
        <w:t xml:space="preserve">Certificate of employability skills Level 4 Module: BMSW4012</w:t>
      </w:r>
    </w:p>
    <w:p w:rsidR="00000000" w:rsidDel="00000000" w:rsidP="00000000" w:rsidRDefault="00000000" w:rsidRPr="00000000" w14:paraId="00000002">
      <w:pPr>
        <w:rPr>
          <w:rFonts w:ascii="Calibri" w:cs="Calibri" w:eastAsia="Calibri" w:hAnsi="Calibri"/>
          <w:sz w:val="52"/>
          <w:szCs w:val="52"/>
        </w:rPr>
      </w:pPr>
      <w:r w:rsidDel="00000000" w:rsidR="00000000" w:rsidRPr="00000000">
        <w:rPr>
          <w:rFonts w:ascii="Calibri" w:cs="Calibri" w:eastAsia="Calibri" w:hAnsi="Calibri"/>
          <w:sz w:val="52"/>
          <w:szCs w:val="52"/>
          <w:rtl w:val="0"/>
        </w:rPr>
        <w:t xml:space="preserve">Student name: Andrew Atkinson</w:t>
      </w:r>
    </w:p>
    <w:p w:rsidR="00000000" w:rsidDel="00000000" w:rsidP="00000000" w:rsidRDefault="00000000" w:rsidRPr="00000000" w14:paraId="00000003">
      <w:pPr>
        <w:rPr>
          <w:rFonts w:ascii="Calibri" w:cs="Calibri" w:eastAsia="Calibri" w:hAnsi="Calibri"/>
          <w:sz w:val="52"/>
          <w:szCs w:val="52"/>
        </w:rPr>
      </w:pPr>
      <w:r w:rsidDel="00000000" w:rsidR="00000000" w:rsidRPr="00000000">
        <w:rPr>
          <w:rFonts w:ascii="Calibri" w:cs="Calibri" w:eastAsia="Calibri" w:hAnsi="Calibri"/>
          <w:sz w:val="52"/>
          <w:szCs w:val="52"/>
          <w:rtl w:val="0"/>
        </w:rPr>
        <w:t xml:space="preserve">Student number: 2431755</w:t>
      </w:r>
    </w:p>
    <w:p w:rsidR="00000000" w:rsidDel="00000000" w:rsidP="00000000" w:rsidRDefault="00000000" w:rsidRPr="00000000" w14:paraId="00000004">
      <w:pPr>
        <w:rPr>
          <w:rFonts w:ascii="Calibri" w:cs="Calibri" w:eastAsia="Calibri" w:hAnsi="Calibri"/>
          <w:sz w:val="52"/>
          <w:szCs w:val="52"/>
        </w:rPr>
      </w:pPr>
      <w:r w:rsidDel="00000000" w:rsidR="00000000" w:rsidRPr="00000000">
        <w:rPr>
          <w:rFonts w:ascii="Calibri" w:cs="Calibri" w:eastAsia="Calibri" w:hAnsi="Calibri"/>
          <w:sz w:val="52"/>
          <w:szCs w:val="52"/>
          <w:rtl w:val="0"/>
        </w:rPr>
        <w:t xml:space="preserve">Lecturer: Muhammad Cassamo</w:t>
      </w:r>
    </w:p>
    <w:p w:rsidR="00000000" w:rsidDel="00000000" w:rsidP="00000000" w:rsidRDefault="00000000" w:rsidRPr="00000000" w14:paraId="00000005">
      <w:pPr>
        <w:rPr>
          <w:rFonts w:ascii="Calibri" w:cs="Calibri" w:eastAsia="Calibri" w:hAnsi="Calibri"/>
          <w:sz w:val="52"/>
          <w:szCs w:val="52"/>
        </w:rPr>
      </w:pPr>
      <w:r w:rsidDel="00000000" w:rsidR="00000000" w:rsidRPr="00000000">
        <w:rPr>
          <w:rFonts w:ascii="Calibri" w:cs="Calibri" w:eastAsia="Calibri" w:hAnsi="Calibri"/>
          <w:sz w:val="52"/>
          <w:szCs w:val="52"/>
          <w:rtl w:val="0"/>
        </w:rPr>
        <w:t xml:space="preserve">Part 1: Individual Reflection Essay</w:t>
      </w:r>
    </w:p>
    <w:p w:rsidR="00000000" w:rsidDel="00000000" w:rsidP="00000000" w:rsidRDefault="00000000" w:rsidRPr="00000000" w14:paraId="00000006">
      <w:pPr>
        <w:rPr>
          <w:rFonts w:ascii="Calibri" w:cs="Calibri" w:eastAsia="Calibri" w:hAnsi="Calibri"/>
          <w:sz w:val="52"/>
          <w:szCs w:val="52"/>
        </w:rPr>
      </w:pPr>
      <w:r w:rsidDel="00000000" w:rsidR="00000000" w:rsidRPr="00000000">
        <w:rPr>
          <w:rFonts w:ascii="Calibri" w:cs="Calibri" w:eastAsia="Calibri" w:hAnsi="Calibri"/>
          <w:sz w:val="52"/>
          <w:szCs w:val="52"/>
          <w:rtl w:val="0"/>
        </w:rPr>
        <w:t xml:space="preserve">Certificate of Higher Education</w:t>
      </w:r>
    </w:p>
    <w:p w:rsidR="00000000" w:rsidDel="00000000" w:rsidP="00000000" w:rsidRDefault="00000000" w:rsidRPr="00000000" w14:paraId="00000007">
      <w:pPr>
        <w:rPr>
          <w:rFonts w:ascii="Calibri" w:cs="Calibri" w:eastAsia="Calibri" w:hAnsi="Calibri"/>
          <w:sz w:val="52"/>
          <w:szCs w:val="52"/>
        </w:rPr>
      </w:pPr>
      <w:r w:rsidDel="00000000" w:rsidR="00000000" w:rsidRPr="00000000">
        <w:rPr>
          <w:rFonts w:ascii="Calibri" w:cs="Calibri" w:eastAsia="Calibri" w:hAnsi="Calibri"/>
          <w:sz w:val="52"/>
          <w:szCs w:val="52"/>
          <w:rtl w:val="0"/>
        </w:rPr>
        <w:t xml:space="preserve">Deadline: Re-sit September 2025</w:t>
      </w:r>
    </w:p>
    <w:p w:rsidR="00000000" w:rsidDel="00000000" w:rsidP="00000000" w:rsidRDefault="00000000" w:rsidRPr="00000000" w14:paraId="00000008">
      <w:pPr>
        <w:rPr>
          <w:rFonts w:ascii="Calibri" w:cs="Calibri" w:eastAsia="Calibri" w:hAnsi="Calibri"/>
          <w:sz w:val="52"/>
          <w:szCs w:val="52"/>
        </w:rPr>
      </w:pPr>
      <w:r w:rsidDel="00000000" w:rsidR="00000000" w:rsidRPr="00000000">
        <w:rPr>
          <w:rtl w:val="0"/>
        </w:rPr>
      </w:r>
    </w:p>
    <w:p w:rsidR="00000000" w:rsidDel="00000000" w:rsidP="00000000" w:rsidRDefault="00000000" w:rsidRPr="00000000" w14:paraId="00000009">
      <w:pPr>
        <w:rPr>
          <w:rFonts w:ascii="Calibri" w:cs="Calibri" w:eastAsia="Calibri" w:hAnsi="Calibri"/>
          <w:sz w:val="52"/>
          <w:szCs w:val="52"/>
        </w:rPr>
      </w:pPr>
      <w:r w:rsidDel="00000000" w:rsidR="00000000" w:rsidRPr="00000000">
        <w:rPr>
          <w:rtl w:val="0"/>
        </w:rPr>
      </w:r>
    </w:p>
    <w:p w:rsidR="00000000" w:rsidDel="00000000" w:rsidP="00000000" w:rsidRDefault="00000000" w:rsidRPr="00000000" w14:paraId="0000000A">
      <w:pPr>
        <w:rPr>
          <w:rFonts w:ascii="Calibri" w:cs="Calibri" w:eastAsia="Calibri" w:hAnsi="Calibri"/>
          <w:sz w:val="52"/>
          <w:szCs w:val="52"/>
        </w:rPr>
      </w:pPr>
      <w:r w:rsidDel="00000000" w:rsidR="00000000" w:rsidRPr="00000000">
        <w:rPr>
          <w:rtl w:val="0"/>
        </w:rPr>
      </w:r>
    </w:p>
    <w:p w:rsidR="00000000" w:rsidDel="00000000" w:rsidP="00000000" w:rsidRDefault="00000000" w:rsidRPr="00000000" w14:paraId="0000000B">
      <w:pPr>
        <w:rPr>
          <w:rFonts w:ascii="Calibri" w:cs="Calibri" w:eastAsia="Calibri" w:hAnsi="Calibri"/>
          <w:sz w:val="52"/>
          <w:szCs w:val="52"/>
        </w:rPr>
      </w:pPr>
      <w:r w:rsidDel="00000000" w:rsidR="00000000" w:rsidRPr="00000000">
        <w:rPr>
          <w:rtl w:val="0"/>
        </w:rPr>
      </w:r>
    </w:p>
    <w:p w:rsidR="00000000" w:rsidDel="00000000" w:rsidP="00000000" w:rsidRDefault="00000000" w:rsidRPr="00000000" w14:paraId="0000000C">
      <w:pPr>
        <w:rPr>
          <w:rFonts w:ascii="Calibri" w:cs="Calibri" w:eastAsia="Calibri" w:hAnsi="Calibri"/>
          <w:sz w:val="52"/>
          <w:szCs w:val="52"/>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pStyle w:val="Title"/>
        <w:rPr/>
      </w:pPr>
      <w:r w:rsidDel="00000000" w:rsidR="00000000" w:rsidRPr="00000000">
        <w:rPr>
          <w:rtl w:val="0"/>
        </w:rPr>
        <w:t xml:space="preserve">Individual Reflective Essay using Rolfe’s Reflection Model</w:t>
      </w:r>
    </w:p>
    <w:p w:rsidR="00000000" w:rsidDel="00000000" w:rsidP="00000000" w:rsidRDefault="00000000" w:rsidRPr="00000000" w14:paraId="0000000F">
      <w:pPr>
        <w:pStyle w:val="Heading1"/>
        <w:rPr/>
      </w:pPr>
      <w:r w:rsidDel="00000000" w:rsidR="00000000" w:rsidRPr="00000000">
        <w:rPr>
          <w:rtl w:val="0"/>
        </w:rPr>
        <w:t xml:space="preserve">Introduction</w:t>
      </w:r>
    </w:p>
    <w:p w:rsidR="00000000" w:rsidDel="00000000" w:rsidP="00000000" w:rsidRDefault="00000000" w:rsidRPr="00000000" w14:paraId="00000010">
      <w:pPr>
        <w:rPr/>
      </w:pPr>
      <w:r w:rsidDel="00000000" w:rsidR="00000000" w:rsidRPr="00000000">
        <w:rPr>
          <w:rtl w:val="0"/>
        </w:rPr>
        <w:t xml:space="preserve">Reflection provides a structured way to analyse personal experiences and identify areas for growth. Rolfe’s reflective model, which poses the questions What? So what? and Now what?, is particularly useful in helping learners make sense of challenges and translate them into actionable strategies (Rolfe et al., 2001). In this essay, I will reflect on my experiences of learning at university whilst navigating the bereavement of four close family members — my niece, my aunt, my uncle, and most recently, my ex-wife. These losses, combined with academic challenges in IT skills, information processing, concentration, and confidence, have tested both my resilience and mental health. I will explore the impact of grief and depression on my studies and outline how I am taking steps to recover, drawing on insights from Stella Cottrell’s work.</w:t>
      </w:r>
    </w:p>
    <w:p w:rsidR="00000000" w:rsidDel="00000000" w:rsidP="00000000" w:rsidRDefault="00000000" w:rsidRPr="00000000" w14:paraId="00000011">
      <w:pPr>
        <w:pStyle w:val="Heading1"/>
        <w:rPr/>
      </w:pPr>
      <w:r w:rsidDel="00000000" w:rsidR="00000000" w:rsidRPr="00000000">
        <w:rPr>
          <w:rtl w:val="0"/>
        </w:rPr>
        <w:t xml:space="preserve">What?</w:t>
      </w:r>
    </w:p>
    <w:p w:rsidR="00000000" w:rsidDel="00000000" w:rsidP="00000000" w:rsidRDefault="00000000" w:rsidRPr="00000000" w14:paraId="00000012">
      <w:pPr>
        <w:rPr/>
      </w:pPr>
      <w:r w:rsidDel="00000000" w:rsidR="00000000" w:rsidRPr="00000000">
        <w:rPr>
          <w:rtl w:val="0"/>
        </w:rPr>
        <w:t xml:space="preserve">During my academic journey, I have encountered several difficulties that have shaped my ability to learn effectively. Some of these were academic, such as my struggles with IT skills. I initially found it challenging to use reference management software, format documents, and navigate university systems. These difficulties slowed my progress and made me feel less capable compared to my peers.</w:t>
        <w:br w:type="textWrapping"/>
        <w:br w:type="textWrapping"/>
        <w:t xml:space="preserve">At the same time, I struggled with processing and evaluating information. Large volumes of reading felt overwhelming, and I often found it difficult to separate key ideas from unnecessary detail. This left me spending hours on study tasks but retaining little, which in turn reduced my motivation.</w:t>
        <w:br w:type="textWrapping"/>
        <w:br w:type="textWrapping"/>
        <w:t xml:space="preserve">My concentration was another challenge. I found myself easily distracted by mobile devices or background noise, and long study sessions often left me mentally exhausted. This meant I procrastinated, avoided tasks, and failed to maintain momentum.</w:t>
        <w:br w:type="textWrapping"/>
        <w:br w:type="textWrapping"/>
        <w:t xml:space="preserve">Confidence has also been an ongoing issue. Faced with challenging tasks such as essays or class discussions, I frequently doubted myself and hesitated to seek help. This self-doubt became a barrier to my development.</w:t>
        <w:br w:type="textWrapping"/>
        <w:br w:type="textWrapping"/>
        <w:t xml:space="preserve">These academic challenges were compounded by profound personal events. In the space of my time at university, I lost four close family members — my niece around five months ago, my aunt and uncle, and my ex-wife only a few weeks ago. These bereavements were devastating. On several occasions I had to organise funerals and support family members while trying to manage my studies. This left me preoccupied, distracted, and emotionally drained. I missed deadlines and had to apply for extenuating circumstances. The strain of grief and family responsibilities meant that I began forgetting passwords for my university accounts and eventually became locked out of systems. Each time I thought about catching up, I would freeze, overwhelmed by the weight of grief and academic backlog.</w:t>
        <w:br w:type="textWrapping"/>
        <w:br w:type="textWrapping"/>
        <w:t xml:space="preserve">Depression soon set in, intensifying the struggle. I often lacked energy or the will to engage with my work. Instead of focusing on reading or IT tasks, I found myself shutting down. Grief blurred into mental health challenges, which left me feeling isolated, confused, and detached from my studies.</w:t>
      </w:r>
    </w:p>
    <w:p w:rsidR="00000000" w:rsidDel="00000000" w:rsidP="00000000" w:rsidRDefault="00000000" w:rsidRPr="00000000" w14:paraId="00000013">
      <w:pPr>
        <w:pStyle w:val="Heading1"/>
        <w:rPr/>
      </w:pPr>
      <w:r w:rsidDel="00000000" w:rsidR="00000000" w:rsidRPr="00000000">
        <w:rPr>
          <w:rtl w:val="0"/>
        </w:rPr>
        <w:t xml:space="preserve">So what?</w:t>
      </w:r>
    </w:p>
    <w:p w:rsidR="00000000" w:rsidDel="00000000" w:rsidP="00000000" w:rsidRDefault="00000000" w:rsidRPr="00000000" w14:paraId="00000014">
      <w:pPr>
        <w:rPr/>
      </w:pPr>
      <w:r w:rsidDel="00000000" w:rsidR="00000000" w:rsidRPr="00000000">
        <w:rPr>
          <w:rtl w:val="0"/>
        </w:rPr>
        <w:t xml:space="preserve">Reflecting on these experiences has helped me to see both the personal and academic consequences of what I went through. On a practical level, my struggles with IT skills were amplified by grief and depression. As Cottrell (2019) notes, digital literacy is not only a technical requirement but also a way of managing information and engaging in independent learning. My inability to log in or use tools was not only about technical gaps but also about being mentally overwhelmed.</w:t>
        <w:br w:type="textWrapping"/>
        <w:br w:type="textWrapping"/>
        <w:t xml:space="preserve">My difficulties with information processing worsened during bereavement. Grief created what felt like a 'shutdown of the brain' — I could not retain information or focus long enough to engage critically. Cottrell (2019) stresses that active engagement with reading, through questioning and summarising, helps improve comprehension. Yet depression meant I was reading passively, or not reading at all. My confidence dropped further as I fell behind and compared myself negatively to peers.</w:t>
        <w:br w:type="textWrapping"/>
        <w:br w:type="textWrapping"/>
        <w:t xml:space="preserve">Concentration was also affected profoundly. Cottrell (2015) explains that attention is a finite resource requiring careful management. However, my attention was fragmented between organising funerals, supporting relatives, and trying to grieve myself. I often felt as though there was no mental space left for study. Instead of building healthy routines, I allowed tasks to pile up, which increased anxiety and avoidance.</w:t>
        <w:br w:type="textWrapping"/>
        <w:br w:type="textWrapping"/>
        <w:t xml:space="preserve">Confidence reached an all-time low. The deaths of people so close to me — especially my niece and ex-wife — left me questioning not only my academic ability but also my resilience. Depression eroded my motivation, and I felt as though I was losing control of both my personal and academic life. As Cottrell (2011) highlights, confidence is tied to persistence and risk-taking. In my case, self-doubt meant I avoided challenges and withdrew from opportunities to ask for help.</w:t>
        <w:br w:type="textWrapping"/>
        <w:br w:type="textWrapping"/>
        <w:t xml:space="preserve">Emotionally, these bereavements also taught me how much grief can disrupt learning. Cottrell (2019) emphasises mindfulness as a way of recognising and managing overwhelming emotions. I now see that I had few coping strategies in place at the time, and as a result, my grief translated into a collapse of academic focus.</w:t>
        <w:br w:type="textWrapping"/>
        <w:br w:type="textWrapping"/>
        <w:t xml:space="preserve">Altogether, the combination of grief, depression, and academic difficulties created a cycle of low confidence, disengagement, and falling further behind. This reflection has shown me that while the circumstances were out of my control, my responses — avoidance and isolation — made it harder. Importantly, it has also highlighted the need for resilience, wellbeing strategies, and the courage to seek support sooner.</w:t>
      </w:r>
    </w:p>
    <w:p w:rsidR="00000000" w:rsidDel="00000000" w:rsidP="00000000" w:rsidRDefault="00000000" w:rsidRPr="00000000" w14:paraId="00000015">
      <w:pPr>
        <w:pStyle w:val="Heading1"/>
        <w:rPr/>
      </w:pPr>
      <w:r w:rsidDel="00000000" w:rsidR="00000000" w:rsidRPr="00000000">
        <w:rPr>
          <w:rtl w:val="0"/>
        </w:rPr>
        <w:t xml:space="preserve">Now what?</w:t>
      </w:r>
    </w:p>
    <w:p w:rsidR="00000000" w:rsidDel="00000000" w:rsidP="00000000" w:rsidRDefault="00000000" w:rsidRPr="00000000" w14:paraId="00000016">
      <w:pPr>
        <w:rPr/>
      </w:pPr>
      <w:r w:rsidDel="00000000" w:rsidR="00000000" w:rsidRPr="00000000">
        <w:rPr>
          <w:rtl w:val="0"/>
        </w:rPr>
        <w:t xml:space="preserve">Looking forward, I have begun to take active steps to rebuild my resilience, improve my learning, and manage my wellbeing more effectively.</w:t>
        <w:br w:type="textWrapping"/>
        <w:br w:type="textWrapping"/>
        <w:t xml:space="preserve">Improving IT Skills</w:t>
        <w:br w:type="textWrapping"/>
        <w:t xml:space="preserve">To strengthen my digital literacy, I plan to engage in structured practice using online tutorials and university workshops. As Cottrell (2019) suggests, persistence and experimentation are key to overcoming technical barriers. I will also keep an organised record of my university login details to prevent future access issues, reducing stress at difficult times.</w:t>
        <w:br w:type="textWrapping"/>
        <w:br w:type="textWrapping"/>
        <w:t xml:space="preserve">Enhancing Information Processing</w:t>
        <w:br w:type="textWrapping"/>
        <w:t xml:space="preserve">I intend to adopt active reading strategies such as SQ3R (Survey, Question, Read, Recall, Review) (Cottrell, 2013). This will help me stay engaged with texts and extract key points even when motivation feels low. I also plan to use note-making tools such as mind maps and summaries to make information more manageable, especially during times of emotional stress.</w:t>
        <w:br w:type="textWrapping"/>
        <w:br w:type="textWrapping"/>
        <w:t xml:space="preserve">Strengthening Concentration</w:t>
        <w:br w:type="textWrapping"/>
        <w:t xml:space="preserve">To manage my attention, I will adopt the Pomodoro Technique — short bursts of focused study followed by breaks. This will help me build momentum without feeling overwhelmed. As Cottrell (2019) highlights, study environments matter, so I will create spaces free from distractions and plan achievable daily goals. I will also integrate mindfulness (Cottrell, 2019) to ground myself when my mind feels scattered by grief.</w:t>
        <w:br w:type="textWrapping"/>
        <w:br w:type="textWrapping"/>
        <w:t xml:space="preserve">Building Confidence and Managing Wellbeing</w:t>
        <w:br w:type="textWrapping"/>
        <w:t xml:space="preserve">Perhaps the most important step is rebuilding confidence. I have learned that 'no man is an island' and that support is crucial. I have already sought help from the UWTSD wellbeing service, including counselling and mindfulness resources. These have helped me reframe challenges and begin to recover my sense of self-belief. I also plan to book one-to-one sessions with my tutor whenever I feel at risk of falling behind. As Cottrell (2015) explains, positive self-talk and recognising small progress can support confidence-building.</w:t>
        <w:br w:type="textWrapping"/>
        <w:br w:type="textWrapping"/>
        <w:t xml:space="preserve">Beyond confidence, I am focusing on wellbeing. Exercise, regular breaks, and counselling sessions are now part of my strategy for balancing grief and study. If similar events occur in the future, I now know to seek support immediately rather than waiting until things spiral. This has been one of the most important lessons of my journey.</w:t>
        <w:br w:type="textWrapping"/>
        <w:br w:type="textWrapping"/>
        <w:t xml:space="preserve">Long-Term Outlook</w:t>
        <w:br w:type="textWrapping"/>
        <w:t xml:space="preserve">This experience has reshaped how I view learning and resilience. Cottrell (2010) argues that successful learners take responsibility for their development, including recognising when to seek help. I now understand that grief and depression cannot be ignored; they must be addressed alongside academic tasks. By combining wellbeing strategies with academic skills, I aim to become a more resilient, balanced learner who can face future challenges without losing direction.</w:t>
      </w:r>
    </w:p>
    <w:p w:rsidR="00000000" w:rsidDel="00000000" w:rsidP="00000000" w:rsidRDefault="00000000" w:rsidRPr="00000000" w14:paraId="00000017">
      <w:pPr>
        <w:pStyle w:val="Heading1"/>
        <w:rPr/>
      </w:pPr>
      <w:r w:rsidDel="00000000" w:rsidR="00000000" w:rsidRPr="00000000">
        <w:rPr>
          <w:rtl w:val="0"/>
        </w:rPr>
        <w:t xml:space="preserve">Conclusion</w:t>
      </w:r>
    </w:p>
    <w:p w:rsidR="00000000" w:rsidDel="00000000" w:rsidP="00000000" w:rsidRDefault="00000000" w:rsidRPr="00000000" w14:paraId="00000018">
      <w:pPr>
        <w:rPr/>
      </w:pPr>
      <w:r w:rsidDel="00000000" w:rsidR="00000000" w:rsidRPr="00000000">
        <w:rPr>
          <w:rtl w:val="0"/>
        </w:rPr>
        <w:t xml:space="preserve">Using Rolfe’s reflective model has enabled me to analyse the complex interaction between grief, depression, and academic challenges. I have reflected on how the deaths of my niece, aunt, uncle, and ex-wife disrupted my concentration, confidence, and learning, leading to avoidance and disengagement. The process has helped me to recognise the importance of digital literacy, active reading strategies, focused concentration, positive self-belief, and most importantly, wellbeing support. Moving forward, I am committed to building resilience through counselling, mindfulness, exercise, and proactive academic strategies. This reflection has shown me that while grief and depression tested me deeply, I have the ability to recover, rebuild, and continue developing as a confident, self-aware learner.</w:t>
      </w:r>
    </w:p>
    <w:p w:rsidR="00000000" w:rsidDel="00000000" w:rsidP="00000000" w:rsidRDefault="00000000" w:rsidRPr="00000000" w14:paraId="00000019">
      <w:pPr>
        <w:pStyle w:val="Heading1"/>
        <w:rPr/>
      </w:pPr>
      <w:r w:rsidDel="00000000" w:rsidR="00000000" w:rsidRPr="00000000">
        <w:rPr>
          <w:rtl w:val="0"/>
        </w:rPr>
        <w:t xml:space="preserve">References</w:t>
      </w:r>
    </w:p>
    <w:p w:rsidR="00000000" w:rsidDel="00000000" w:rsidP="00000000" w:rsidRDefault="00000000" w:rsidRPr="00000000" w14:paraId="0000001A">
      <w:pPr>
        <w:rPr/>
      </w:pPr>
      <w:r w:rsidDel="00000000" w:rsidR="00000000" w:rsidRPr="00000000">
        <w:rPr>
          <w:rtl w:val="0"/>
        </w:rPr>
        <w:t xml:space="preserve">Cottrell, S. (2010) Skills for Success: The Personal Development Planning Handbook. 2nd edn. Basingstoke: Palgrave Macmillan.</w:t>
      </w:r>
    </w:p>
    <w:p w:rsidR="00000000" w:rsidDel="00000000" w:rsidP="00000000" w:rsidRDefault="00000000" w:rsidRPr="00000000" w14:paraId="0000001B">
      <w:pPr>
        <w:rPr/>
      </w:pPr>
      <w:r w:rsidDel="00000000" w:rsidR="00000000" w:rsidRPr="00000000">
        <w:rPr>
          <w:rtl w:val="0"/>
        </w:rPr>
        <w:t xml:space="preserve">Cottrell, S. (2011) Critical Thinking Skills: Developing Effective Analysis and Argument. 2nd edn. Basingstoke: Palgrave Macmillan.</w:t>
      </w:r>
    </w:p>
    <w:p w:rsidR="00000000" w:rsidDel="00000000" w:rsidP="00000000" w:rsidRDefault="00000000" w:rsidRPr="00000000" w14:paraId="0000001C">
      <w:pPr>
        <w:rPr/>
      </w:pPr>
      <w:r w:rsidDel="00000000" w:rsidR="00000000" w:rsidRPr="00000000">
        <w:rPr>
          <w:rtl w:val="0"/>
        </w:rPr>
        <w:t xml:space="preserve">Cottrell, S. (2013) The Study Skills Handbook. 4th edn. Basingstoke: Palgrave Macmillan.</w:t>
      </w:r>
    </w:p>
    <w:p w:rsidR="00000000" w:rsidDel="00000000" w:rsidP="00000000" w:rsidRDefault="00000000" w:rsidRPr="00000000" w14:paraId="0000001D">
      <w:pPr>
        <w:rPr/>
      </w:pPr>
      <w:r w:rsidDel="00000000" w:rsidR="00000000" w:rsidRPr="00000000">
        <w:rPr>
          <w:rtl w:val="0"/>
        </w:rPr>
        <w:t xml:space="preserve">Cottrell, S. (2014) Dissertations and Project Reports: A Step by Step Guide. Basingstoke: Palgrave Macmillan.</w:t>
      </w:r>
    </w:p>
    <w:p w:rsidR="00000000" w:rsidDel="00000000" w:rsidP="00000000" w:rsidRDefault="00000000" w:rsidRPr="00000000" w14:paraId="0000001E">
      <w:pPr>
        <w:rPr/>
      </w:pPr>
      <w:r w:rsidDel="00000000" w:rsidR="00000000" w:rsidRPr="00000000">
        <w:rPr>
          <w:rtl w:val="0"/>
        </w:rPr>
        <w:t xml:space="preserve">Cottrell, S. (2015) Skills for Success: Personal Development and Employability. 3rd edn. Basingstoke: Palgrave Macmillan.</w:t>
      </w:r>
    </w:p>
    <w:p w:rsidR="00000000" w:rsidDel="00000000" w:rsidP="00000000" w:rsidRDefault="00000000" w:rsidRPr="00000000" w14:paraId="0000001F">
      <w:pPr>
        <w:rPr/>
      </w:pPr>
      <w:r w:rsidDel="00000000" w:rsidR="00000000" w:rsidRPr="00000000">
        <w:rPr>
          <w:rtl w:val="0"/>
        </w:rPr>
        <w:t xml:space="preserve">Cottrell, S. (2015) You2Uni: Decide. Prepare. Apply. 2nd edn. Basingstoke: Palgrave Macmillan.</w:t>
      </w:r>
    </w:p>
    <w:p w:rsidR="00000000" w:rsidDel="00000000" w:rsidP="00000000" w:rsidRDefault="00000000" w:rsidRPr="00000000" w14:paraId="00000020">
      <w:pPr>
        <w:rPr/>
      </w:pPr>
      <w:r w:rsidDel="00000000" w:rsidR="00000000" w:rsidRPr="00000000">
        <w:rPr>
          <w:rtl w:val="0"/>
        </w:rPr>
        <w:t xml:space="preserve">Cottrell, S. (2017) Critical Thinking Skills: Effective Analysis, Argument and Reflection. 3rd edn. London: Red Globe Press.</w:t>
      </w:r>
    </w:p>
    <w:p w:rsidR="00000000" w:rsidDel="00000000" w:rsidP="00000000" w:rsidRDefault="00000000" w:rsidRPr="00000000" w14:paraId="00000021">
      <w:pPr>
        <w:rPr/>
      </w:pPr>
      <w:r w:rsidDel="00000000" w:rsidR="00000000" w:rsidRPr="00000000">
        <w:rPr>
          <w:rtl w:val="0"/>
        </w:rPr>
        <w:t xml:space="preserve">Cottrell, S. (2018) 50 Ways to Boost Your Employability. London: Red Globe Press.</w:t>
      </w:r>
    </w:p>
    <w:p w:rsidR="00000000" w:rsidDel="00000000" w:rsidP="00000000" w:rsidRDefault="00000000" w:rsidRPr="00000000" w14:paraId="00000022">
      <w:pPr>
        <w:rPr/>
      </w:pPr>
      <w:r w:rsidDel="00000000" w:rsidR="00000000" w:rsidRPr="00000000">
        <w:rPr>
          <w:rtl w:val="0"/>
        </w:rPr>
        <w:t xml:space="preserve">Cottrell, S. (2019) The Study Skills Handbook. 5th edn. London: Red Globe Press.</w:t>
      </w:r>
    </w:p>
    <w:p w:rsidR="00000000" w:rsidDel="00000000" w:rsidP="00000000" w:rsidRDefault="00000000" w:rsidRPr="00000000" w14:paraId="00000023">
      <w:pPr>
        <w:rPr/>
      </w:pPr>
      <w:r w:rsidDel="00000000" w:rsidR="00000000" w:rsidRPr="00000000">
        <w:rPr>
          <w:rtl w:val="0"/>
        </w:rPr>
        <w:t xml:space="preserve">Cottrell, S. (2019) Mindfulness for Students. London: Red Globe Press.</w:t>
      </w:r>
    </w:p>
    <w:p w:rsidR="00000000" w:rsidDel="00000000" w:rsidP="00000000" w:rsidRDefault="00000000" w:rsidRPr="00000000" w14:paraId="00000024">
      <w:pPr>
        <w:rPr/>
      </w:pPr>
      <w:r w:rsidDel="00000000" w:rsidR="00000000" w:rsidRPr="00000000">
        <w:rPr>
          <w:rtl w:val="0"/>
        </w:rPr>
        <w:t xml:space="preserve">Rolfe, G., Freshwater, D. and Jasper, M. (2001) Critical Reflection for Nursing and the Helping Professions: A User’s Guide. Basingstoke: Palgrave Macmillan.</w:t>
      </w:r>
    </w:p>
    <w:sectPr>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i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0" w:type="dxa"/>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0" w:type="dxa"/>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0" w:type="dxa"/>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0" w:type="dxa"/>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paragraph" w:styleId="Subtitle">
    <w:name w:val="Subtitle"/>
    <w:basedOn w:val="Normal"/>
    <w:next w:val="Normal"/>
    <w:pPr/>
    <w:rPr>
      <w:rFonts w:ascii="Calibri" w:cs="Calibri" w:eastAsia="Calibri" w:hAnsi="Calibri"/>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jHwGjaYeP7PwZKUw0zLb3ng0sg==">CgMxLjA4AHIhMXpfM1B2cGhaUFBPYTdjcG1kd2duUmhGRUZQNHZMUlY1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cp:coreProperties>
</file>