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pPr>
      <w:r>
        <w:rPr>
          <w:rtl w:val="0"/>
          <w:lang w:val="en-US"/>
        </w:rPr>
        <w:t>Duty of Care</w:t>
      </w:r>
    </w:p>
    <w:p>
      <w:pPr>
        <w:pStyle w:val="Body"/>
      </w:pPr>
    </w:p>
    <w:p>
      <w:pPr>
        <w:pStyle w:val="Body"/>
      </w:pPr>
      <w:r>
        <w:rPr>
          <w:rtl w:val="0"/>
          <w:lang w:val="en-US"/>
        </w:rPr>
        <w:t>In order for Elijah to bring a claim against both his employer and the GP surgery, there needs to be evidence of a breach in duty of care and also the liability that was held by both parties that resulted in the injuries sustained by Elijah. When looking at if a case can be brought, personal liability also needs to be analysed to see if Elijah holds the responsibility for the injuries or if it was the other parties involved that should have prevented him from receiving these in the first place. The case would be broken down into different sections, with the first looking at the employer and if they are at fault for Elijah</w:t>
      </w:r>
      <w:r>
        <w:rPr>
          <w:rtl w:val="1"/>
        </w:rPr>
        <w:t>’</w:t>
      </w:r>
      <w:r>
        <w:rPr>
          <w:rtl w:val="0"/>
          <w:lang w:val="en-US"/>
        </w:rPr>
        <w:t>s injuries in which Elijah could look at if there was sufficient protection and warnings in place to stop him from getting hurt. The GP surgery would then be analysed as to whether they also hold responsibility for the worsening of Elijah</w:t>
      </w:r>
      <w:r>
        <w:rPr>
          <w:rtl w:val="1"/>
        </w:rPr>
        <w:t>’</w:t>
      </w:r>
      <w:r>
        <w:rPr>
          <w:rtl w:val="0"/>
          <w:lang w:val="en-US"/>
        </w:rPr>
        <w:t xml:space="preserve">s condition and if they had a duty of care that was breached which would have prevented the injuries from getting to a worse state than they were before. </w:t>
      </w:r>
    </w:p>
    <w:p>
      <w:pPr>
        <w:pStyle w:val="Body"/>
      </w:pPr>
    </w:p>
    <w:p>
      <w:pPr>
        <w:pStyle w:val="Body"/>
      </w:pPr>
      <w:r>
        <w:rPr>
          <w:rtl w:val="0"/>
          <w:lang w:val="en-US"/>
        </w:rPr>
        <w:t>Before Elijah can bring the claim against both parties, he needs to understand the evidence that would be used and if it would be sufficient enough to get a verdict in his favour from the courts. The former employer had put out the warning sign to advise people walking past the pile of boxes that were waiting to be moved as to not cause any harm to anyone, however with Elijah on his phone he missed this sign and subsequently fell onto the mirror and sustained the injuries. The case of Blyth v Birmingham Water Works co 1856 demonstrates that for there to be negligence the defendants must have failed to do something that the ordinary person would have done that would have prevented the issue in the first place. The employer had laid out the sign to give sufficient warning to people but they could not be held responsible for Elijah being on his phone at the time of the incident which caused him to not see the sign. Blyth v Birmingham Water Works co 1856 showed how the defendants could not be accountable for something that is out of the ordinary which is directly related to Elijah</w:t>
      </w:r>
      <w:r>
        <w:rPr>
          <w:rtl w:val="1"/>
        </w:rPr>
        <w:t>’</w:t>
      </w:r>
      <w:r>
        <w:rPr>
          <w:rtl w:val="0"/>
          <w:lang w:val="en-US"/>
        </w:rPr>
        <w:t>s former employer as they can not account for him being on his phone while he should be working and for that to be the reason as to why he missed the sign that could have prevented his injuries. The Health and Safety at Work act 1974 outlines the responsibility of the employer and their liability in cases that involve workplace accidents. The act shows what employers must do and have in their workplace environment to ensure the safety of the workers, and the sign with the warning of the pile of boxes follows what the act says should be done as they gave adequate warning of the hazard in the workplace that was ignored by Elijah which they can not be held responsible for. If Elijah was to bring a claim against his former employer, they would have a very strong argument that would demonstrate how they are not liable for the incident that took place. The former employer of Elijah would have a very good deference that they could use starting with consent which means that there is no injury to a willing person. This is demonstrated by proving that the individual voluntarily consented and knew the risk involved in the work they did, the defence of consent has three elements that must be proven in order for it to be used; agreement, knowledge and voluntariness. The first element, agreement, is satisfied as it is stated that this work was something Elijah does regularly and that the injury occurred as a result of his own actions and therefore can not place blame on the employer. The case of Pitts v Hunt 1990 showed that the plaintiff could not gain a decision in their favour as they were also responsible for the harm caused as they held the blame as well, which directly relates to Elijah</w:t>
      </w:r>
      <w:r>
        <w:rPr>
          <w:rtl w:val="1"/>
        </w:rPr>
        <w:t>’</w:t>
      </w:r>
      <w:r>
        <w:rPr>
          <w:rtl w:val="0"/>
          <w:lang w:val="en-US"/>
        </w:rPr>
        <w:t>s case as it was the action of him being on his phone that resulted in him missing the sign that would have warned him of the pile of boxes. The second element of a consent defence is knowledge which would mean that Elijah was aware of the risks involved in his work and consented to that risk in the workplace. This element is satisfied when Elijah agrees to move the pile of boxes as he had no hesitation in doing so and was injured not because of the task asked of him but rather his own lack of care and awareness. Smith v Baker 1891 shows an example of when a plaintiff does not accept the risks of a job and was injured without having consent to the risks as they were injured due to the lack of safety and care of another person, however in Elijah</w:t>
      </w:r>
      <w:r>
        <w:rPr>
          <w:rtl w:val="1"/>
        </w:rPr>
        <w:t>’</w:t>
      </w:r>
      <w:r>
        <w:rPr>
          <w:rtl w:val="0"/>
          <w:lang w:val="en-US"/>
        </w:rPr>
        <w:t>s case it was due to his own lack of safety and care that the injuries arose as he was the one who missed the warning sign having been on his phone at the time of passing by. The final element of a consent defence is voluntariness which means that they must agree to the risk voluntarily with no pressure from an outside party. This is satisfied as it is stated that Elijah was tasked with collecting the pile of boxes, which is something that he does regularly and would know how to do. Elijah</w:t>
      </w:r>
      <w:r>
        <w:rPr>
          <w:rtl w:val="1"/>
        </w:rPr>
        <w:t>’</w:t>
      </w:r>
      <w:r>
        <w:rPr>
          <w:rtl w:val="0"/>
          <w:lang w:val="en-US"/>
        </w:rPr>
        <w:t>s decision to go on his phone while at work was his own decision that he made and was the cause of him hurting himself as it was the reason as to why he missed the warning sign for the pile of boxes. This element is supported by the case of ICL v Shatwell 1965 as the two brothers in this case continued with their task even though they knew one of the wires were faulty and ultimately caused their own injuries as they made the decision to continue instead of getting the proper wires to do the job. It was also held that the employer was not liable for their injuries as the brothers were negligent as they went directly against their employers instructions. This case would be used in the defence of Elijah</w:t>
      </w:r>
      <w:r>
        <w:rPr>
          <w:rtl w:val="1"/>
        </w:rPr>
        <w:t>’</w:t>
      </w:r>
      <w:r>
        <w:rPr>
          <w:rtl w:val="0"/>
          <w:lang w:val="en-US"/>
        </w:rPr>
        <w:t xml:space="preserve">s former employer as it shows the employer followed all the correct regulations and was in compliance with applicable statutory duties as they put out the sign to warn people of the pile of boxes that could cause harm. </w:t>
      </w:r>
    </w:p>
    <w:p>
      <w:pPr>
        <w:pStyle w:val="Body"/>
      </w:pPr>
    </w:p>
    <w:p>
      <w:pPr>
        <w:pStyle w:val="Body"/>
      </w:pPr>
      <w:r>
        <w:rPr>
          <w:rtl w:val="0"/>
          <w:lang w:val="en-US"/>
        </w:rPr>
        <w:t>The second part of Elijah</w:t>
      </w:r>
      <w:r>
        <w:rPr>
          <w:rtl w:val="1"/>
        </w:rPr>
        <w:t>’</w:t>
      </w:r>
      <w:r>
        <w:rPr>
          <w:rtl w:val="0"/>
          <w:lang w:val="en-US"/>
        </w:rPr>
        <w:t xml:space="preserve">s claim that comes against the local GP would have more evidence in his favour and could potentially land him a verdict that rules in his favour. When Elijah first went to the local GP he was told </w:t>
      </w:r>
      <w:r>
        <w:rPr>
          <w:rtl w:val="1"/>
          <w:lang w:val="ar-SA" w:bidi="ar-SA"/>
        </w:rPr>
        <w:t>“</w:t>
      </w:r>
      <w:r>
        <w:rPr>
          <w:rtl w:val="0"/>
          <w:lang w:val="en-US"/>
        </w:rPr>
        <w:t>that it was probably nothing to worry about</w:t>
      </w:r>
      <w:r>
        <w:rPr>
          <w:rtl w:val="0"/>
        </w:rPr>
        <w:t>”</w:t>
      </w:r>
      <w:r>
        <w:rPr>
          <w:rtl w:val="0"/>
          <w:lang w:val="en-US"/>
        </w:rPr>
        <w:t>, which is the first instance of negligence from the GP. There are three elements to prove when looking at negligence which includes proving the defendant owed a specific claimant a duty of care, the defendant breached the duty of care and the breach of duty caused loss of a type which is recoverable in tort law. The Local GP owe of their all patients a duty of care, including Elijah, which means when he entered the GP and they assessed his injuries they then had a duty of care towards him to look after the injuries that he presented them with. This piece of evidence satisfies the first element and allows for the claim to then look at if the defendant breached that duty of care, which can be seen when they assed Elijah</w:t>
      </w:r>
      <w:r>
        <w:rPr>
          <w:rtl w:val="1"/>
        </w:rPr>
        <w:t>’</w:t>
      </w:r>
      <w:r>
        <w:rPr>
          <w:rtl w:val="0"/>
          <w:lang w:val="en-US"/>
        </w:rPr>
        <w:t xml:space="preserve">s injuries and stated </w:t>
      </w:r>
      <w:r>
        <w:rPr>
          <w:rtl w:val="1"/>
          <w:lang w:val="ar-SA" w:bidi="ar-SA"/>
        </w:rPr>
        <w:t>“</w:t>
      </w:r>
      <w:r>
        <w:rPr>
          <w:rtl w:val="0"/>
          <w:lang w:val="en-US"/>
        </w:rPr>
        <w:t>that it was probably nothing to worry about</w:t>
      </w:r>
      <w:r>
        <w:rPr>
          <w:rtl w:val="0"/>
        </w:rPr>
        <w:t>”</w:t>
      </w:r>
      <w:r>
        <w:rPr>
          <w:rtl w:val="0"/>
          <w:lang w:val="en-US"/>
        </w:rPr>
        <w:t>, showing a lack of care which breaches their duty of care that they owed to Elijah as those injuries proceeded to worsen and leave him with the only option of having to operate on them. This breach of duty resulted in Elijah having to have an operation done which could have potentially been prevented if the GP had noticed earlier and not sent him away, this element is supported by the case of Gouldsmith v Mid Staffordshire General Hospital NHS Trust 2007 as in this case Gouldsmith had the ruling in her favour has the hospital were found to have breached their duty of care by not referring her to a specialist that resulted in her also having to have an operation performed that took her index finger from her. This case would be used in Elijah</w:t>
      </w:r>
      <w:r>
        <w:rPr>
          <w:rtl w:val="1"/>
        </w:rPr>
        <w:t>’</w:t>
      </w:r>
      <w:r>
        <w:rPr>
          <w:rtl w:val="0"/>
          <w:lang w:val="en-US"/>
        </w:rPr>
        <w:t>s claim as it is also due to the local GP that he must have the operation done and potentially lose a limb which could have been prevented if they properly assed him in the first place and if they did not send him home without 100% certainty. Elijah</w:t>
      </w:r>
      <w:r>
        <w:rPr>
          <w:rtl w:val="1"/>
        </w:rPr>
        <w:t>’</w:t>
      </w:r>
      <w:r>
        <w:rPr>
          <w:rtl w:val="0"/>
          <w:lang w:val="en-US"/>
        </w:rPr>
        <w:t>s claim against the local GP would have a good chance at a ruling in his favour as there is little defence that the GP could use as the elements of negligence are proven and also the causation can be proven starting with the factual causation which is sufficed as the injuries would not have happened if the GP did not send him home. The Local GP would only be able to claim that Elijah</w:t>
      </w:r>
      <w:r>
        <w:rPr>
          <w:rtl w:val="1"/>
        </w:rPr>
        <w:t>’</w:t>
      </w:r>
      <w:r>
        <w:rPr>
          <w:rtl w:val="0"/>
          <w:lang w:val="en-US"/>
        </w:rPr>
        <w:t xml:space="preserve">s injuries were worsened by a result of an outside factor and not their own negligence which would most likely not work for them, as seen in the case of Gouldsmith v Mid Staffordshire General hospital NHS Trust 2007. </w:t>
      </w:r>
    </w:p>
    <w:p>
      <w:pPr>
        <w:pStyle w:val="Body"/>
      </w:pPr>
    </w:p>
    <w:p>
      <w:pPr>
        <w:pStyle w:val="Body"/>
      </w:pPr>
      <w:r>
        <w:rPr>
          <w:rtl w:val="0"/>
          <w:lang w:val="en-US"/>
        </w:rPr>
        <w:t>To conclude, Elijah</w:t>
      </w:r>
      <w:r>
        <w:rPr>
          <w:rtl w:val="1"/>
        </w:rPr>
        <w:t>’</w:t>
      </w:r>
      <w:r>
        <w:rPr>
          <w:rtl w:val="0"/>
          <w:lang w:val="en-US"/>
        </w:rPr>
        <w:t>s claim would be looked at in two different sections, his former employer and the local GP. Both of these parties would be analysed as to whether they were negligent and broke a duty of care that they owed to Elijah but the strongest evidence would point to the local GP as being negligent and breaching their duty of care. Elijah would most likely have success in the claim against the local GP, if he received a ruling in his favour, as it can be proven that they did in fact breach their duty of care and were negligent as they sent him away with the chance that the injuries could worsen. The evidence against the GP can also be supported with case law as many similar situations have occurred where a patient has had to have operations performed as a result of the negligence of the GP which would put Elijah in good stead to receive the verdict in his favour. The defences that both parties could use are very different as Elijah</w:t>
      </w:r>
      <w:r>
        <w:rPr>
          <w:rtl w:val="1"/>
        </w:rPr>
        <w:t>’</w:t>
      </w:r>
      <w:r>
        <w:rPr>
          <w:rtl w:val="0"/>
          <w:lang w:val="en-US"/>
        </w:rPr>
        <w:t xml:space="preserve">s former employer did in fact follow the proper safety procedure and would be able to prove that Elijah caused his own injuries due to his own negligence but the local GP would not have strong evidence to use in their support, allowing Elijah to have a better chance at a verdict in his favour. Elijah is able to bring a claim but would be advised to only bring one against the local GP as there is clear evidence to support the claim unlike one against the former employer. </w:t>
      </w: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pPr>
    </w:p>
    <w:p>
      <w:pPr>
        <w:pStyle w:val="Body"/>
        <w:jc w:val="center"/>
      </w:pPr>
      <w:r>
        <w:rPr>
          <w:rtl w:val="0"/>
          <w:lang w:val="pt-PT"/>
        </w:rPr>
        <w:t>Reference List</w:t>
      </w:r>
    </w:p>
    <w:p>
      <w:pPr>
        <w:pStyle w:val="Body"/>
        <w:rPr>
          <w:rStyle w:val="None"/>
          <w:outline w:val="0"/>
          <w:color w:val="333333"/>
          <w:sz w:val="23"/>
          <w:szCs w:val="23"/>
          <w:u w:color="333333"/>
          <w:shd w:val="clear" w:color="auto" w:fill="fbfbfb"/>
          <w14:textFill>
            <w14:solidFill>
              <w14:srgbClr w14:val="333333"/>
            </w14:solidFill>
          </w14:textFill>
        </w:rPr>
      </w:pPr>
      <w:r>
        <w:rPr>
          <w:outline w:val="0"/>
          <w:color w:val="333333"/>
          <w:sz w:val="23"/>
          <w:szCs w:val="23"/>
          <w:u w:color="333333"/>
          <w:shd w:val="clear" w:color="auto" w:fill="fbfbfb"/>
          <w:rtl w:val="0"/>
          <w:lang w:val="en-US"/>
          <w14:textFill>
            <w14:solidFill>
              <w14:srgbClr w14:val="333333"/>
            </w14:solidFill>
          </w14:textFill>
        </w:rPr>
        <w:t xml:space="preserve">Doctors Defence Service (2022) </w:t>
      </w:r>
      <w:r>
        <w:rPr>
          <w:i w:val="1"/>
          <w:iCs w:val="1"/>
          <w:outline w:val="0"/>
          <w:color w:val="333333"/>
          <w:sz w:val="23"/>
          <w:szCs w:val="23"/>
          <w:u w:color="333333"/>
          <w:shd w:val="clear" w:color="auto" w:fill="fbfbfb"/>
          <w:rtl w:val="0"/>
          <w:lang w:val="en-US"/>
          <w14:textFill>
            <w14:solidFill>
              <w14:srgbClr w14:val="333333"/>
            </w14:solidFill>
          </w14:textFill>
        </w:rPr>
        <w:t>contract law for doctors</w:t>
      </w:r>
      <w:r>
        <w:rPr>
          <w:outline w:val="0"/>
          <w:color w:val="333333"/>
          <w:sz w:val="23"/>
          <w:szCs w:val="23"/>
          <w:u w:color="333333"/>
          <w:shd w:val="clear" w:color="auto" w:fill="fbfbfb"/>
          <w:rtl w:val="0"/>
          <w:lang w:val="en-US"/>
          <w14:textFill>
            <w14:solidFill>
              <w14:srgbClr w14:val="333333"/>
            </w14:solidFill>
          </w14:textFill>
        </w:rPr>
        <w:t xml:space="preserve">. Available at: </w:t>
      </w:r>
      <w:r>
        <w:rPr>
          <w:rStyle w:val="Hyperlink.0"/>
        </w:rPr>
        <w:fldChar w:fldCharType="begin" w:fldLock="0"/>
      </w:r>
      <w:r>
        <w:rPr>
          <w:rStyle w:val="Hyperlink.0"/>
        </w:rPr>
        <w:instrText xml:space="preserve"> HYPERLINK "https://doctorsdefenceservice.com/contract-law-for-doctors/"</w:instrText>
      </w:r>
      <w:r>
        <w:rPr>
          <w:rStyle w:val="Hyperlink.0"/>
        </w:rPr>
        <w:fldChar w:fldCharType="separate" w:fldLock="0"/>
      </w:r>
      <w:r>
        <w:rPr>
          <w:rStyle w:val="Hyperlink.0"/>
          <w:rtl w:val="0"/>
        </w:rPr>
        <w:t>https://doctorsdefenceservice.com/contract-law-for-doctors/</w:t>
      </w:r>
      <w:r>
        <w:rPr/>
        <w:fldChar w:fldCharType="end" w:fldLock="0"/>
      </w:r>
      <w:r>
        <w:rPr>
          <w:rStyle w:val="None"/>
          <w:outline w:val="0"/>
          <w:color w:val="333333"/>
          <w:sz w:val="23"/>
          <w:szCs w:val="23"/>
          <w:u w:color="333333"/>
          <w:shd w:val="clear" w:color="auto" w:fill="fbfbfb"/>
          <w:rtl w:val="0"/>
          <w:lang w:val="en-US"/>
          <w14:textFill>
            <w14:solidFill>
              <w14:srgbClr w14:val="333333"/>
            </w14:solidFill>
          </w14:textFill>
        </w:rPr>
        <w:t xml:space="preserve"> (Accessed: 16/01/24).</w:t>
      </w:r>
    </w:p>
    <w:p>
      <w:pPr>
        <w:pStyle w:val="Body"/>
        <w:rPr>
          <w:rStyle w:val="None"/>
          <w:outline w:val="0"/>
          <w:color w:val="333333"/>
          <w:sz w:val="23"/>
          <w:szCs w:val="23"/>
          <w:u w:color="333333"/>
          <w:shd w:val="clear" w:color="auto" w:fill="fbfbfb"/>
          <w14:textFill>
            <w14:solidFill>
              <w14:srgbClr w14:val="333333"/>
            </w14:solidFill>
          </w14:textFill>
        </w:rPr>
      </w:pPr>
    </w:p>
    <w:p>
      <w:pPr>
        <w:pStyle w:val="Body"/>
        <w:rPr>
          <w:rStyle w:val="None"/>
          <w:outline w:val="0"/>
          <w:color w:val="333333"/>
          <w:sz w:val="23"/>
          <w:szCs w:val="23"/>
          <w:u w:color="333333"/>
          <w:shd w:val="clear" w:color="auto" w:fill="fbfbfb"/>
          <w14:textFill>
            <w14:solidFill>
              <w14:srgbClr w14:val="333333"/>
            </w14:solidFill>
          </w14:textFill>
        </w:rPr>
      </w:pPr>
      <w:r>
        <w:rPr>
          <w:rStyle w:val="None"/>
          <w:outline w:val="0"/>
          <w:color w:val="333333"/>
          <w:sz w:val="23"/>
          <w:szCs w:val="23"/>
          <w:u w:color="333333"/>
          <w:shd w:val="clear" w:color="auto" w:fill="fbfbfb"/>
          <w:rtl w:val="0"/>
          <w14:textFill>
            <w14:solidFill>
              <w14:srgbClr w14:val="333333"/>
            </w14:solidFill>
          </w14:textFill>
        </w:rPr>
        <w:t xml:space="preserve">EduCare (2022) </w:t>
      </w:r>
      <w:r>
        <w:rPr>
          <w:rStyle w:val="None"/>
          <w:i w:val="1"/>
          <w:iCs w:val="1"/>
          <w:outline w:val="0"/>
          <w:color w:val="333333"/>
          <w:sz w:val="23"/>
          <w:szCs w:val="23"/>
          <w:u w:color="333333"/>
          <w:rtl w:val="0"/>
          <w:lang w:val="en-US"/>
          <w14:textFill>
            <w14:solidFill>
              <w14:srgbClr w14:val="333333"/>
            </w14:solidFill>
          </w14:textFill>
        </w:rPr>
        <w:t>What is duty of care</w:t>
      </w:r>
      <w:r>
        <w:rPr>
          <w:rStyle w:val="None"/>
          <w:outline w:val="0"/>
          <w:color w:val="333333"/>
          <w:sz w:val="23"/>
          <w:szCs w:val="23"/>
          <w:u w:color="333333"/>
          <w:shd w:val="clear" w:color="auto" w:fill="fbfbfb"/>
          <w:rtl w:val="0"/>
          <w:lang w:val="en-US"/>
          <w14:textFill>
            <w14:solidFill>
              <w14:srgbClr w14:val="333333"/>
            </w14:solidFill>
          </w14:textFill>
        </w:rPr>
        <w:t xml:space="preserve">. Available at: </w:t>
      </w:r>
      <w:r>
        <w:rPr>
          <w:rStyle w:val="Hyperlink.0"/>
        </w:rPr>
        <w:fldChar w:fldCharType="begin" w:fldLock="0"/>
      </w:r>
      <w:r>
        <w:rPr>
          <w:rStyle w:val="Hyperlink.0"/>
        </w:rPr>
        <w:instrText xml:space="preserve"> HYPERLINK "https://www.educare.co.uk/news/what-is-duty-of-care%23:~:text=All%2520workplaces,%2520whether%2520a%2520school,and/or%2520emotional%2520harm,%2520either"</w:instrText>
      </w:r>
      <w:r>
        <w:rPr>
          <w:rStyle w:val="Hyperlink.0"/>
        </w:rPr>
        <w:fldChar w:fldCharType="separate" w:fldLock="0"/>
      </w:r>
      <w:r>
        <w:rPr>
          <w:rStyle w:val="Hyperlink.0"/>
          <w:rtl w:val="0"/>
        </w:rPr>
        <w:t>https://www.educare.co.uk/news/what-is-duty-of-care#:~:text=All%20workplaces%2C%20whether%20a%20school,and%2For%20emotional%20harm%2C%20either</w:t>
      </w:r>
      <w:r>
        <w:rPr/>
        <w:fldChar w:fldCharType="end" w:fldLock="0"/>
      </w:r>
      <w:r>
        <w:rPr>
          <w:rStyle w:val="None"/>
          <w:outline w:val="0"/>
          <w:color w:val="333333"/>
          <w:sz w:val="23"/>
          <w:szCs w:val="23"/>
          <w:u w:color="333333"/>
          <w:shd w:val="clear" w:color="auto" w:fill="fbfbfb"/>
          <w:rtl w:val="0"/>
          <w:lang w:val="en-US"/>
          <w14:textFill>
            <w14:solidFill>
              <w14:srgbClr w14:val="333333"/>
            </w14:solidFill>
          </w14:textFill>
        </w:rPr>
        <w:t xml:space="preserve"> (Accessed: 17/01/24).</w:t>
      </w:r>
    </w:p>
    <w:p>
      <w:pPr>
        <w:pStyle w:val="Body"/>
        <w:rPr>
          <w:rStyle w:val="None"/>
          <w:outline w:val="0"/>
          <w:color w:val="333333"/>
          <w:sz w:val="23"/>
          <w:szCs w:val="23"/>
          <w:u w:color="333333"/>
          <w:shd w:val="clear" w:color="auto" w:fill="fbfbfb"/>
          <w14:textFill>
            <w14:solidFill>
              <w14:srgbClr w14:val="333333"/>
            </w14:solidFill>
          </w14:textFill>
        </w:rPr>
      </w:pPr>
    </w:p>
    <w:p>
      <w:pPr>
        <w:pStyle w:val="Body"/>
        <w:rPr>
          <w:rStyle w:val="None"/>
          <w:outline w:val="0"/>
          <w:color w:val="333333"/>
          <w:sz w:val="23"/>
          <w:szCs w:val="23"/>
          <w:u w:color="333333"/>
          <w:shd w:val="clear" w:color="auto" w:fill="fbfbfb"/>
          <w14:textFill>
            <w14:solidFill>
              <w14:srgbClr w14:val="333333"/>
            </w14:solidFill>
          </w14:textFill>
        </w:rPr>
      </w:pPr>
      <w:r>
        <w:rPr>
          <w:rStyle w:val="None"/>
          <w:outline w:val="0"/>
          <w:color w:val="333333"/>
          <w:sz w:val="23"/>
          <w:szCs w:val="23"/>
          <w:u w:color="333333"/>
          <w:shd w:val="clear" w:color="auto" w:fill="fbfbfb"/>
          <w:rtl w:val="0"/>
          <w14:textFill>
            <w14:solidFill>
              <w14:srgbClr w14:val="333333"/>
            </w14:solidFill>
          </w14:textFill>
        </w:rPr>
        <w:t xml:space="preserve">NHS (2022) </w:t>
      </w:r>
      <w:r>
        <w:rPr>
          <w:rStyle w:val="None"/>
          <w:i w:val="1"/>
          <w:iCs w:val="1"/>
          <w:outline w:val="0"/>
          <w:color w:val="333333"/>
          <w:sz w:val="23"/>
          <w:szCs w:val="23"/>
          <w:u w:color="333333"/>
          <w:shd w:val="clear" w:color="auto" w:fill="fbfbfb"/>
          <w:rtl w:val="0"/>
          <w:lang w:val="en-US"/>
          <w14:textFill>
            <w14:solidFill>
              <w14:srgbClr w14:val="333333"/>
            </w14:solidFill>
          </w14:textFill>
        </w:rPr>
        <w:t>Safeguarding children and vulnerable adults</w:t>
      </w:r>
      <w:r>
        <w:rPr>
          <w:rStyle w:val="None"/>
          <w:outline w:val="0"/>
          <w:color w:val="333333"/>
          <w:sz w:val="23"/>
          <w:szCs w:val="23"/>
          <w:u w:color="333333"/>
          <w:shd w:val="clear" w:color="auto" w:fill="fbfbfb"/>
          <w:rtl w:val="0"/>
          <w:lang w:val="en-US"/>
          <w14:textFill>
            <w14:solidFill>
              <w14:srgbClr w14:val="333333"/>
            </w14:solidFill>
          </w14:textFill>
        </w:rPr>
        <w:t xml:space="preserve"> Available at: </w:t>
      </w:r>
      <w:r>
        <w:rPr>
          <w:rStyle w:val="Hyperlink.0"/>
        </w:rPr>
        <w:fldChar w:fldCharType="begin" w:fldLock="0"/>
      </w:r>
      <w:r>
        <w:rPr>
          <w:rStyle w:val="Hyperlink.0"/>
        </w:rPr>
        <w:instrText xml:space="preserve"> HYPERLINK "https://www.england.nhs.uk/wp-content/uploads/2019/07/annex-2-safeguarding-gp-statutory-professional-and-contractual-duties.pdf"</w:instrText>
      </w:r>
      <w:r>
        <w:rPr>
          <w:rStyle w:val="Hyperlink.0"/>
        </w:rPr>
        <w:fldChar w:fldCharType="separate" w:fldLock="0"/>
      </w:r>
      <w:r>
        <w:rPr>
          <w:rStyle w:val="Hyperlink.0"/>
          <w:rtl w:val="0"/>
        </w:rPr>
        <w:t>https://www.england.nhs.uk/wp-content/uploads/2019/07/annex-2-safeguarding-gp-statutory-professional-and-contractual-duties.pdf</w:t>
      </w:r>
      <w:r>
        <w:rPr/>
        <w:fldChar w:fldCharType="end" w:fldLock="0"/>
      </w:r>
      <w:r>
        <w:rPr>
          <w:rStyle w:val="None"/>
          <w:outline w:val="0"/>
          <w:color w:val="333333"/>
          <w:sz w:val="23"/>
          <w:szCs w:val="23"/>
          <w:u w:color="333333"/>
          <w:shd w:val="clear" w:color="auto" w:fill="fbfbfb"/>
          <w:rtl w:val="0"/>
          <w:lang w:val="en-US"/>
          <w14:textFill>
            <w14:solidFill>
              <w14:srgbClr w14:val="333333"/>
            </w14:solidFill>
          </w14:textFill>
        </w:rPr>
        <w:t xml:space="preserve"> (Accessed: 16/01/24).</w:t>
      </w:r>
    </w:p>
    <w:p>
      <w:pPr>
        <w:pStyle w:val="Body"/>
        <w:rPr>
          <w:rStyle w:val="None"/>
          <w:outline w:val="0"/>
          <w:color w:val="333333"/>
          <w:sz w:val="23"/>
          <w:szCs w:val="23"/>
          <w:u w:color="333333"/>
          <w:shd w:val="clear" w:color="auto" w:fill="fbfbfb"/>
          <w14:textFill>
            <w14:solidFill>
              <w14:srgbClr w14:val="333333"/>
            </w14:solidFill>
          </w14:textFill>
        </w:rPr>
      </w:pPr>
    </w:p>
    <w:p>
      <w:pPr>
        <w:pStyle w:val="Body"/>
        <w:rPr>
          <w:rStyle w:val="None"/>
          <w:outline w:val="0"/>
          <w:color w:val="333333"/>
          <w:sz w:val="23"/>
          <w:szCs w:val="23"/>
          <w:u w:color="333333"/>
          <w:shd w:val="clear" w:color="auto" w:fill="fbfbfb"/>
          <w14:textFill>
            <w14:solidFill>
              <w14:srgbClr w14:val="333333"/>
            </w14:solidFill>
          </w14:textFill>
        </w:rPr>
      </w:pPr>
      <w:r>
        <w:rPr>
          <w:rStyle w:val="None"/>
          <w:outline w:val="0"/>
          <w:color w:val="333333"/>
          <w:sz w:val="23"/>
          <w:szCs w:val="23"/>
          <w:u w:color="333333"/>
          <w:shd w:val="clear" w:color="auto" w:fill="fbfbfb"/>
          <w:rtl w:val="0"/>
          <w:lang w:val="en-US"/>
          <w14:textFill>
            <w14:solidFill>
              <w14:srgbClr w14:val="333333"/>
            </w14:solidFill>
          </w14:textFill>
        </w:rPr>
        <w:t xml:space="preserve">Singapore management university (2016) </w:t>
      </w:r>
      <w:r>
        <w:rPr>
          <w:rStyle w:val="None"/>
          <w:i w:val="1"/>
          <w:iCs w:val="1"/>
          <w:outline w:val="0"/>
          <w:color w:val="333333"/>
          <w:sz w:val="23"/>
          <w:szCs w:val="23"/>
          <w:u w:color="333333"/>
          <w:shd w:val="clear" w:color="auto" w:fill="fbfbfb"/>
          <w:rtl w:val="0"/>
          <w:lang w:val="en-US"/>
          <w14:textFill>
            <w14:solidFill>
              <w14:srgbClr w14:val="333333"/>
            </w14:solidFill>
          </w14:textFill>
        </w:rPr>
        <w:t>Finding common law duty of care from statutory duties: All within the Anns framework</w:t>
      </w:r>
      <w:r>
        <w:rPr>
          <w:rStyle w:val="None"/>
          <w:outline w:val="0"/>
          <w:color w:val="333333"/>
          <w:sz w:val="23"/>
          <w:szCs w:val="23"/>
          <w:u w:color="333333"/>
          <w:shd w:val="clear" w:color="auto" w:fill="fbfbfb"/>
          <w:rtl w:val="0"/>
          <w:lang w:val="en-US"/>
          <w14:textFill>
            <w14:solidFill>
              <w14:srgbClr w14:val="333333"/>
            </w14:solidFill>
          </w14:textFill>
        </w:rPr>
        <w:t xml:space="preserve">. Available at: </w:t>
      </w:r>
      <w:r>
        <w:rPr>
          <w:rStyle w:val="Hyperlink.0"/>
        </w:rPr>
        <w:fldChar w:fldCharType="begin" w:fldLock="0"/>
      </w:r>
      <w:r>
        <w:rPr>
          <w:rStyle w:val="Hyperlink.0"/>
        </w:rPr>
        <w:instrText xml:space="preserve"> HYPERLINK "https://core.ac.uk/download/pdf/111761062.pdf"</w:instrText>
      </w:r>
      <w:r>
        <w:rPr>
          <w:rStyle w:val="Hyperlink.0"/>
        </w:rPr>
        <w:fldChar w:fldCharType="separate" w:fldLock="0"/>
      </w:r>
      <w:r>
        <w:rPr>
          <w:rStyle w:val="Hyperlink.0"/>
          <w:rtl w:val="0"/>
        </w:rPr>
        <w:t>https://core.ac.uk/download/pdf/111761062.pdf</w:t>
      </w:r>
      <w:r>
        <w:rPr/>
        <w:fldChar w:fldCharType="end" w:fldLock="0"/>
      </w:r>
      <w:r>
        <w:rPr>
          <w:rStyle w:val="None"/>
          <w:outline w:val="0"/>
          <w:color w:val="333333"/>
          <w:sz w:val="23"/>
          <w:szCs w:val="23"/>
          <w:u w:color="333333"/>
          <w:shd w:val="clear" w:color="auto" w:fill="fbfbfb"/>
          <w:rtl w:val="0"/>
          <w:lang w:val="en-US"/>
          <w14:textFill>
            <w14:solidFill>
              <w14:srgbClr w14:val="333333"/>
            </w14:solidFill>
          </w14:textFill>
        </w:rPr>
        <w:t xml:space="preserve"> (Accessed: 16/01/24).</w:t>
      </w:r>
    </w:p>
    <w:p>
      <w:pPr>
        <w:pStyle w:val="Body"/>
        <w:rPr>
          <w:rStyle w:val="None"/>
          <w:outline w:val="0"/>
          <w:color w:val="333333"/>
          <w:sz w:val="23"/>
          <w:szCs w:val="23"/>
          <w:u w:color="333333"/>
          <w:shd w:val="clear" w:color="auto" w:fill="fbfbfb"/>
          <w14:textFill>
            <w14:solidFill>
              <w14:srgbClr w14:val="333333"/>
            </w14:solidFill>
          </w14:textFill>
        </w:rPr>
      </w:pPr>
    </w:p>
    <w:p>
      <w:pPr>
        <w:pStyle w:val="Body"/>
        <w:rPr>
          <w:rStyle w:val="None"/>
          <w:outline w:val="0"/>
          <w:color w:val="333333"/>
          <w:sz w:val="23"/>
          <w:szCs w:val="23"/>
          <w:u w:color="333333"/>
          <w:shd w:val="clear" w:color="auto" w:fill="fbfbfb"/>
          <w14:textFill>
            <w14:solidFill>
              <w14:srgbClr w14:val="333333"/>
            </w14:solidFill>
          </w14:textFill>
        </w:rPr>
      </w:pPr>
      <w:r>
        <w:rPr>
          <w:rStyle w:val="None"/>
          <w:outline w:val="0"/>
          <w:color w:val="333333"/>
          <w:sz w:val="23"/>
          <w:szCs w:val="23"/>
          <w:u w:color="333333"/>
          <w:shd w:val="clear" w:color="auto" w:fill="fbfbfb"/>
          <w:rtl w:val="0"/>
          <w:lang w:val="en-US"/>
          <w14:textFill>
            <w14:solidFill>
              <w14:srgbClr w14:val="333333"/>
            </w14:solidFill>
          </w14:textFill>
        </w:rPr>
        <w:t xml:space="preserve">UK government (2024) </w:t>
      </w:r>
      <w:r>
        <w:rPr>
          <w:rStyle w:val="None"/>
          <w:i w:val="1"/>
          <w:iCs w:val="1"/>
          <w:outline w:val="0"/>
          <w:color w:val="333333"/>
          <w:sz w:val="23"/>
          <w:szCs w:val="23"/>
          <w:u w:color="333333"/>
          <w:shd w:val="clear" w:color="auto" w:fill="fbfbfb"/>
          <w:rtl w:val="0"/>
          <w:lang w:val="en-US"/>
          <w14:textFill>
            <w14:solidFill>
              <w14:srgbClr w14:val="333333"/>
            </w14:solidFill>
          </w14:textFill>
        </w:rPr>
        <w:t xml:space="preserve">Health and safety at work etc act 1974  </w:t>
      </w:r>
      <w:r>
        <w:rPr>
          <w:rStyle w:val="None"/>
          <w:outline w:val="0"/>
          <w:color w:val="333333"/>
          <w:sz w:val="23"/>
          <w:szCs w:val="23"/>
          <w:u w:color="333333"/>
          <w:shd w:val="clear" w:color="auto" w:fill="fbfbfb"/>
          <w:rtl w:val="0"/>
          <w:lang w:val="en-US"/>
          <w14:textFill>
            <w14:solidFill>
              <w14:srgbClr w14:val="333333"/>
            </w14:solidFill>
          </w14:textFill>
        </w:rPr>
        <w:t xml:space="preserve">. Available at: </w:t>
      </w:r>
      <w:r>
        <w:rPr>
          <w:rStyle w:val="Hyperlink.0"/>
        </w:rPr>
        <w:fldChar w:fldCharType="begin" w:fldLock="0"/>
      </w:r>
      <w:r>
        <w:rPr>
          <w:rStyle w:val="Hyperlink.0"/>
        </w:rPr>
        <w:instrText xml:space="preserve"> HYPERLINK "https://www.legislation.gov.uk/ukpga/1974/37/contents"</w:instrText>
      </w:r>
      <w:r>
        <w:rPr>
          <w:rStyle w:val="Hyperlink.0"/>
        </w:rPr>
        <w:fldChar w:fldCharType="separate" w:fldLock="0"/>
      </w:r>
      <w:r>
        <w:rPr>
          <w:rStyle w:val="Hyperlink.0"/>
          <w:rtl w:val="0"/>
        </w:rPr>
        <w:t>https://www.legislation.gov.uk/ukpga/1974/37/contents</w:t>
      </w:r>
      <w:r>
        <w:rPr/>
        <w:fldChar w:fldCharType="end" w:fldLock="0"/>
      </w:r>
      <w:r>
        <w:rPr>
          <w:rStyle w:val="None"/>
          <w:outline w:val="0"/>
          <w:color w:val="333333"/>
          <w:sz w:val="23"/>
          <w:szCs w:val="23"/>
          <w:u w:color="333333"/>
          <w:shd w:val="clear" w:color="auto" w:fill="fbfbfb"/>
          <w:rtl w:val="0"/>
          <w:lang w:val="en-US"/>
          <w14:textFill>
            <w14:solidFill>
              <w14:srgbClr w14:val="333333"/>
            </w14:solidFill>
          </w14:textFill>
        </w:rPr>
        <w:t xml:space="preserve"> (Accessed: 17/01/24).</w:t>
      </w:r>
    </w:p>
    <w:p>
      <w:pPr>
        <w:pStyle w:val="Body"/>
        <w:jc w:val="center"/>
      </w:pPr>
    </w:p>
    <w:p>
      <w:pPr>
        <w:pStyle w:val="Body"/>
        <w:jc w:val="center"/>
      </w:pPr>
    </w:p>
    <w:p>
      <w:pPr>
        <w:pStyle w:val="Body"/>
        <w:jc w:val="center"/>
      </w:pPr>
    </w:p>
    <w:p>
      <w:pPr>
        <w:pStyle w:val="Body"/>
        <w:jc w:val="center"/>
      </w:pPr>
      <w:r>
        <w:rPr>
          <w:rStyle w:val="None"/>
          <w:rtl w:val="0"/>
          <w:lang w:val="en-US"/>
        </w:rPr>
        <w:t xml:space="preserve">Case Law </w:t>
      </w:r>
    </w:p>
    <w:p>
      <w:pPr>
        <w:pStyle w:val="Body"/>
        <w:jc w:val="center"/>
      </w:pPr>
    </w:p>
    <w:p>
      <w:pPr>
        <w:pStyle w:val="Body"/>
      </w:pPr>
      <w:r>
        <w:rPr>
          <w:rStyle w:val="None"/>
          <w:rtl w:val="0"/>
          <w:lang w:val="en-US"/>
        </w:rPr>
        <w:t>Blyth v Birmingham Waterworks Co (1856) 11 Ex Ch 781</w:t>
      </w:r>
    </w:p>
    <w:p>
      <w:pPr>
        <w:pStyle w:val="Body"/>
      </w:pPr>
    </w:p>
    <w:p>
      <w:pPr>
        <w:pStyle w:val="Body"/>
      </w:pPr>
      <w:r>
        <w:rPr>
          <w:rStyle w:val="None"/>
          <w:rtl w:val="0"/>
          <w:lang w:val="en-US"/>
        </w:rPr>
        <w:t>Gouldsmith v Mid Staffordshire General Hospital Management committee (1969)</w:t>
      </w:r>
    </w:p>
    <w:p>
      <w:pPr>
        <w:pStyle w:val="Body"/>
      </w:pPr>
    </w:p>
    <w:p>
      <w:pPr>
        <w:pStyle w:val="Body"/>
      </w:pPr>
      <w:r>
        <w:rPr>
          <w:rStyle w:val="None"/>
          <w:rtl w:val="0"/>
          <w:lang w:val="en-US"/>
        </w:rPr>
        <w:t>Imperial Chemical Industries v Shatwell (1965) AC 656</w:t>
      </w:r>
    </w:p>
    <w:p>
      <w:pPr>
        <w:pStyle w:val="Body"/>
      </w:pPr>
    </w:p>
    <w:p>
      <w:pPr>
        <w:pStyle w:val="Body"/>
      </w:pPr>
      <w:r>
        <w:rPr>
          <w:rStyle w:val="None"/>
          <w:rtl w:val="0"/>
        </w:rPr>
        <w:t xml:space="preserve">Pitts v Hunt (1991) </w:t>
      </w:r>
    </w:p>
    <w:p>
      <w:pPr>
        <w:pStyle w:val="Body"/>
      </w:pPr>
    </w:p>
    <w:p>
      <w:pPr>
        <w:pStyle w:val="Body"/>
      </w:pPr>
      <w:r>
        <w:rPr>
          <w:rStyle w:val="None"/>
          <w:rtl w:val="0"/>
          <w:lang w:val="en-US"/>
        </w:rPr>
        <w:t>Smith v Baker (1891)</w:t>
      </w:r>
    </w:p>
    <w:p>
      <w:pPr>
        <w:pStyle w:val="Body"/>
        <w:jc w:val="center"/>
      </w:pPr>
      <w:r/>
    </w:p>
    <w:sectPr>
      <w:headerReference w:type="default" r:id="rId4"/>
      <w:footerReference w:type="default" r:id="rId5"/>
      <w:pgSz w:w="12240" w:h="15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noFill/>
      </w14:textOutline>
      <w14:textFill>
        <w14:solidFill>
          <w14:srgbClr w14:val="000000"/>
        </w14:solidFill>
      </w14:textFill>
    </w:rPr>
  </w:style>
  <w:style w:type="character" w:styleId="None">
    <w:name w:val="None"/>
  </w:style>
  <w:style w:type="character" w:styleId="Hyperlink.0">
    <w:name w:val="Hyperlink.0"/>
    <w:basedOn w:val="None"/>
    <w:next w:val="Hyperlink.0"/>
    <w:rPr>
      <w:outline w:val="0"/>
      <w:color w:val="1155cc"/>
      <w:sz w:val="23"/>
      <w:szCs w:val="23"/>
      <w:u w:val="single" w:color="1155cc"/>
      <w:shd w:val="clear" w:color="auto" w:fill="fbfbfb"/>
      <w14:textFill>
        <w14:solidFill>
          <w14:srgbClr w14:val="1155CC"/>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