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sidP="00513F1D">
      <w:pPr>
        <w:jc w:val="both"/>
      </w:pPr>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513F1D">
      <w:pPr>
        <w:jc w:val="both"/>
        <w:rPr>
          <w:rFonts w:ascii="Times New Roman" w:hAnsi="Times New Roman" w:cs="Times New Roman"/>
          <w:sz w:val="24"/>
          <w:szCs w:val="24"/>
        </w:rPr>
      </w:pPr>
    </w:p>
    <w:p w14:paraId="1ED29290" w14:textId="77777777" w:rsidR="00F927A1" w:rsidRPr="00F927A1" w:rsidRDefault="00F927A1" w:rsidP="00513F1D">
      <w:pPr>
        <w:overflowPunct/>
        <w:autoSpaceDE/>
        <w:autoSpaceDN/>
        <w:adjustRightInd/>
        <w:jc w:val="both"/>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513F1D">
      <w:pPr>
        <w:overflowPunct/>
        <w:autoSpaceDE/>
        <w:autoSpaceDN/>
        <w:adjustRightInd/>
        <w:ind w:right="-957"/>
        <w:jc w:val="both"/>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44D7EB17" w:rsidR="00706BB5" w:rsidRPr="0085230E" w:rsidRDefault="00706BB5" w:rsidP="00513F1D">
      <w:pPr>
        <w:overflowPunct/>
        <w:autoSpaceDE/>
        <w:autoSpaceDN/>
        <w:adjustRightInd/>
        <w:ind w:right="-957"/>
        <w:jc w:val="both"/>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r w:rsidR="00B67CE1">
        <w:rPr>
          <w:rFonts w:ascii="Times New Roman" w:hAnsi="Times New Roman" w:cs="Times New Roman"/>
          <w:b/>
          <w:color w:val="auto"/>
          <w:sz w:val="48"/>
        </w:rPr>
        <w:t xml:space="preserve"> Task Four</w:t>
      </w:r>
    </w:p>
    <w:p w14:paraId="28947286" w14:textId="77777777" w:rsidR="00F927A1" w:rsidRDefault="00F927A1" w:rsidP="00513F1D">
      <w:pPr>
        <w:overflowPunct/>
        <w:autoSpaceDE/>
        <w:autoSpaceDN/>
        <w:adjustRightInd/>
        <w:ind w:right="-957"/>
        <w:jc w:val="both"/>
        <w:textAlignment w:val="auto"/>
        <w:rPr>
          <w:rFonts w:ascii="Times New Roman" w:hAnsi="Times New Roman" w:cs="Times New Roman"/>
          <w:b/>
          <w:color w:val="auto"/>
          <w:sz w:val="48"/>
        </w:rPr>
      </w:pPr>
    </w:p>
    <w:p w14:paraId="61FA5299" w14:textId="77777777" w:rsidR="00F927A1" w:rsidRPr="00FE5F90" w:rsidRDefault="00F927A1" w:rsidP="00513F1D">
      <w:pPr>
        <w:overflowPunct/>
        <w:autoSpaceDE/>
        <w:autoSpaceDN/>
        <w:adjustRightInd/>
        <w:ind w:right="-957"/>
        <w:jc w:val="both"/>
        <w:textAlignment w:val="auto"/>
        <w:rPr>
          <w:rFonts w:ascii="Times New Roman" w:hAnsi="Times New Roman" w:cs="Times New Roman"/>
          <w:b/>
          <w:color w:val="auto"/>
          <w:sz w:val="18"/>
          <w:szCs w:val="2"/>
        </w:rPr>
      </w:pPr>
    </w:p>
    <w:p w14:paraId="5B3FA234" w14:textId="77777777" w:rsidR="00F927A1" w:rsidRPr="00F927A1" w:rsidRDefault="0085230E" w:rsidP="00513F1D">
      <w:pPr>
        <w:overflowPunct/>
        <w:autoSpaceDE/>
        <w:autoSpaceDN/>
        <w:adjustRightInd/>
        <w:ind w:right="-957"/>
        <w:jc w:val="both"/>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rsidP="00513F1D">
      <w:pPr>
        <w:overflowPunct/>
        <w:autoSpaceDE/>
        <w:autoSpaceDN/>
        <w:adjustRightInd/>
        <w:ind w:right="-957"/>
        <w:jc w:val="both"/>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513F1D">
      <w:pPr>
        <w:overflowPunct/>
        <w:autoSpaceDE/>
        <w:autoSpaceDN/>
        <w:adjustRightInd/>
        <w:ind w:right="-957"/>
        <w:jc w:val="both"/>
        <w:textAlignment w:val="auto"/>
        <w:rPr>
          <w:rFonts w:ascii="Times New Roman" w:hAnsi="Times New Roman" w:cs="Times New Roman"/>
          <w:b/>
          <w:color w:val="auto"/>
          <w:sz w:val="14"/>
          <w:szCs w:val="2"/>
        </w:rPr>
      </w:pPr>
    </w:p>
    <w:p w14:paraId="16D1A022" w14:textId="77777777" w:rsidR="0085230E" w:rsidRPr="00F927A1" w:rsidRDefault="0085230E" w:rsidP="00513F1D">
      <w:pPr>
        <w:overflowPunct/>
        <w:autoSpaceDE/>
        <w:autoSpaceDN/>
        <w:adjustRightInd/>
        <w:ind w:right="-957"/>
        <w:jc w:val="both"/>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7D909EB" w:rsidR="00986B43" w:rsidRDefault="00986B43" w:rsidP="00513F1D">
            <w:pPr>
              <w:overflowPunct/>
              <w:autoSpaceDE/>
              <w:autoSpaceDN/>
              <w:adjustRightInd/>
              <w:ind w:right="-957"/>
              <w:jc w:val="both"/>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12F19">
              <w:rPr>
                <w:rFonts w:ascii="Times New Roman" w:hAnsi="Times New Roman" w:cs="Times New Roman"/>
                <w:b/>
                <w:color w:val="auto"/>
                <w:sz w:val="48"/>
              </w:rPr>
              <w:t>Helen Murphy</w:t>
            </w:r>
          </w:p>
          <w:p w14:paraId="0B6CD0DB" w14:textId="689515B5" w:rsidR="009C337F" w:rsidRDefault="009C337F" w:rsidP="00513F1D">
            <w:pPr>
              <w:overflowPunct/>
              <w:autoSpaceDE/>
              <w:autoSpaceDN/>
              <w:adjustRightInd/>
              <w:ind w:right="-957"/>
              <w:jc w:val="both"/>
              <w:textAlignment w:val="auto"/>
              <w:rPr>
                <w:rFonts w:ascii="Times New Roman" w:hAnsi="Times New Roman" w:cs="Times New Roman"/>
                <w:b/>
                <w:color w:val="auto"/>
                <w:sz w:val="48"/>
              </w:rPr>
            </w:pPr>
          </w:p>
          <w:p w14:paraId="3A6EAAC7" w14:textId="0D719F57" w:rsidR="009C337F" w:rsidRDefault="009C337F" w:rsidP="00513F1D">
            <w:pPr>
              <w:overflowPunct/>
              <w:autoSpaceDE/>
              <w:autoSpaceDN/>
              <w:adjustRightInd/>
              <w:ind w:right="-957"/>
              <w:jc w:val="both"/>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12F19">
              <w:rPr>
                <w:rFonts w:ascii="Times New Roman" w:hAnsi="Times New Roman" w:cs="Times New Roman"/>
                <w:b/>
                <w:color w:val="auto"/>
                <w:sz w:val="48"/>
              </w:rPr>
              <w:t xml:space="preserve"> helen.murphy79@yahoo.co.uk</w:t>
            </w:r>
          </w:p>
          <w:p w14:paraId="22E38809" w14:textId="77777777" w:rsidR="00986B43" w:rsidRDefault="00986B43" w:rsidP="00513F1D">
            <w:pPr>
              <w:overflowPunct/>
              <w:autoSpaceDE/>
              <w:autoSpaceDN/>
              <w:adjustRightInd/>
              <w:ind w:right="-957"/>
              <w:jc w:val="both"/>
              <w:textAlignment w:val="auto"/>
              <w:rPr>
                <w:rFonts w:ascii="Times New Roman" w:hAnsi="Times New Roman" w:cs="Times New Roman"/>
                <w:b/>
                <w:color w:val="auto"/>
                <w:sz w:val="48"/>
              </w:rPr>
            </w:pPr>
          </w:p>
          <w:p w14:paraId="0DE696B2" w14:textId="55C98EDD" w:rsidR="00F927A1" w:rsidRDefault="0085230E" w:rsidP="00513F1D">
            <w:pPr>
              <w:overflowPunct/>
              <w:autoSpaceDE/>
              <w:autoSpaceDN/>
              <w:adjustRightInd/>
              <w:ind w:right="-957"/>
              <w:jc w:val="both"/>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07A93D2" w14:textId="36BCF104" w:rsidR="00A12F19" w:rsidRPr="005D3F07" w:rsidRDefault="00A12F19" w:rsidP="00513F1D">
            <w:pPr>
              <w:overflowPunct/>
              <w:autoSpaceDE/>
              <w:autoSpaceDN/>
              <w:adjustRightInd/>
              <w:ind w:right="-957"/>
              <w:jc w:val="both"/>
              <w:textAlignment w:val="auto"/>
              <w:rPr>
                <w:rFonts w:ascii="Times New Roman" w:hAnsi="Times New Roman" w:cs="Times New Roman"/>
                <w:b/>
                <w:color w:val="auto"/>
                <w:sz w:val="48"/>
              </w:rPr>
            </w:pPr>
            <w:r>
              <w:rPr>
                <w:rFonts w:ascii="Times New Roman" w:hAnsi="Times New Roman" w:cs="Times New Roman"/>
                <w:b/>
                <w:color w:val="auto"/>
                <w:sz w:val="48"/>
              </w:rPr>
              <w:t>2323406</w:t>
            </w:r>
          </w:p>
          <w:p w14:paraId="622FD17A" w14:textId="77777777" w:rsidR="0085230E" w:rsidRPr="005D3F07" w:rsidRDefault="0085230E" w:rsidP="00513F1D">
            <w:pPr>
              <w:overflowPunct/>
              <w:autoSpaceDE/>
              <w:autoSpaceDN/>
              <w:adjustRightInd/>
              <w:ind w:right="-957"/>
              <w:jc w:val="both"/>
              <w:textAlignment w:val="auto"/>
              <w:rPr>
                <w:rFonts w:ascii="Times New Roman" w:hAnsi="Times New Roman" w:cs="Times New Roman"/>
                <w:b/>
                <w:color w:val="auto"/>
                <w:sz w:val="48"/>
              </w:rPr>
            </w:pPr>
          </w:p>
          <w:p w14:paraId="5F84129B" w14:textId="4756DF69" w:rsidR="0085230E" w:rsidRPr="005D3F07" w:rsidRDefault="00706BB5" w:rsidP="00513F1D">
            <w:pPr>
              <w:overflowPunct/>
              <w:autoSpaceDE/>
              <w:autoSpaceDN/>
              <w:adjustRightInd/>
              <w:ind w:right="-957"/>
              <w:jc w:val="both"/>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513F1D">
      <w:pPr>
        <w:overflowPunct/>
        <w:autoSpaceDE/>
        <w:autoSpaceDN/>
        <w:adjustRightInd/>
        <w:ind w:right="-957"/>
        <w:jc w:val="both"/>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513F1D">
      <w:pPr>
        <w:overflowPunct/>
        <w:autoSpaceDE/>
        <w:autoSpaceDN/>
        <w:adjustRightInd/>
        <w:jc w:val="both"/>
        <w:textAlignment w:val="auto"/>
        <w:rPr>
          <w:rFonts w:ascii="Times New Roman" w:hAnsi="Times New Roman" w:cs="Times New Roman"/>
          <w:color w:val="auto"/>
          <w:sz w:val="24"/>
        </w:rPr>
      </w:pPr>
    </w:p>
    <w:p w14:paraId="3FC4E125" w14:textId="77777777" w:rsidR="00F927A1" w:rsidRPr="00F927A1" w:rsidRDefault="00F927A1" w:rsidP="00513F1D">
      <w:pPr>
        <w:overflowPunct/>
        <w:autoSpaceDE/>
        <w:autoSpaceDN/>
        <w:adjustRightInd/>
        <w:ind w:right="-957"/>
        <w:jc w:val="both"/>
        <w:textAlignment w:val="auto"/>
        <w:rPr>
          <w:rFonts w:ascii="Times New Roman" w:hAnsi="Times New Roman" w:cs="Times New Roman"/>
          <w:b/>
          <w:color w:val="auto"/>
          <w:sz w:val="48"/>
        </w:rPr>
      </w:pPr>
    </w:p>
    <w:p w14:paraId="025CB5FE" w14:textId="1EB157DC" w:rsidR="00E559CE" w:rsidRDefault="00E83F91" w:rsidP="00513F1D">
      <w:pPr>
        <w:jc w:val="both"/>
        <w:rPr>
          <w:b/>
          <w:sz w:val="24"/>
          <w:szCs w:val="24"/>
        </w:rPr>
      </w:pPr>
      <w:r>
        <w:rPr>
          <w:b/>
          <w:sz w:val="24"/>
          <w:szCs w:val="24"/>
        </w:rPr>
        <w:br w:type="page"/>
      </w:r>
    </w:p>
    <w:p w14:paraId="70797153" w14:textId="77777777" w:rsidR="007F312E" w:rsidRDefault="007F312E" w:rsidP="00513F1D">
      <w:pPr>
        <w:jc w:val="both"/>
        <w:rPr>
          <w:b/>
          <w:sz w:val="28"/>
          <w:szCs w:val="28"/>
        </w:rPr>
      </w:pPr>
    </w:p>
    <w:p w14:paraId="1D68DA91" w14:textId="77777777" w:rsidR="00D3203C" w:rsidRDefault="00D3203C" w:rsidP="00513F1D">
      <w:pPr>
        <w:jc w:val="both"/>
        <w:rPr>
          <w:b/>
          <w:sz w:val="24"/>
          <w:szCs w:val="24"/>
        </w:rPr>
      </w:pPr>
    </w:p>
    <w:p w14:paraId="0EF984DF" w14:textId="02707E04" w:rsidR="000D0BB6" w:rsidRPr="00EE5BC3" w:rsidRDefault="00337FEF" w:rsidP="00513F1D">
      <w:pPr>
        <w:jc w:val="both"/>
        <w:rPr>
          <w:b/>
          <w:sz w:val="28"/>
          <w:szCs w:val="28"/>
        </w:rPr>
      </w:pPr>
      <w:r w:rsidRPr="00EE5BC3">
        <w:rPr>
          <w:b/>
          <w:sz w:val="28"/>
          <w:szCs w:val="28"/>
        </w:rPr>
        <w:t>Task 4</w:t>
      </w:r>
    </w:p>
    <w:p w14:paraId="156B2346" w14:textId="77777777" w:rsidR="00002C7A" w:rsidRPr="00EE5BC3" w:rsidRDefault="00002C7A" w:rsidP="00513F1D">
      <w:pPr>
        <w:jc w:val="both"/>
        <w:rPr>
          <w:b/>
          <w:sz w:val="28"/>
          <w:szCs w:val="28"/>
        </w:rPr>
      </w:pPr>
    </w:p>
    <w:p w14:paraId="4A34FA1D" w14:textId="77777777" w:rsidR="00002C7A" w:rsidRPr="00EE5BC3" w:rsidRDefault="00002C7A" w:rsidP="00513F1D">
      <w:pPr>
        <w:jc w:val="both"/>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513F1D">
      <w:pPr>
        <w:jc w:val="both"/>
        <w:rPr>
          <w:b/>
          <w:sz w:val="24"/>
          <w:szCs w:val="24"/>
        </w:rPr>
      </w:pPr>
    </w:p>
    <w:p w14:paraId="63836D76" w14:textId="77777777" w:rsidR="00337FEF" w:rsidRPr="00EE5BC3" w:rsidRDefault="008B28E7" w:rsidP="00513F1D">
      <w:pPr>
        <w:ind w:left="-90"/>
        <w:jc w:val="both"/>
        <w:rPr>
          <w:b/>
          <w:i/>
          <w:sz w:val="24"/>
          <w:szCs w:val="24"/>
        </w:rPr>
      </w:pPr>
      <w:r w:rsidRPr="00EE5BC3">
        <w:rPr>
          <w:b/>
          <w:i/>
          <w:sz w:val="24"/>
          <w:szCs w:val="24"/>
        </w:rPr>
        <w:t xml:space="preserve">Guidance: </w:t>
      </w:r>
    </w:p>
    <w:p w14:paraId="440B2467" w14:textId="322DDD98" w:rsidR="00633165" w:rsidRPr="00706BB5" w:rsidRDefault="00012B16" w:rsidP="00513F1D">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513F1D">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119996E3" w:rsidR="00337FEF" w:rsidRDefault="00337FEF" w:rsidP="00513F1D">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C3E502A" w14:textId="77777777" w:rsidR="00513F1D" w:rsidRPr="00EB695F" w:rsidRDefault="00513F1D" w:rsidP="00513F1D">
            <w:pPr>
              <w:jc w:val="both"/>
              <w:rPr>
                <w:b/>
                <w:sz w:val="24"/>
                <w:szCs w:val="24"/>
              </w:rPr>
            </w:pPr>
          </w:p>
          <w:p w14:paraId="618E4D11" w14:textId="5B939EA7" w:rsidR="00513F1D" w:rsidRDefault="00BB7FD2" w:rsidP="00513F1D">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93A52A5" w14:textId="16D6ECFD" w:rsidR="00513F1D" w:rsidRDefault="00513F1D" w:rsidP="00513F1D">
            <w:pPr>
              <w:jc w:val="both"/>
              <w:rPr>
                <w:sz w:val="24"/>
                <w:szCs w:val="24"/>
              </w:rPr>
            </w:pPr>
          </w:p>
          <w:p w14:paraId="15073BB6" w14:textId="77777777" w:rsidR="00513F1D" w:rsidRPr="00513F1D" w:rsidRDefault="00513F1D" w:rsidP="00513F1D">
            <w:pPr>
              <w:pStyle w:val="NormalWeb"/>
              <w:rPr>
                <w:rFonts w:ascii="Arial" w:hAnsi="Arial" w:cs="Arial"/>
                <w:sz w:val="22"/>
                <w:szCs w:val="22"/>
              </w:rPr>
            </w:pPr>
            <w:r w:rsidRPr="00513F1D">
              <w:rPr>
                <w:rFonts w:ascii="Arial" w:hAnsi="Arial" w:cs="Arial"/>
                <w:sz w:val="22"/>
                <w:szCs w:val="22"/>
              </w:rPr>
              <w:t>Safeguarding adults and safeguarding children in Wales share a unified procedural framework through the Wales Safeguarding Procedures (2019), yet the legislative foundations and professional expectations differ significantly. Adults’ safeguarding is situated within the Social Services and Well</w:t>
            </w:r>
            <w:r w:rsidRPr="00513F1D">
              <w:rPr>
                <w:rFonts w:ascii="Arial" w:hAnsi="Arial" w:cs="Arial"/>
                <w:sz w:val="22"/>
                <w:szCs w:val="22"/>
              </w:rPr>
              <w:noBreakHyphen/>
              <w:t>being (Wales) Act 2014, which emphasises autonomy, empowerment, and proportionality. In contrast, children’s safeguarding continues to be driven by the Children Act 1989, which places the child’s welfare and best interests at the centre of all decisions. Although both systems are underpinned by shared principles of prevention, protection from harm, wellbeing, and the expectation that safeguarding is everyone’s responsibility (SCIE, 2020), the practical application of these principles diverges in important ways.</w:t>
            </w:r>
          </w:p>
          <w:p w14:paraId="518A6525" w14:textId="77777777" w:rsidR="00513F1D" w:rsidRPr="00513F1D" w:rsidRDefault="00513F1D" w:rsidP="00513F1D">
            <w:pPr>
              <w:pStyle w:val="NormalWeb"/>
              <w:rPr>
                <w:rFonts w:ascii="Arial" w:hAnsi="Arial" w:cs="Arial"/>
                <w:sz w:val="22"/>
                <w:szCs w:val="22"/>
              </w:rPr>
            </w:pPr>
            <w:r w:rsidRPr="00513F1D">
              <w:rPr>
                <w:rFonts w:ascii="Arial" w:hAnsi="Arial" w:cs="Arial"/>
                <w:sz w:val="22"/>
                <w:szCs w:val="22"/>
              </w:rPr>
              <w:t xml:space="preserve">A key distinction relates to </w:t>
            </w:r>
            <w:r w:rsidRPr="00513F1D">
              <w:rPr>
                <w:rStyle w:val="Strong"/>
                <w:rFonts w:ascii="Arial" w:hAnsi="Arial" w:cs="Arial"/>
                <w:b w:val="0"/>
                <w:sz w:val="22"/>
                <w:szCs w:val="22"/>
              </w:rPr>
              <w:t>consent</w:t>
            </w:r>
            <w:r w:rsidRPr="00513F1D">
              <w:rPr>
                <w:rFonts w:ascii="Arial" w:hAnsi="Arial" w:cs="Arial"/>
                <w:b/>
                <w:sz w:val="22"/>
                <w:szCs w:val="22"/>
              </w:rPr>
              <w:t xml:space="preserve"> </w:t>
            </w:r>
            <w:r w:rsidRPr="00513F1D">
              <w:rPr>
                <w:rFonts w:ascii="Arial" w:hAnsi="Arial" w:cs="Arial"/>
                <w:sz w:val="22"/>
                <w:szCs w:val="22"/>
              </w:rPr>
              <w:t xml:space="preserve">and how practitioners interpret and respond to </w:t>
            </w:r>
            <w:r w:rsidRPr="00513F1D">
              <w:rPr>
                <w:rStyle w:val="Strong"/>
                <w:rFonts w:ascii="Arial" w:hAnsi="Arial" w:cs="Arial"/>
                <w:b w:val="0"/>
                <w:sz w:val="22"/>
                <w:szCs w:val="22"/>
              </w:rPr>
              <w:t>risk</w:t>
            </w:r>
            <w:r w:rsidRPr="00513F1D">
              <w:rPr>
                <w:rFonts w:ascii="Arial" w:hAnsi="Arial" w:cs="Arial"/>
                <w:sz w:val="22"/>
                <w:szCs w:val="22"/>
              </w:rPr>
              <w:t>. In children’s safeguarding, consent is not required when concerns arise. Statutory duties allow practitioners to intervene decisively to protect children from harm, even when this conflicts with parental wishes. The child’s welfare is paramount, and intervention is justified through evidence</w:t>
            </w:r>
            <w:r w:rsidRPr="00513F1D">
              <w:rPr>
                <w:rFonts w:ascii="Arial" w:hAnsi="Arial" w:cs="Arial"/>
                <w:sz w:val="22"/>
                <w:szCs w:val="22"/>
              </w:rPr>
              <w:noBreakHyphen/>
              <w:t>informed assessment of risk, vulnerability, and unmet needs. Adults’ safeguarding, however, is grounded in the presumption of autonomy. Practitioners must seek consent wherever possible unless there are clear mitigating circumstances, such as coercion, significant risk to others, or situations where acting in the person’s best interests is necessary (WSP, 2019). This creates a more negotiated and collaborative safeguarding process, where the individual’s right to self</w:t>
            </w:r>
            <w:r w:rsidRPr="00513F1D">
              <w:rPr>
                <w:rFonts w:ascii="Arial" w:hAnsi="Arial" w:cs="Arial"/>
                <w:sz w:val="22"/>
                <w:szCs w:val="22"/>
              </w:rPr>
              <w:noBreakHyphen/>
              <w:t>determination is central.</w:t>
            </w:r>
          </w:p>
          <w:p w14:paraId="455726D7" w14:textId="77777777" w:rsidR="00513F1D" w:rsidRPr="00513F1D" w:rsidRDefault="00513F1D" w:rsidP="00513F1D">
            <w:pPr>
              <w:pStyle w:val="NormalWeb"/>
              <w:rPr>
                <w:rFonts w:ascii="Arial" w:hAnsi="Arial" w:cs="Arial"/>
                <w:sz w:val="22"/>
                <w:szCs w:val="22"/>
              </w:rPr>
            </w:pPr>
            <w:r w:rsidRPr="00513F1D">
              <w:rPr>
                <w:rFonts w:ascii="Arial" w:hAnsi="Arial" w:cs="Arial"/>
                <w:sz w:val="22"/>
                <w:szCs w:val="22"/>
              </w:rPr>
              <w:t>Capacity further differentiates the two contexts. Adults are presumed to have capacity unless assessed otherwise, and the Mental Capacity Act 2005 protects their right to make unwise decisions unless these place themselves or others at significant risk. In contrast, children under 16 are not automatically assumed to have capacity, and decisions may be made on their behalf when required to safeguard them. Young people aged 16–17 may be considered capable of informed decision</w:t>
            </w:r>
            <w:r w:rsidRPr="00513F1D">
              <w:rPr>
                <w:rFonts w:ascii="Arial" w:hAnsi="Arial" w:cs="Arial"/>
                <w:sz w:val="22"/>
                <w:szCs w:val="22"/>
              </w:rPr>
              <w:noBreakHyphen/>
              <w:t xml:space="preserve">making, but where doubt exists, practitioners should assess Gillick competence (Griffiths, 2021). While children’s views, wishes, and feelings must be actively sought and taken seriously (SCW, 2022), statutory duties allow practitioners to override these views when necessary to protect them from harm. Adults with mental health disorders may also be safeguarded through the Mental Health Act 2007, which permits detention for assessment or treatment when required for their safety </w:t>
            </w:r>
            <w:r w:rsidRPr="00513F1D">
              <w:rPr>
                <w:rFonts w:ascii="Arial" w:hAnsi="Arial" w:cs="Arial"/>
                <w:sz w:val="22"/>
                <w:szCs w:val="22"/>
              </w:rPr>
              <w:lastRenderedPageBreak/>
              <w:t>or the protection of others (Mind, 2025). The MCA also enables deprivation of liberty under strict best</w:t>
            </w:r>
            <w:r w:rsidRPr="00513F1D">
              <w:rPr>
                <w:rFonts w:ascii="Arial" w:hAnsi="Arial" w:cs="Arial"/>
                <w:sz w:val="22"/>
                <w:szCs w:val="22"/>
              </w:rPr>
              <w:noBreakHyphen/>
              <w:t>interest safeguards, reflecting the balance between autonomy and protection.</w:t>
            </w:r>
          </w:p>
          <w:p w14:paraId="3B79DD3F" w14:textId="783FF06D" w:rsidR="00513F1D" w:rsidRDefault="00513F1D" w:rsidP="00513F1D">
            <w:pPr>
              <w:pStyle w:val="NormalWeb"/>
              <w:rPr>
                <w:rFonts w:ascii="Arial" w:hAnsi="Arial" w:cs="Arial"/>
                <w:sz w:val="22"/>
                <w:szCs w:val="22"/>
              </w:rPr>
            </w:pPr>
            <w:r w:rsidRPr="00513F1D">
              <w:rPr>
                <w:rFonts w:ascii="Arial" w:hAnsi="Arial" w:cs="Arial"/>
                <w:sz w:val="22"/>
                <w:szCs w:val="22"/>
              </w:rPr>
              <w:t>These differences illustrate how safeguarding practice is shaped by developmental, legal, and ethical considerations. Children’s safeguarding affords wider powers to intervene decisively in the child’s best interests, recognising their evolving capacity, dependency, and heightened vulnerability. Adults’ safeguarding, by contrast, prioritises empowerment, choice, and rights, intervening only when risk, capacity, or vulnerability justify a more protective response. Reflecting on these distinctions reinforces the importance of legal literacy, ethical judgement, and proportionate decision</w:t>
            </w:r>
            <w:r w:rsidRPr="00513F1D">
              <w:rPr>
                <w:rFonts w:ascii="Arial" w:hAnsi="Arial" w:cs="Arial"/>
                <w:sz w:val="22"/>
                <w:szCs w:val="22"/>
              </w:rPr>
              <w:noBreakHyphen/>
              <w:t>making across both contexts, ensuring that safeguarding practice remains defensible, rights</w:t>
            </w:r>
            <w:r w:rsidRPr="00513F1D">
              <w:rPr>
                <w:rFonts w:ascii="Arial" w:hAnsi="Arial" w:cs="Arial"/>
                <w:sz w:val="22"/>
                <w:szCs w:val="22"/>
              </w:rPr>
              <w:noBreakHyphen/>
              <w:t>based, and centred on the individual’s wellbeing.</w:t>
            </w:r>
          </w:p>
          <w:p w14:paraId="774095BD" w14:textId="4F8D62A0" w:rsidR="00FC0334" w:rsidRDefault="00513F1D" w:rsidP="00513F1D">
            <w:pPr>
              <w:pStyle w:val="NormalWeb"/>
              <w:rPr>
                <w:rFonts w:ascii="Arial" w:hAnsi="Arial" w:cs="Arial"/>
                <w:sz w:val="22"/>
                <w:szCs w:val="22"/>
              </w:rPr>
            </w:pPr>
            <w:r>
              <w:rPr>
                <w:rFonts w:ascii="Arial" w:hAnsi="Arial" w:cs="Arial"/>
                <w:sz w:val="22"/>
                <w:szCs w:val="22"/>
              </w:rPr>
              <w:t>481 words</w:t>
            </w:r>
          </w:p>
          <w:p w14:paraId="7E0D857D" w14:textId="77777777" w:rsidR="00513F1D" w:rsidRPr="00513F1D" w:rsidRDefault="00513F1D" w:rsidP="00513F1D">
            <w:pPr>
              <w:pStyle w:val="NormalWeb"/>
              <w:rPr>
                <w:rFonts w:ascii="Arial" w:hAnsi="Arial" w:cs="Arial"/>
                <w:sz w:val="22"/>
                <w:szCs w:val="22"/>
              </w:rPr>
            </w:pPr>
          </w:p>
          <w:p w14:paraId="4FF8EBF3" w14:textId="77777777" w:rsidR="005A545C" w:rsidRDefault="005414F4" w:rsidP="00513F1D">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513F1D">
            <w:pPr>
              <w:jc w:val="both"/>
              <w:rPr>
                <w:b/>
                <w:sz w:val="24"/>
                <w:szCs w:val="24"/>
              </w:rPr>
            </w:pPr>
          </w:p>
        </w:tc>
      </w:tr>
    </w:tbl>
    <w:p w14:paraId="37E9CF73" w14:textId="77777777" w:rsidR="00AA666E" w:rsidRPr="008B28E7" w:rsidRDefault="00AA666E" w:rsidP="00513F1D">
      <w:pPr>
        <w:jc w:val="both"/>
        <w:rPr>
          <w:sz w:val="24"/>
          <w:szCs w:val="24"/>
        </w:rPr>
      </w:pPr>
    </w:p>
    <w:p w14:paraId="1FC83FC7" w14:textId="77777777" w:rsidR="00AA666E" w:rsidRPr="008B28E7" w:rsidRDefault="00AA666E" w:rsidP="00513F1D">
      <w:pPr>
        <w:jc w:val="both"/>
        <w:rPr>
          <w:sz w:val="24"/>
          <w:szCs w:val="24"/>
        </w:rPr>
      </w:pPr>
    </w:p>
    <w:p w14:paraId="60437654" w14:textId="77777777" w:rsidR="00AA666E" w:rsidRDefault="00AA666E" w:rsidP="00513F1D">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513F1D">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7DC6EFE2" w:rsidR="00FC0334" w:rsidRDefault="00FC0334" w:rsidP="00513F1D">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53EDAD55" w14:textId="4AE0C4FF" w:rsidR="00513F1D" w:rsidRDefault="00513F1D" w:rsidP="00513F1D">
            <w:pPr>
              <w:jc w:val="both"/>
              <w:rPr>
                <w:sz w:val="24"/>
                <w:szCs w:val="24"/>
              </w:rPr>
            </w:pPr>
          </w:p>
          <w:p w14:paraId="41EBF3D8" w14:textId="77777777" w:rsidR="00513F1D" w:rsidRPr="00513F1D" w:rsidRDefault="00513F1D" w:rsidP="00513F1D">
            <w:pPr>
              <w:pStyle w:val="NormalWeb"/>
              <w:rPr>
                <w:rFonts w:ascii="Arial" w:hAnsi="Arial" w:cs="Arial"/>
              </w:rPr>
            </w:pPr>
            <w:r w:rsidRPr="00513F1D">
              <w:rPr>
                <w:rFonts w:ascii="Arial" w:hAnsi="Arial" w:cs="Arial"/>
              </w:rPr>
              <w:t>Reflecting on the differences between adults’ and children’s safeguarding has strengthened my understanding of how legislative frameworks, rights</w:t>
            </w:r>
            <w:r w:rsidRPr="00513F1D">
              <w:rPr>
                <w:rFonts w:ascii="Arial" w:hAnsi="Arial" w:cs="Arial"/>
              </w:rPr>
              <w:noBreakHyphen/>
              <w:t>based principles and professional values shape practice in distinct yet interconnected ways. Although both systems share a commitment to preventing harm, promoting wellbeing and ensuring proportionate intervention, the contrasting expectations around consent, capacity and autonomy create fundamentally different professional responsibilities. This reflection has highlighted how safeguarding cannot be approached as a single, uniform process; instead, it requires practitioners to adapt their reasoning, communication and ethical judgement to the developmental and legal context of the individual.</w:t>
            </w:r>
          </w:p>
          <w:p w14:paraId="13F684B5" w14:textId="77777777" w:rsidR="00513F1D" w:rsidRPr="00513F1D" w:rsidRDefault="00513F1D" w:rsidP="00513F1D">
            <w:pPr>
              <w:pStyle w:val="NormalWeb"/>
              <w:rPr>
                <w:rFonts w:ascii="Arial" w:hAnsi="Arial" w:cs="Arial"/>
              </w:rPr>
            </w:pPr>
            <w:r w:rsidRPr="00513F1D">
              <w:rPr>
                <w:rFonts w:ascii="Arial" w:hAnsi="Arial" w:cs="Arial"/>
              </w:rPr>
              <w:t xml:space="preserve">One of the most significant learning points relates to how </w:t>
            </w:r>
            <w:r w:rsidRPr="00A1469A">
              <w:rPr>
                <w:rStyle w:val="Strong"/>
                <w:rFonts w:ascii="Arial" w:hAnsi="Arial" w:cs="Arial"/>
                <w:b w:val="0"/>
              </w:rPr>
              <w:t>risk is interpreted</w:t>
            </w:r>
            <w:r w:rsidRPr="00513F1D">
              <w:rPr>
                <w:rFonts w:ascii="Arial" w:hAnsi="Arial" w:cs="Arial"/>
              </w:rPr>
              <w:t xml:space="preserve"> across both domains. In children’s safeguarding, risk is viewed through a lens of vulnerability, dependency and the statutory duty to act decisively when concerns arise. Reflecting on this has reinforced my understanding that children’s welfare must remain paramount, even when this requires overriding parental wishes or children’s expressed views. In contrast, adults’ safeguarding demands a more nuanced balance between respecting autonomy and responding to harm. Adults with capacity may make choices that appear unwise, and practitioners must tolerate a level of risk unless it becomes harmful to the individual or others. This distinction has encouraged me to think more critically about how empowerment and protection interact, and how easily the balance can shift depending on capacity, coercion or vulnerability.</w:t>
            </w:r>
          </w:p>
          <w:p w14:paraId="734DC20F" w14:textId="77777777" w:rsidR="00513F1D" w:rsidRPr="00513F1D" w:rsidRDefault="00513F1D" w:rsidP="00513F1D">
            <w:pPr>
              <w:pStyle w:val="NormalWeb"/>
              <w:rPr>
                <w:rFonts w:ascii="Arial" w:hAnsi="Arial" w:cs="Arial"/>
              </w:rPr>
            </w:pPr>
            <w:r w:rsidRPr="00513F1D">
              <w:rPr>
                <w:rFonts w:ascii="Arial" w:hAnsi="Arial" w:cs="Arial"/>
              </w:rPr>
              <w:t xml:space="preserve">Considering the role of </w:t>
            </w:r>
            <w:r w:rsidRPr="00A1469A">
              <w:rPr>
                <w:rStyle w:val="Strong"/>
                <w:rFonts w:ascii="Arial" w:hAnsi="Arial" w:cs="Arial"/>
                <w:b w:val="0"/>
              </w:rPr>
              <w:t>consent</w:t>
            </w:r>
            <w:r w:rsidRPr="00513F1D">
              <w:rPr>
                <w:rFonts w:ascii="Arial" w:hAnsi="Arial" w:cs="Arial"/>
              </w:rPr>
              <w:t xml:space="preserve"> has also deepened my appreciation of the ethical tensions inherent in safeguarding. Children’s safeguarding allows intervention without consent, which can feel intrusive but is necessary to uphold their rights to safety and development. Adults’ </w:t>
            </w:r>
            <w:r w:rsidRPr="00513F1D">
              <w:rPr>
                <w:rFonts w:ascii="Arial" w:hAnsi="Arial" w:cs="Arial"/>
              </w:rPr>
              <w:lastRenderedPageBreak/>
              <w:t>safeguarding, however, requires practitioners to negotiate consent sensitively and avoid paternalistic practice. Reflecting on this difference has helped me recognise how safeguarding adults often involves working alongside individuals to build trust, understand their wishes and support them to make informed decisions, whereas safeguarding children may require more authoritative action.</w:t>
            </w:r>
          </w:p>
          <w:p w14:paraId="091A9D08" w14:textId="77777777" w:rsidR="00513F1D" w:rsidRPr="00513F1D" w:rsidRDefault="00513F1D" w:rsidP="00513F1D">
            <w:pPr>
              <w:pStyle w:val="NormalWeb"/>
              <w:rPr>
                <w:rFonts w:ascii="Arial" w:hAnsi="Arial" w:cs="Arial"/>
              </w:rPr>
            </w:pPr>
            <w:r w:rsidRPr="00513F1D">
              <w:rPr>
                <w:rFonts w:ascii="Arial" w:hAnsi="Arial" w:cs="Arial"/>
              </w:rPr>
              <w:t>Overall, reflecting on these differences has reinforced the importance of legal literacy, professional curiosity and ethical judgement in both contexts. It has reminded me that safeguarding is not simply about applying procedures, but about understanding the lived experiences, rights and vulnerabilities of the people we support. This reflection has strengthened my confidence in navigating the complexities of both systems and highlighted the need for proportionate, rights</w:t>
            </w:r>
            <w:r w:rsidRPr="00513F1D">
              <w:rPr>
                <w:rFonts w:ascii="Arial" w:hAnsi="Arial" w:cs="Arial"/>
              </w:rPr>
              <w:noBreakHyphen/>
              <w:t>based and relationship</w:t>
            </w:r>
            <w:r w:rsidRPr="00513F1D">
              <w:rPr>
                <w:rFonts w:ascii="Arial" w:hAnsi="Arial" w:cs="Arial"/>
              </w:rPr>
              <w:noBreakHyphen/>
              <w:t>centred practice across all safeguarding work.</w:t>
            </w:r>
          </w:p>
          <w:p w14:paraId="2BF23EA2" w14:textId="2B25D6C6" w:rsidR="00513F1D" w:rsidRDefault="00513F1D" w:rsidP="00513F1D">
            <w:pPr>
              <w:jc w:val="both"/>
              <w:rPr>
                <w:sz w:val="24"/>
                <w:szCs w:val="24"/>
              </w:rPr>
            </w:pPr>
            <w:r>
              <w:rPr>
                <w:sz w:val="24"/>
                <w:szCs w:val="24"/>
              </w:rPr>
              <w:t xml:space="preserve">385 words </w:t>
            </w:r>
          </w:p>
          <w:p w14:paraId="4847C39E" w14:textId="6BA9E884" w:rsidR="00FC0334" w:rsidRDefault="00FC0334" w:rsidP="00513F1D">
            <w:pPr>
              <w:jc w:val="both"/>
              <w:rPr>
                <w:sz w:val="24"/>
                <w:szCs w:val="24"/>
              </w:rPr>
            </w:pPr>
          </w:p>
          <w:p w14:paraId="04285720" w14:textId="77777777" w:rsidR="00FC0334" w:rsidRDefault="00FC0334" w:rsidP="00513F1D">
            <w:pPr>
              <w:jc w:val="both"/>
              <w:rPr>
                <w:sz w:val="24"/>
                <w:szCs w:val="24"/>
              </w:rPr>
            </w:pPr>
          </w:p>
          <w:p w14:paraId="6BA3DD84" w14:textId="49F54A47" w:rsidR="00FC0334" w:rsidRDefault="00513F1D" w:rsidP="00513F1D">
            <w:pPr>
              <w:jc w:val="both"/>
              <w:rPr>
                <w:i/>
                <w:sz w:val="24"/>
                <w:szCs w:val="24"/>
              </w:rPr>
            </w:pPr>
            <w:r>
              <w:rPr>
                <w:sz w:val="24"/>
                <w:szCs w:val="24"/>
              </w:rPr>
              <w:t>4</w:t>
            </w:r>
            <w:r w:rsidR="00FC0334" w:rsidRPr="006108C9">
              <w:rPr>
                <w:i/>
                <w:sz w:val="24"/>
                <w:szCs w:val="24"/>
              </w:rPr>
              <w:t>00 words</w:t>
            </w:r>
            <w:r w:rsidR="00FC0334" w:rsidRPr="006108C9">
              <w:rPr>
                <w:sz w:val="24"/>
                <w:szCs w:val="24"/>
              </w:rPr>
              <w:t xml:space="preserve"> </w:t>
            </w:r>
            <w:r w:rsidR="00FC0334"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513F1D">
            <w:pPr>
              <w:jc w:val="both"/>
              <w:rPr>
                <w:sz w:val="24"/>
                <w:szCs w:val="24"/>
              </w:rPr>
            </w:pPr>
            <w:bookmarkStart w:id="0" w:name="_GoBack"/>
            <w:bookmarkEnd w:id="0"/>
          </w:p>
        </w:tc>
      </w:tr>
    </w:tbl>
    <w:p w14:paraId="76FCF233" w14:textId="77777777" w:rsidR="00FC0334" w:rsidRDefault="00FC0334" w:rsidP="00513F1D">
      <w:pPr>
        <w:jc w:val="both"/>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0C25E" w14:textId="77777777" w:rsidR="000A350F" w:rsidRDefault="000A350F">
      <w:r>
        <w:separator/>
      </w:r>
    </w:p>
  </w:endnote>
  <w:endnote w:type="continuationSeparator" w:id="0">
    <w:p w14:paraId="5809BB64" w14:textId="77777777" w:rsidR="000A350F" w:rsidRDefault="000A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F1190DF" w:rsidR="00A5656A" w:rsidRDefault="00A5656A">
    <w:pPr>
      <w:pStyle w:val="Footer"/>
      <w:jc w:val="right"/>
    </w:pPr>
    <w:r>
      <w:fldChar w:fldCharType="begin"/>
    </w:r>
    <w:r>
      <w:instrText xml:space="preserve"> PAGE   \* MERGEFORMAT </w:instrText>
    </w:r>
    <w:r>
      <w:fldChar w:fldCharType="separate"/>
    </w:r>
    <w:r w:rsidR="00A1469A">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8E8E8" w14:textId="77777777" w:rsidR="000A350F" w:rsidRDefault="000A350F">
      <w:r>
        <w:separator/>
      </w:r>
    </w:p>
  </w:footnote>
  <w:footnote w:type="continuationSeparator" w:id="0">
    <w:p w14:paraId="4214B93D" w14:textId="77777777" w:rsidR="000A350F" w:rsidRDefault="000A3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50F"/>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3F1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C52"/>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19"/>
    <w:rsid w:val="00A12F22"/>
    <w:rsid w:val="00A1469A"/>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7CE1"/>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513F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513F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64939">
      <w:bodyDiv w:val="1"/>
      <w:marLeft w:val="0"/>
      <w:marRight w:val="0"/>
      <w:marTop w:val="0"/>
      <w:marBottom w:val="0"/>
      <w:divBdr>
        <w:top w:val="none" w:sz="0" w:space="0" w:color="auto"/>
        <w:left w:val="none" w:sz="0" w:space="0" w:color="auto"/>
        <w:bottom w:val="none" w:sz="0" w:space="0" w:color="auto"/>
        <w:right w:val="none" w:sz="0" w:space="0" w:color="auto"/>
      </w:divBdr>
    </w:div>
    <w:div w:id="39631949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28324544">
      <w:bodyDiv w:val="1"/>
      <w:marLeft w:val="0"/>
      <w:marRight w:val="0"/>
      <w:marTop w:val="0"/>
      <w:marBottom w:val="0"/>
      <w:divBdr>
        <w:top w:val="none" w:sz="0" w:space="0" w:color="auto"/>
        <w:left w:val="none" w:sz="0" w:space="0" w:color="auto"/>
        <w:bottom w:val="none" w:sz="0" w:space="0" w:color="auto"/>
        <w:right w:val="none" w:sz="0" w:space="0" w:color="auto"/>
      </w:divBdr>
      <w:divsChild>
        <w:div w:id="610936414">
          <w:marLeft w:val="0"/>
          <w:marRight w:val="0"/>
          <w:marTop w:val="0"/>
          <w:marBottom w:val="0"/>
          <w:divBdr>
            <w:top w:val="none" w:sz="0" w:space="0" w:color="auto"/>
            <w:left w:val="none" w:sz="0" w:space="0" w:color="auto"/>
            <w:bottom w:val="none" w:sz="0" w:space="0" w:color="auto"/>
            <w:right w:val="none" w:sz="0" w:space="0" w:color="auto"/>
          </w:divBdr>
          <w:divsChild>
            <w:div w:id="1602756020">
              <w:marLeft w:val="0"/>
              <w:marRight w:val="0"/>
              <w:marTop w:val="0"/>
              <w:marBottom w:val="0"/>
              <w:divBdr>
                <w:top w:val="none" w:sz="0" w:space="0" w:color="auto"/>
                <w:left w:val="none" w:sz="0" w:space="0" w:color="auto"/>
                <w:bottom w:val="none" w:sz="0" w:space="0" w:color="auto"/>
                <w:right w:val="none" w:sz="0" w:space="0" w:color="auto"/>
              </w:divBdr>
              <w:divsChild>
                <w:div w:id="1894463044">
                  <w:marLeft w:val="0"/>
                  <w:marRight w:val="0"/>
                  <w:marTop w:val="0"/>
                  <w:marBottom w:val="0"/>
                  <w:divBdr>
                    <w:top w:val="none" w:sz="0" w:space="0" w:color="auto"/>
                    <w:left w:val="none" w:sz="0" w:space="0" w:color="auto"/>
                    <w:bottom w:val="none" w:sz="0" w:space="0" w:color="auto"/>
                    <w:right w:val="none" w:sz="0" w:space="0" w:color="auto"/>
                  </w:divBdr>
                  <w:divsChild>
                    <w:div w:id="948854480">
                      <w:marLeft w:val="0"/>
                      <w:marRight w:val="0"/>
                      <w:marTop w:val="0"/>
                      <w:marBottom w:val="0"/>
                      <w:divBdr>
                        <w:top w:val="none" w:sz="0" w:space="0" w:color="auto"/>
                        <w:left w:val="none" w:sz="0" w:space="0" w:color="auto"/>
                        <w:bottom w:val="none" w:sz="0" w:space="0" w:color="auto"/>
                        <w:right w:val="none" w:sz="0" w:space="0" w:color="auto"/>
                      </w:divBdr>
                      <w:divsChild>
                        <w:div w:id="1820732270">
                          <w:marLeft w:val="0"/>
                          <w:marRight w:val="0"/>
                          <w:marTop w:val="0"/>
                          <w:marBottom w:val="0"/>
                          <w:divBdr>
                            <w:top w:val="none" w:sz="0" w:space="0" w:color="auto"/>
                            <w:left w:val="none" w:sz="0" w:space="0" w:color="auto"/>
                            <w:bottom w:val="none" w:sz="0" w:space="0" w:color="auto"/>
                            <w:right w:val="none" w:sz="0" w:space="0" w:color="auto"/>
                          </w:divBdr>
                          <w:divsChild>
                            <w:div w:id="203174728">
                              <w:marLeft w:val="0"/>
                              <w:marRight w:val="0"/>
                              <w:marTop w:val="0"/>
                              <w:marBottom w:val="0"/>
                              <w:divBdr>
                                <w:top w:val="none" w:sz="0" w:space="0" w:color="auto"/>
                                <w:left w:val="none" w:sz="0" w:space="0" w:color="auto"/>
                                <w:bottom w:val="none" w:sz="0" w:space="0" w:color="auto"/>
                                <w:right w:val="none" w:sz="0" w:space="0" w:color="auto"/>
                              </w:divBdr>
                              <w:divsChild>
                                <w:div w:id="1876458481">
                                  <w:marLeft w:val="0"/>
                                  <w:marRight w:val="0"/>
                                  <w:marTop w:val="0"/>
                                  <w:marBottom w:val="0"/>
                                  <w:divBdr>
                                    <w:top w:val="none" w:sz="0" w:space="0" w:color="auto"/>
                                    <w:left w:val="none" w:sz="0" w:space="0" w:color="auto"/>
                                    <w:bottom w:val="none" w:sz="0" w:space="0" w:color="auto"/>
                                    <w:right w:val="none" w:sz="0" w:space="0" w:color="auto"/>
                                  </w:divBdr>
                                  <w:divsChild>
                                    <w:div w:id="1650860758">
                                      <w:marLeft w:val="0"/>
                                      <w:marRight w:val="0"/>
                                      <w:marTop w:val="0"/>
                                      <w:marBottom w:val="0"/>
                                      <w:divBdr>
                                        <w:top w:val="none" w:sz="0" w:space="0" w:color="auto"/>
                                        <w:left w:val="none" w:sz="0" w:space="0" w:color="auto"/>
                                        <w:bottom w:val="none" w:sz="0" w:space="0" w:color="auto"/>
                                        <w:right w:val="none" w:sz="0" w:space="0" w:color="auto"/>
                                      </w:divBdr>
                                      <w:divsChild>
                                        <w:div w:id="1798331408">
                                          <w:marLeft w:val="0"/>
                                          <w:marRight w:val="0"/>
                                          <w:marTop w:val="0"/>
                                          <w:marBottom w:val="0"/>
                                          <w:divBdr>
                                            <w:top w:val="none" w:sz="0" w:space="0" w:color="auto"/>
                                            <w:left w:val="none" w:sz="0" w:space="0" w:color="auto"/>
                                            <w:bottom w:val="none" w:sz="0" w:space="0" w:color="auto"/>
                                            <w:right w:val="none" w:sz="0" w:space="0" w:color="auto"/>
                                          </w:divBdr>
                                          <w:divsChild>
                                            <w:div w:id="814875938">
                                              <w:marLeft w:val="0"/>
                                              <w:marRight w:val="0"/>
                                              <w:marTop w:val="0"/>
                                              <w:marBottom w:val="0"/>
                                              <w:divBdr>
                                                <w:top w:val="none" w:sz="0" w:space="0" w:color="auto"/>
                                                <w:left w:val="none" w:sz="0" w:space="0" w:color="auto"/>
                                                <w:bottom w:val="none" w:sz="0" w:space="0" w:color="auto"/>
                                                <w:right w:val="none" w:sz="0" w:space="0" w:color="auto"/>
                                              </w:divBdr>
                                              <w:divsChild>
                                                <w:div w:id="539248519">
                                                  <w:marLeft w:val="0"/>
                                                  <w:marRight w:val="0"/>
                                                  <w:marTop w:val="0"/>
                                                  <w:marBottom w:val="0"/>
                                                  <w:divBdr>
                                                    <w:top w:val="none" w:sz="0" w:space="0" w:color="auto"/>
                                                    <w:left w:val="none" w:sz="0" w:space="0" w:color="auto"/>
                                                    <w:bottom w:val="none" w:sz="0" w:space="0" w:color="auto"/>
                                                    <w:right w:val="none" w:sz="0" w:space="0" w:color="auto"/>
                                                  </w:divBdr>
                                                  <w:divsChild>
                                                    <w:div w:id="1932930528">
                                                      <w:marLeft w:val="0"/>
                                                      <w:marRight w:val="0"/>
                                                      <w:marTop w:val="0"/>
                                                      <w:marBottom w:val="0"/>
                                                      <w:divBdr>
                                                        <w:top w:val="none" w:sz="0" w:space="0" w:color="auto"/>
                                                        <w:left w:val="none" w:sz="0" w:space="0" w:color="auto"/>
                                                        <w:bottom w:val="none" w:sz="0" w:space="0" w:color="auto"/>
                                                        <w:right w:val="none" w:sz="0" w:space="0" w:color="auto"/>
                                                      </w:divBdr>
                                                      <w:divsChild>
                                                        <w:div w:id="2099788347">
                                                          <w:marLeft w:val="0"/>
                                                          <w:marRight w:val="0"/>
                                                          <w:marTop w:val="0"/>
                                                          <w:marBottom w:val="0"/>
                                                          <w:divBdr>
                                                            <w:top w:val="none" w:sz="0" w:space="0" w:color="auto"/>
                                                            <w:left w:val="none" w:sz="0" w:space="0" w:color="auto"/>
                                                            <w:bottom w:val="none" w:sz="0" w:space="0" w:color="auto"/>
                                                            <w:right w:val="none" w:sz="0" w:space="0" w:color="auto"/>
                                                          </w:divBdr>
                                                          <w:divsChild>
                                                            <w:div w:id="1324553054">
                                                              <w:marLeft w:val="0"/>
                                                              <w:marRight w:val="0"/>
                                                              <w:marTop w:val="0"/>
                                                              <w:marBottom w:val="0"/>
                                                              <w:divBdr>
                                                                <w:top w:val="none" w:sz="0" w:space="0" w:color="auto"/>
                                                                <w:left w:val="none" w:sz="0" w:space="0" w:color="auto"/>
                                                                <w:bottom w:val="none" w:sz="0" w:space="0" w:color="auto"/>
                                                                <w:right w:val="none" w:sz="0" w:space="0" w:color="auto"/>
                                                              </w:divBdr>
                                                              <w:divsChild>
                                                                <w:div w:id="1499730984">
                                                                  <w:marLeft w:val="0"/>
                                                                  <w:marRight w:val="0"/>
                                                                  <w:marTop w:val="0"/>
                                                                  <w:marBottom w:val="0"/>
                                                                  <w:divBdr>
                                                                    <w:top w:val="none" w:sz="0" w:space="0" w:color="auto"/>
                                                                    <w:left w:val="none" w:sz="0" w:space="0" w:color="auto"/>
                                                                    <w:bottom w:val="none" w:sz="0" w:space="0" w:color="auto"/>
                                                                    <w:right w:val="none" w:sz="0" w:space="0" w:color="auto"/>
                                                                  </w:divBdr>
                                                                  <w:divsChild>
                                                                    <w:div w:id="35158430">
                                                                      <w:marLeft w:val="0"/>
                                                                      <w:marRight w:val="0"/>
                                                                      <w:marTop w:val="0"/>
                                                                      <w:marBottom w:val="0"/>
                                                                      <w:divBdr>
                                                                        <w:top w:val="none" w:sz="0" w:space="0" w:color="auto"/>
                                                                        <w:left w:val="none" w:sz="0" w:space="0" w:color="auto"/>
                                                                        <w:bottom w:val="none" w:sz="0" w:space="0" w:color="auto"/>
                                                                        <w:right w:val="none" w:sz="0" w:space="0" w:color="auto"/>
                                                                      </w:divBdr>
                                                                      <w:divsChild>
                                                                        <w:div w:id="1163088655">
                                                                          <w:marLeft w:val="0"/>
                                                                          <w:marRight w:val="0"/>
                                                                          <w:marTop w:val="0"/>
                                                                          <w:marBottom w:val="0"/>
                                                                          <w:divBdr>
                                                                            <w:top w:val="none" w:sz="0" w:space="0" w:color="auto"/>
                                                                            <w:left w:val="none" w:sz="0" w:space="0" w:color="auto"/>
                                                                            <w:bottom w:val="none" w:sz="0" w:space="0" w:color="auto"/>
                                                                            <w:right w:val="none" w:sz="0" w:space="0" w:color="auto"/>
                                                                          </w:divBdr>
                                                                          <w:divsChild>
                                                                            <w:div w:id="1616669131">
                                                                              <w:marLeft w:val="0"/>
                                                                              <w:marRight w:val="0"/>
                                                                              <w:marTop w:val="0"/>
                                                                              <w:marBottom w:val="0"/>
                                                                              <w:divBdr>
                                                                                <w:top w:val="none" w:sz="0" w:space="0" w:color="auto"/>
                                                                                <w:left w:val="none" w:sz="0" w:space="0" w:color="auto"/>
                                                                                <w:bottom w:val="none" w:sz="0" w:space="0" w:color="auto"/>
                                                                                <w:right w:val="none" w:sz="0" w:space="0" w:color="auto"/>
                                                                              </w:divBdr>
                                                                              <w:divsChild>
                                                                                <w:div w:id="453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464547">
                                                      <w:marLeft w:val="0"/>
                                                      <w:marRight w:val="0"/>
                                                      <w:marTop w:val="0"/>
                                                      <w:marBottom w:val="0"/>
                                                      <w:divBdr>
                                                        <w:top w:val="none" w:sz="0" w:space="0" w:color="auto"/>
                                                        <w:left w:val="none" w:sz="0" w:space="0" w:color="auto"/>
                                                        <w:bottom w:val="none" w:sz="0" w:space="0" w:color="auto"/>
                                                        <w:right w:val="none" w:sz="0" w:space="0" w:color="auto"/>
                                                      </w:divBdr>
                                                      <w:divsChild>
                                                        <w:div w:id="189879856">
                                                          <w:marLeft w:val="0"/>
                                                          <w:marRight w:val="0"/>
                                                          <w:marTop w:val="0"/>
                                                          <w:marBottom w:val="0"/>
                                                          <w:divBdr>
                                                            <w:top w:val="none" w:sz="0" w:space="0" w:color="auto"/>
                                                            <w:left w:val="none" w:sz="0" w:space="0" w:color="auto"/>
                                                            <w:bottom w:val="none" w:sz="0" w:space="0" w:color="auto"/>
                                                            <w:right w:val="none" w:sz="0" w:space="0" w:color="auto"/>
                                                          </w:divBdr>
                                                          <w:divsChild>
                                                            <w:div w:id="199093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93426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C89EA1AD-4ED2-40E7-AE56-DA4B275EB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1072</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cp:lastModifiedBy>
  <cp:revision>5</cp:revision>
  <cp:lastPrinted>2020-02-11T19:20:00Z</cp:lastPrinted>
  <dcterms:created xsi:type="dcterms:W3CDTF">2026-09-28T15:35:00Z</dcterms:created>
  <dcterms:modified xsi:type="dcterms:W3CDTF">2026-09-28T16:03:00Z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