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6000D5BD" w:rsidR="004A1148" w:rsidRDefault="00EE336F" w:rsidP="00EE336F">
      <w:pPr>
        <w:tabs>
          <w:tab w:val="left" w:pos="7455"/>
        </w:tabs>
        <w:rPr>
          <w:rFonts w:ascii="Arial" w:hAnsi="Arial" w:cs="Arial"/>
          <w:b/>
          <w:sz w:val="32"/>
          <w:szCs w:val="32"/>
        </w:rPr>
      </w:pPr>
      <w:r>
        <w:rPr>
          <w:rFonts w:ascii="Arial" w:hAnsi="Arial" w:cs="Arial"/>
          <w:b/>
          <w:sz w:val="32"/>
          <w:szCs w:val="32"/>
        </w:rPr>
        <w:tab/>
      </w: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6E73BF30"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697A7F48" w14:textId="1B71EE43" w:rsidR="00593A4B" w:rsidRDefault="00593A4B">
      <w:pPr>
        <w:rPr>
          <w:rFonts w:ascii="Arial" w:hAnsi="Arial" w:cs="Arial"/>
          <w:sz w:val="22"/>
          <w:lang w:val="en-US" w:eastAsia="en-US"/>
        </w:rPr>
      </w:pPr>
      <w:r>
        <w:rPr>
          <w:rFonts w:ascii="Arial" w:hAnsi="Arial" w:cs="Arial"/>
          <w:sz w:val="22"/>
          <w:lang w:val="en-US" w:eastAsia="en-US"/>
        </w:rPr>
        <w:br w:type="page"/>
      </w:r>
    </w:p>
    <w:p w14:paraId="745173AA" w14:textId="55498291" w:rsidR="00B52595" w:rsidRDefault="00B52595" w:rsidP="00593A4B">
      <w:pPr>
        <w:pStyle w:val="StepHead"/>
        <w:numPr>
          <w:ilvl w:val="0"/>
          <w:numId w:val="0"/>
        </w:numPr>
        <w:ind w:left="936" w:hanging="936"/>
        <w:rPr>
          <w:sz w:val="28"/>
          <w:szCs w:val="28"/>
        </w:rPr>
      </w:pPr>
      <w:r>
        <w:rPr>
          <w:sz w:val="28"/>
          <w:szCs w:val="28"/>
        </w:rPr>
        <w:lastRenderedPageBreak/>
        <w:t>Features of IPV6</w:t>
      </w:r>
      <w:bookmarkStart w:id="0" w:name="_GoBack"/>
      <w:bookmarkEnd w:id="0"/>
    </w:p>
    <w:p w14:paraId="0D75CCCD" w14:textId="6E314C85" w:rsidR="00593A4B" w:rsidRPr="00593A4B" w:rsidRDefault="00593A4B" w:rsidP="00593A4B">
      <w:pPr>
        <w:pStyle w:val="StepHead"/>
        <w:numPr>
          <w:ilvl w:val="0"/>
          <w:numId w:val="0"/>
        </w:numPr>
        <w:ind w:left="936" w:hanging="936"/>
        <w:rPr>
          <w:rFonts w:ascii="Times New Roman" w:hAnsi="Times New Roman"/>
          <w:sz w:val="28"/>
          <w:szCs w:val="28"/>
        </w:rPr>
      </w:pPr>
      <w:r w:rsidRPr="00593A4B">
        <w:rPr>
          <w:sz w:val="28"/>
          <w:szCs w:val="28"/>
        </w:rPr>
        <w:t>History</w:t>
      </w:r>
    </w:p>
    <w:p w14:paraId="7B3E80E7" w14:textId="77777777" w:rsidR="00593A4B" w:rsidRPr="00593A4B" w:rsidRDefault="00593A4B" w:rsidP="00593A4B">
      <w:pPr>
        <w:rPr>
          <w:rFonts w:ascii="Arial" w:hAnsi="Arial" w:cs="Arial"/>
          <w:sz w:val="24"/>
          <w:szCs w:val="24"/>
        </w:rPr>
      </w:pPr>
      <w:r w:rsidRPr="00593A4B">
        <w:rPr>
          <w:rFonts w:ascii="Arial" w:hAnsi="Arial" w:cs="Arial"/>
          <w:sz w:val="24"/>
          <w:szCs w:val="24"/>
        </w:rPr>
        <w:t xml:space="preserve">When IPV4 was first developed in the late 1970s and early 80s the explosion of devices and services that would use this addressing scheme were not at the forefront of the developers minds considering the limitations of the systems that were being developed on or were readily available during this period. An addressing scheme of over 4 billion addresses would appear adequate to meet the foreseeable future needs of the users of the service at the time. </w:t>
      </w:r>
    </w:p>
    <w:p w14:paraId="27E4131C" w14:textId="77777777" w:rsidR="00593A4B" w:rsidRPr="00593A4B" w:rsidRDefault="00593A4B" w:rsidP="00593A4B">
      <w:pPr>
        <w:rPr>
          <w:rFonts w:ascii="Arial" w:hAnsi="Arial" w:cs="Arial"/>
          <w:sz w:val="24"/>
          <w:szCs w:val="24"/>
        </w:rPr>
      </w:pPr>
    </w:p>
    <w:p w14:paraId="73BDCFF1" w14:textId="28F41CD4" w:rsidR="00593A4B" w:rsidRPr="00593A4B" w:rsidRDefault="00593A4B" w:rsidP="00593A4B">
      <w:pPr>
        <w:rPr>
          <w:rFonts w:ascii="Arial" w:hAnsi="Arial" w:cs="Arial"/>
          <w:sz w:val="24"/>
          <w:szCs w:val="24"/>
        </w:rPr>
      </w:pPr>
      <w:r w:rsidRPr="00593A4B">
        <w:rPr>
          <w:rFonts w:ascii="Arial" w:hAnsi="Arial" w:cs="Arial"/>
          <w:sz w:val="24"/>
          <w:szCs w:val="24"/>
        </w:rPr>
        <w:t>However during the early 1990s a number of specific events, including the specification for WWW by Tim Berners Lee and Robert Cailliau and release of the first MOSAIC web browser developed by Marc Andreessen</w:t>
      </w:r>
      <w:r w:rsidRPr="00593A4B">
        <w:rPr>
          <w:rFonts w:ascii="Arial" w:hAnsi="Arial" w:cs="Arial"/>
          <w:sz w:val="24"/>
          <w:szCs w:val="24"/>
        </w:rPr>
        <w:fldChar w:fldCharType="begin" w:fldLock="1"/>
      </w:r>
      <w:r w:rsidR="00C34FB1">
        <w:rPr>
          <w:rFonts w:ascii="Arial" w:hAnsi="Arial" w:cs="Arial"/>
          <w:sz w:val="24"/>
          <w:szCs w:val="24"/>
        </w:rPr>
        <w:instrText>ADDIN CSL_CITATION {"citationItems":[{"id":"ITEM-1","itemData":{"ISBN":"0133476502","ISSN":"14783576","abstract":"Connecting Networks Companion Guide is the official supplemental textbook for the Connecting Networks course in the Cisco® Networking Academy® CCNA® 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 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Manual.","author":[{"dropping-particle":"","family":"Cisco","given":"","non-dropping-particle":"","parse-names":false,"suffix":""}],"container-title":"Introduction to Networks Companion Guide","id":"ITEM-1","issued":{"date-parts":[["2014"]]},"page":"576","title":"Connecting Networks Companion Guide","type":"chapter"},"uris":["http://www.mendeley.com/documents/?uuid=25471812-510e-4542-82e9-3d105e8fcf7e"]}],"mendeley":{"formattedCitation":"[1]","plainTextFormattedCitation":"[1]","previouslyFormattedCitation":"(Cisco, 2014)"},"properties":{"noteIndex":0},"schema":"https://github.com/citation-style-language/schema/raw/master/csl-citation.json"}</w:instrText>
      </w:r>
      <w:r w:rsidRPr="00593A4B">
        <w:rPr>
          <w:rFonts w:ascii="Arial" w:hAnsi="Arial" w:cs="Arial"/>
          <w:sz w:val="24"/>
          <w:szCs w:val="24"/>
        </w:rPr>
        <w:fldChar w:fldCharType="separate"/>
      </w:r>
      <w:r w:rsidR="00C34FB1" w:rsidRPr="00C34FB1">
        <w:rPr>
          <w:rFonts w:ascii="Arial" w:hAnsi="Arial" w:cs="Arial"/>
          <w:noProof/>
          <w:sz w:val="24"/>
          <w:szCs w:val="24"/>
        </w:rPr>
        <w:t>[1]</w:t>
      </w:r>
      <w:r w:rsidRPr="00593A4B">
        <w:rPr>
          <w:rFonts w:ascii="Arial" w:hAnsi="Arial" w:cs="Arial"/>
          <w:sz w:val="24"/>
          <w:szCs w:val="24"/>
        </w:rPr>
        <w:fldChar w:fldCharType="end"/>
      </w:r>
      <w:r w:rsidRPr="00593A4B">
        <w:rPr>
          <w:rFonts w:ascii="Arial" w:hAnsi="Arial" w:cs="Arial"/>
          <w:sz w:val="24"/>
          <w:szCs w:val="24"/>
        </w:rPr>
        <w:t>, it became clear that existing addressing scheme afforded by IPV4 was insufficient to meet the growing demands of a global service.</w:t>
      </w:r>
    </w:p>
    <w:p w14:paraId="53DF4849" w14:textId="77777777" w:rsidR="00593A4B" w:rsidRPr="00593A4B" w:rsidRDefault="00593A4B" w:rsidP="00593A4B">
      <w:pPr>
        <w:rPr>
          <w:rFonts w:ascii="Arial" w:hAnsi="Arial" w:cs="Arial"/>
          <w:sz w:val="24"/>
          <w:szCs w:val="24"/>
        </w:rPr>
      </w:pPr>
    </w:p>
    <w:p w14:paraId="66B97381" w14:textId="1B09CBA4" w:rsidR="00593A4B" w:rsidRPr="00593A4B" w:rsidRDefault="00593A4B" w:rsidP="00593A4B">
      <w:pPr>
        <w:rPr>
          <w:rFonts w:ascii="Arial" w:hAnsi="Arial" w:cs="Arial"/>
          <w:sz w:val="24"/>
          <w:szCs w:val="24"/>
        </w:rPr>
      </w:pPr>
      <w:r w:rsidRPr="00593A4B">
        <w:rPr>
          <w:rFonts w:ascii="Arial" w:hAnsi="Arial" w:cs="Arial"/>
          <w:sz w:val="24"/>
          <w:szCs w:val="24"/>
        </w:rPr>
        <w:t>By 1995 the first specification for IPV6 are released (RFC1883)</w:t>
      </w:r>
      <w:r w:rsidRPr="00593A4B">
        <w:rPr>
          <w:rFonts w:ascii="Arial" w:hAnsi="Arial" w:cs="Arial"/>
          <w:sz w:val="24"/>
          <w:szCs w:val="24"/>
        </w:rPr>
        <w:fldChar w:fldCharType="begin" w:fldLock="1"/>
      </w:r>
      <w:r w:rsidR="00C34FB1">
        <w:rPr>
          <w:rFonts w:ascii="Arial" w:hAnsi="Arial" w:cs="Arial"/>
          <w:sz w:val="24"/>
          <w:szCs w:val="24"/>
        </w:rPr>
        <w:instrText>ADDIN CSL_CITATION {"citationItems":[{"id":"ITEM-1","itemData":{"ISBN":"0133476502","ISSN":"14783576","abstract":"Connecting Networks Companion Guide is the official supplemental textbook for the Connecting Networks course in the Cisco® Networking Academy® CCNA® 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 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Manual.","author":[{"dropping-particle":"","family":"Cisco","given":"","non-dropping-particle":"","parse-names":false,"suffix":""}],"container-title":"Introduction to Networks Companion Guide","id":"ITEM-1","issued":{"date-parts":[["2014"]]},"page":"576","title":"Connecting Networks Companion Guide","type":"chapter"},"uris":["http://www.mendeley.com/documents/?uuid=25471812-510e-4542-82e9-3d105e8fcf7e"]}],"mendeley":{"formattedCitation":"[1]","plainTextFormattedCitation":"[1]","previouslyFormattedCitation":"(Cisco, 2014)"},"properties":{"noteIndex":0},"schema":"https://github.com/citation-style-language/schema/raw/master/csl-citation.json"}</w:instrText>
      </w:r>
      <w:r w:rsidRPr="00593A4B">
        <w:rPr>
          <w:rFonts w:ascii="Arial" w:hAnsi="Arial" w:cs="Arial"/>
          <w:sz w:val="24"/>
          <w:szCs w:val="24"/>
        </w:rPr>
        <w:fldChar w:fldCharType="separate"/>
      </w:r>
      <w:r w:rsidR="00C34FB1" w:rsidRPr="00C34FB1">
        <w:rPr>
          <w:rFonts w:ascii="Arial" w:hAnsi="Arial" w:cs="Arial"/>
          <w:noProof/>
          <w:sz w:val="24"/>
          <w:szCs w:val="24"/>
        </w:rPr>
        <w:t>[1]</w:t>
      </w:r>
      <w:r w:rsidRPr="00593A4B">
        <w:rPr>
          <w:rFonts w:ascii="Arial" w:hAnsi="Arial" w:cs="Arial"/>
          <w:sz w:val="24"/>
          <w:szCs w:val="24"/>
        </w:rPr>
        <w:fldChar w:fldCharType="end"/>
      </w:r>
      <w:r w:rsidRPr="00593A4B">
        <w:rPr>
          <w:rFonts w:ascii="Arial" w:hAnsi="Arial" w:cs="Arial"/>
          <w:sz w:val="24"/>
          <w:szCs w:val="24"/>
        </w:rPr>
        <w:t>, although slow to be adopted and whist not all services have transitioned over to IPV6 on June 6th 2012 the backbone of the internet has been accessible by a permanent IPV6 addressing scheme.</w:t>
      </w:r>
      <w:r w:rsidRPr="00593A4B">
        <w:rPr>
          <w:rFonts w:ascii="Arial" w:hAnsi="Arial" w:cs="Arial"/>
          <w:sz w:val="24"/>
          <w:szCs w:val="24"/>
        </w:rPr>
        <w:fldChar w:fldCharType="begin" w:fldLock="1"/>
      </w:r>
      <w:r w:rsidR="00C34FB1">
        <w:rPr>
          <w:rFonts w:ascii="Arial" w:hAnsi="Arial" w:cs="Arial"/>
          <w:sz w:val="24"/>
          <w:szCs w:val="24"/>
        </w:rPr>
        <w:instrText>ADDIN CSL_CITATION {"citationItems":[{"id":"ITEM-1","itemData":{"ISBN":"0133476502","ISSN":"14783576","abstract":"Connecting Networks Companion Guide is the official supplemental textbook for the Connecting Networks course in the Cisco® Networking Academy® CCNA® 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 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Manual.","author":[{"dropping-particle":"","family":"Cisco","given":"","non-dropping-particle":"","parse-names":false,"suffix":""}],"container-title":"Introduction to Networks Companion Guide","id":"ITEM-1","issued":{"date-parts":[["2014"]]},"page":"576","title":"Connecting Networks Companion Guide","type":"chapter"},"uris":["http://www.mendeley.com/documents/?uuid=25471812-510e-4542-82e9-3d105e8fcf7e"]}],"mendeley":{"formattedCitation":"[1]","plainTextFormattedCitation":"[1]","previouslyFormattedCitation":"(Cisco, 2014)"},"properties":{"noteIndex":0},"schema":"https://github.com/citation-style-language/schema/raw/master/csl-citation.json"}</w:instrText>
      </w:r>
      <w:r w:rsidRPr="00593A4B">
        <w:rPr>
          <w:rFonts w:ascii="Arial" w:hAnsi="Arial" w:cs="Arial"/>
          <w:sz w:val="24"/>
          <w:szCs w:val="24"/>
        </w:rPr>
        <w:fldChar w:fldCharType="separate"/>
      </w:r>
      <w:r w:rsidR="00C34FB1" w:rsidRPr="00C34FB1">
        <w:rPr>
          <w:rFonts w:ascii="Arial" w:hAnsi="Arial" w:cs="Arial"/>
          <w:noProof/>
          <w:sz w:val="24"/>
          <w:szCs w:val="24"/>
        </w:rPr>
        <w:t>[1]</w:t>
      </w:r>
      <w:r w:rsidRPr="00593A4B">
        <w:rPr>
          <w:rFonts w:ascii="Arial" w:hAnsi="Arial" w:cs="Arial"/>
          <w:sz w:val="24"/>
          <w:szCs w:val="24"/>
        </w:rPr>
        <w:fldChar w:fldCharType="end"/>
      </w:r>
    </w:p>
    <w:p w14:paraId="7391043C" w14:textId="77777777" w:rsidR="00593A4B" w:rsidRDefault="00593A4B" w:rsidP="00593A4B"/>
    <w:p w14:paraId="1D5C72FA" w14:textId="77777777" w:rsidR="00593A4B" w:rsidRPr="00593A4B" w:rsidRDefault="00593A4B" w:rsidP="00593A4B">
      <w:pPr>
        <w:pStyle w:val="StepHead"/>
        <w:numPr>
          <w:ilvl w:val="0"/>
          <w:numId w:val="0"/>
        </w:numPr>
        <w:rPr>
          <w:rFonts w:cs="Arial"/>
          <w:sz w:val="24"/>
          <w:szCs w:val="24"/>
        </w:rPr>
      </w:pPr>
      <w:r w:rsidRPr="00593A4B">
        <w:rPr>
          <w:rFonts w:cs="Arial"/>
          <w:sz w:val="24"/>
          <w:szCs w:val="24"/>
        </w:rPr>
        <w:t>IPV6 Benefits.</w:t>
      </w:r>
    </w:p>
    <w:p w14:paraId="7EB399FD" w14:textId="77777777" w:rsidR="00593A4B" w:rsidRPr="00593A4B" w:rsidRDefault="00593A4B" w:rsidP="00593A4B">
      <w:pPr>
        <w:rPr>
          <w:rFonts w:ascii="Arial" w:hAnsi="Arial" w:cs="Arial"/>
          <w:sz w:val="24"/>
          <w:szCs w:val="24"/>
        </w:rPr>
      </w:pPr>
      <w:r w:rsidRPr="00593A4B">
        <w:rPr>
          <w:rFonts w:ascii="Arial" w:hAnsi="Arial" w:cs="Arial"/>
          <w:b/>
          <w:bCs/>
          <w:sz w:val="24"/>
          <w:szCs w:val="24"/>
        </w:rPr>
        <w:t>Increased address space</w:t>
      </w:r>
      <w:r w:rsidRPr="00593A4B">
        <w:rPr>
          <w:rFonts w:ascii="Arial" w:hAnsi="Arial" w:cs="Arial"/>
          <w:sz w:val="24"/>
          <w:szCs w:val="24"/>
        </w:rPr>
        <w:t>.</w:t>
      </w:r>
    </w:p>
    <w:p w14:paraId="4B276F74" w14:textId="77777777" w:rsidR="00593A4B" w:rsidRPr="00593A4B" w:rsidRDefault="00593A4B" w:rsidP="00593A4B">
      <w:pPr>
        <w:rPr>
          <w:rFonts w:ascii="Arial" w:hAnsi="Arial" w:cs="Arial"/>
          <w:sz w:val="24"/>
          <w:szCs w:val="24"/>
        </w:rPr>
      </w:pPr>
    </w:p>
    <w:p w14:paraId="42EB8863" w14:textId="4E886BC7" w:rsidR="00593A4B" w:rsidRPr="00593A4B" w:rsidRDefault="00593A4B" w:rsidP="00593A4B">
      <w:pPr>
        <w:rPr>
          <w:rFonts w:ascii="Arial" w:hAnsi="Arial" w:cs="Arial"/>
          <w:sz w:val="24"/>
          <w:szCs w:val="24"/>
        </w:rPr>
      </w:pPr>
      <w:r w:rsidRPr="00593A4B">
        <w:rPr>
          <w:rFonts w:ascii="Arial" w:hAnsi="Arial" w:cs="Arial"/>
          <w:sz w:val="24"/>
          <w:szCs w:val="24"/>
        </w:rPr>
        <w:t xml:space="preserve">Moving from a 32 bit addressing scheme to a 128 bit hexadecimal addressing scheme has dramatically increased the available addresses. Where we are currently in a position to effectively run out of publicly available IPV4 address the new scheme can provide 340 undecillion  or 340,282,366,920,938,463,463,374,607,431,768,211,456 IP addresses, approximately 32 IP address for every  square inch on the surface of the earth. Or 1 address per millimetre square on the surface of the earth. However, it is a </w:t>
      </w:r>
      <w:r w:rsidR="00C34FB1" w:rsidRPr="00593A4B">
        <w:rPr>
          <w:rFonts w:ascii="Arial" w:hAnsi="Arial" w:cs="Arial"/>
          <w:sz w:val="24"/>
          <w:szCs w:val="24"/>
        </w:rPr>
        <w:t>mistaken belief</w:t>
      </w:r>
      <w:r w:rsidRPr="00593A4B">
        <w:rPr>
          <w:rFonts w:ascii="Arial" w:hAnsi="Arial" w:cs="Arial"/>
          <w:sz w:val="24"/>
          <w:szCs w:val="24"/>
        </w:rPr>
        <w:t xml:space="preserve"> to assume that IPV6 is just IPV4 with a lager address space as a number of additional changes were made to the specification that in theory can improve the overall efficiency of the protocol.</w:t>
      </w:r>
    </w:p>
    <w:p w14:paraId="60DC103C" w14:textId="77777777" w:rsidR="00593A4B" w:rsidRPr="00593A4B" w:rsidRDefault="00593A4B" w:rsidP="00593A4B">
      <w:pPr>
        <w:pStyle w:val="NormalWeb"/>
        <w:spacing w:before="0" w:after="0"/>
        <w:rPr>
          <w:rFonts w:ascii="Arial" w:hAnsi="Arial" w:cs="Arial"/>
          <w:szCs w:val="24"/>
        </w:rPr>
      </w:pPr>
    </w:p>
    <w:p w14:paraId="7567B891" w14:textId="4E3A9B9B" w:rsidR="00593A4B" w:rsidRPr="00593A4B" w:rsidRDefault="00593A4B" w:rsidP="00593A4B">
      <w:pPr>
        <w:pStyle w:val="NormalWeb"/>
        <w:spacing w:before="0" w:after="0"/>
        <w:rPr>
          <w:rFonts w:ascii="Arial" w:hAnsi="Arial" w:cs="Arial"/>
          <w:szCs w:val="24"/>
        </w:rPr>
      </w:pPr>
      <w:r w:rsidRPr="00593A4B">
        <w:rPr>
          <w:rFonts w:ascii="Arial" w:hAnsi="Arial" w:cs="Arial"/>
          <w:b/>
          <w:bCs/>
          <w:szCs w:val="24"/>
        </w:rPr>
        <w:t>Improved packet handling</w:t>
      </w:r>
      <w:r>
        <w:rPr>
          <w:rFonts w:ascii="Arial" w:hAnsi="Arial" w:cs="Arial"/>
          <w:szCs w:val="24"/>
        </w:rPr>
        <w:t>:</w:t>
      </w:r>
    </w:p>
    <w:p w14:paraId="27208CA9" w14:textId="77777777" w:rsidR="00593A4B" w:rsidRPr="00593A4B" w:rsidRDefault="00593A4B" w:rsidP="00593A4B">
      <w:pPr>
        <w:pStyle w:val="NormalWeb"/>
        <w:spacing w:before="0" w:after="0"/>
        <w:rPr>
          <w:rFonts w:ascii="Arial" w:hAnsi="Arial" w:cs="Arial"/>
          <w:szCs w:val="24"/>
        </w:rPr>
      </w:pPr>
    </w:p>
    <w:p w14:paraId="26C0FE25" w14:textId="77777777" w:rsidR="00593A4B" w:rsidRPr="00593A4B" w:rsidRDefault="00593A4B" w:rsidP="00593A4B">
      <w:pPr>
        <w:rPr>
          <w:rFonts w:ascii="Arial" w:hAnsi="Arial" w:cs="Arial"/>
          <w:sz w:val="24"/>
          <w:szCs w:val="24"/>
        </w:rPr>
      </w:pPr>
      <w:r w:rsidRPr="00593A4B">
        <w:rPr>
          <w:rFonts w:ascii="Arial" w:hAnsi="Arial" w:cs="Arial"/>
          <w:sz w:val="24"/>
          <w:szCs w:val="24"/>
        </w:rPr>
        <w:t xml:space="preserve">There has been a significant reduction in the number of fields used within the packet header on the IPV6 scheme reducing the fields to 8 from 16 as used in IPv4. This can improve the overall packet handling of the intermediate routers. </w:t>
      </w:r>
    </w:p>
    <w:p w14:paraId="54E2A79C" w14:textId="71F5D742" w:rsidR="00593A4B" w:rsidRDefault="00593A4B" w:rsidP="00593A4B">
      <w:pPr>
        <w:rPr>
          <w:rFonts w:ascii="Arial" w:hAnsi="Arial" w:cs="Arial"/>
          <w:sz w:val="24"/>
          <w:szCs w:val="24"/>
        </w:rPr>
      </w:pPr>
      <w:r w:rsidRPr="00593A4B">
        <w:rPr>
          <w:rFonts w:ascii="Arial" w:hAnsi="Arial" w:cs="Arial"/>
          <w:sz w:val="24"/>
          <w:szCs w:val="24"/>
        </w:rPr>
        <w:t>The IPV6 frames within a packet include the following :-</w:t>
      </w:r>
    </w:p>
    <w:p w14:paraId="7F4FE639" w14:textId="77777777" w:rsidR="00593A4B" w:rsidRPr="00593A4B" w:rsidRDefault="00593A4B" w:rsidP="00593A4B">
      <w:pPr>
        <w:rPr>
          <w:rFonts w:ascii="Arial" w:hAnsi="Arial" w:cs="Arial"/>
          <w:sz w:val="24"/>
          <w:szCs w:val="24"/>
        </w:rPr>
      </w:pPr>
    </w:p>
    <w:p w14:paraId="02EC0D93" w14:textId="76B2902A" w:rsidR="00593A4B" w:rsidRDefault="00593A4B" w:rsidP="00593A4B">
      <w:pPr>
        <w:rPr>
          <w:rFonts w:ascii="Arial" w:hAnsi="Arial" w:cs="Arial"/>
          <w:sz w:val="24"/>
          <w:szCs w:val="24"/>
        </w:rPr>
      </w:pPr>
      <w:r w:rsidRPr="00593A4B">
        <w:rPr>
          <w:rFonts w:ascii="Arial" w:hAnsi="Arial" w:cs="Arial"/>
          <w:b/>
          <w:bCs/>
          <w:sz w:val="24"/>
          <w:szCs w:val="24"/>
        </w:rPr>
        <w:t>Version</w:t>
      </w:r>
      <w:r w:rsidRPr="00593A4B">
        <w:rPr>
          <w:rFonts w:ascii="Arial" w:hAnsi="Arial" w:cs="Arial"/>
          <w:sz w:val="24"/>
          <w:szCs w:val="24"/>
        </w:rPr>
        <w:t xml:space="preserve">: </w:t>
      </w:r>
    </w:p>
    <w:p w14:paraId="1644E12B" w14:textId="7CA5E26B" w:rsidR="00593A4B" w:rsidRPr="00593A4B" w:rsidRDefault="00593A4B" w:rsidP="00593A4B">
      <w:pPr>
        <w:rPr>
          <w:rFonts w:ascii="Arial" w:hAnsi="Arial" w:cs="Arial"/>
          <w:sz w:val="24"/>
          <w:szCs w:val="24"/>
        </w:rPr>
      </w:pPr>
      <w:r w:rsidRPr="00593A4B">
        <w:rPr>
          <w:rFonts w:ascii="Arial" w:hAnsi="Arial" w:cs="Arial"/>
          <w:sz w:val="24"/>
          <w:szCs w:val="24"/>
        </w:rPr>
        <w:t>This 4 bit field is  always set to 0110 which is binary for 6. Its used to identify the packet as an IPV6 packet.</w:t>
      </w:r>
    </w:p>
    <w:p w14:paraId="6B7EEBC3" w14:textId="77777777" w:rsidR="00593A4B" w:rsidRPr="00593A4B" w:rsidRDefault="00593A4B" w:rsidP="00593A4B">
      <w:pPr>
        <w:rPr>
          <w:rFonts w:ascii="Arial" w:hAnsi="Arial" w:cs="Arial"/>
          <w:sz w:val="24"/>
          <w:szCs w:val="24"/>
        </w:rPr>
      </w:pPr>
    </w:p>
    <w:p w14:paraId="605D672C" w14:textId="3B518821" w:rsidR="00593A4B" w:rsidRDefault="00593A4B" w:rsidP="00593A4B">
      <w:pPr>
        <w:rPr>
          <w:rFonts w:ascii="Arial" w:hAnsi="Arial" w:cs="Arial"/>
          <w:sz w:val="24"/>
          <w:szCs w:val="24"/>
        </w:rPr>
      </w:pPr>
      <w:r w:rsidRPr="00593A4B">
        <w:rPr>
          <w:rFonts w:ascii="Arial" w:hAnsi="Arial" w:cs="Arial"/>
          <w:b/>
          <w:bCs/>
          <w:sz w:val="24"/>
          <w:szCs w:val="24"/>
        </w:rPr>
        <w:t>Traffic Class</w:t>
      </w:r>
      <w:r w:rsidRPr="00593A4B">
        <w:rPr>
          <w:rFonts w:ascii="Arial" w:hAnsi="Arial" w:cs="Arial"/>
          <w:sz w:val="24"/>
          <w:szCs w:val="24"/>
        </w:rPr>
        <w:t>:</w:t>
      </w:r>
    </w:p>
    <w:p w14:paraId="7F277A11" w14:textId="7273F708" w:rsidR="00593A4B" w:rsidRPr="00593A4B" w:rsidRDefault="00593A4B" w:rsidP="00593A4B">
      <w:pPr>
        <w:rPr>
          <w:rFonts w:ascii="Arial" w:hAnsi="Arial" w:cs="Arial"/>
          <w:sz w:val="24"/>
          <w:szCs w:val="24"/>
        </w:rPr>
      </w:pPr>
      <w:r>
        <w:rPr>
          <w:rFonts w:ascii="Arial" w:hAnsi="Arial" w:cs="Arial"/>
          <w:sz w:val="24"/>
          <w:szCs w:val="24"/>
        </w:rPr>
        <w:t>T</w:t>
      </w:r>
      <w:r w:rsidRPr="00593A4B">
        <w:rPr>
          <w:rFonts w:ascii="Arial" w:hAnsi="Arial" w:cs="Arial"/>
          <w:sz w:val="24"/>
          <w:szCs w:val="24"/>
        </w:rPr>
        <w:t xml:space="preserve">his 8-bit field is split between the first 6 and last 2 bits, with the first 6 most significant bits holding Differential Services Code Point used to classify packets. For example when applying quality of service requirements to packets when low latency services require a priority such as voice over IP or steaming media. Whilst traffic not so dependant on high </w:t>
      </w:r>
      <w:r w:rsidRPr="00593A4B">
        <w:rPr>
          <w:rFonts w:ascii="Arial" w:hAnsi="Arial" w:cs="Arial"/>
          <w:sz w:val="24"/>
          <w:szCs w:val="24"/>
        </w:rPr>
        <w:lastRenderedPageBreak/>
        <w:t>priority traffic management, or its lower delivery performance isn’t as critical such as file transfer or web browsing, can use a reasonable efforts service.</w:t>
      </w:r>
    </w:p>
    <w:p w14:paraId="2882E37A" w14:textId="77777777" w:rsidR="00593A4B" w:rsidRPr="00593A4B" w:rsidRDefault="00593A4B" w:rsidP="00593A4B">
      <w:pPr>
        <w:rPr>
          <w:rFonts w:ascii="Arial" w:hAnsi="Arial" w:cs="Arial"/>
          <w:sz w:val="24"/>
          <w:szCs w:val="24"/>
        </w:rPr>
      </w:pPr>
      <w:r w:rsidRPr="00593A4B">
        <w:rPr>
          <w:rFonts w:ascii="Arial" w:hAnsi="Arial" w:cs="Arial"/>
          <w:sz w:val="24"/>
          <w:szCs w:val="24"/>
        </w:rPr>
        <w:t>The last two bits within this frame are used for Explicit Congestion Notification used for traffic congestion control. Unlike with IPV, when traffic is congested packets are dropped . When ECN has been negotiated between devices congestion within the network can be identified and transmission on data can be reduced without the need to drop packets</w:t>
      </w:r>
    </w:p>
    <w:p w14:paraId="405D7831" w14:textId="77777777" w:rsidR="00593A4B" w:rsidRPr="00593A4B" w:rsidRDefault="00593A4B" w:rsidP="00593A4B">
      <w:pPr>
        <w:rPr>
          <w:rFonts w:ascii="Arial" w:hAnsi="Arial" w:cs="Arial"/>
          <w:sz w:val="24"/>
          <w:szCs w:val="24"/>
        </w:rPr>
      </w:pPr>
    </w:p>
    <w:p w14:paraId="268486E5" w14:textId="41E030FB" w:rsidR="00593A4B" w:rsidRDefault="00593A4B" w:rsidP="00593A4B">
      <w:pPr>
        <w:rPr>
          <w:rFonts w:ascii="Arial" w:hAnsi="Arial" w:cs="Arial"/>
          <w:sz w:val="24"/>
          <w:szCs w:val="24"/>
        </w:rPr>
      </w:pPr>
      <w:r w:rsidRPr="00593A4B">
        <w:rPr>
          <w:rFonts w:ascii="Arial" w:hAnsi="Arial" w:cs="Arial"/>
          <w:b/>
          <w:bCs/>
          <w:sz w:val="24"/>
          <w:szCs w:val="24"/>
        </w:rPr>
        <w:t>Flow Label</w:t>
      </w:r>
      <w:r w:rsidRPr="00593A4B">
        <w:rPr>
          <w:rFonts w:ascii="Arial" w:hAnsi="Arial" w:cs="Arial"/>
          <w:sz w:val="24"/>
          <w:szCs w:val="24"/>
        </w:rPr>
        <w:t>:</w:t>
      </w:r>
    </w:p>
    <w:p w14:paraId="5CD8C478" w14:textId="4537BE35" w:rsidR="00593A4B" w:rsidRDefault="00593A4B" w:rsidP="00593A4B">
      <w:pPr>
        <w:rPr>
          <w:rFonts w:ascii="Arial" w:hAnsi="Arial" w:cs="Arial"/>
          <w:sz w:val="24"/>
          <w:szCs w:val="24"/>
        </w:rPr>
      </w:pPr>
      <w:r w:rsidRPr="00593A4B">
        <w:rPr>
          <w:rFonts w:ascii="Arial" w:hAnsi="Arial" w:cs="Arial"/>
          <w:sz w:val="24"/>
          <w:szCs w:val="24"/>
        </w:rPr>
        <w:t>This is 20 bit header introduced into IPV6 can be used to inform router and switches to not disrupt the path of the packets to prevent the packets from being reordered.</w:t>
      </w:r>
    </w:p>
    <w:p w14:paraId="32C8E038" w14:textId="77777777" w:rsidR="00593A4B" w:rsidRPr="00593A4B" w:rsidRDefault="00593A4B" w:rsidP="00593A4B">
      <w:pPr>
        <w:rPr>
          <w:rFonts w:ascii="Arial" w:hAnsi="Arial" w:cs="Arial"/>
          <w:sz w:val="24"/>
          <w:szCs w:val="24"/>
        </w:rPr>
      </w:pPr>
    </w:p>
    <w:p w14:paraId="4868C74C" w14:textId="77777777" w:rsidR="00593A4B" w:rsidRDefault="00593A4B" w:rsidP="00593A4B">
      <w:pPr>
        <w:rPr>
          <w:rFonts w:ascii="Arial" w:hAnsi="Arial" w:cs="Arial"/>
          <w:sz w:val="24"/>
          <w:szCs w:val="24"/>
        </w:rPr>
      </w:pPr>
      <w:r w:rsidRPr="00593A4B">
        <w:rPr>
          <w:rFonts w:ascii="Arial" w:hAnsi="Arial" w:cs="Arial"/>
          <w:b/>
          <w:bCs/>
          <w:sz w:val="24"/>
          <w:szCs w:val="24"/>
        </w:rPr>
        <w:t>Payload length</w:t>
      </w:r>
      <w:r w:rsidRPr="00593A4B">
        <w:rPr>
          <w:rFonts w:ascii="Arial" w:hAnsi="Arial" w:cs="Arial"/>
          <w:sz w:val="24"/>
          <w:szCs w:val="24"/>
        </w:rPr>
        <w:t>:</w:t>
      </w:r>
    </w:p>
    <w:p w14:paraId="02F6132D" w14:textId="65D8F2C1" w:rsidR="00593A4B" w:rsidRDefault="00593A4B" w:rsidP="00593A4B">
      <w:pPr>
        <w:rPr>
          <w:rFonts w:ascii="Arial" w:hAnsi="Arial" w:cs="Arial"/>
          <w:sz w:val="24"/>
          <w:szCs w:val="24"/>
        </w:rPr>
      </w:pPr>
      <w:r w:rsidRPr="00593A4B">
        <w:rPr>
          <w:rFonts w:ascii="Arial" w:hAnsi="Arial" w:cs="Arial"/>
          <w:sz w:val="24"/>
          <w:szCs w:val="24"/>
        </w:rPr>
        <w:t>This 16 bit field  provide the router or host with the details of the total  length of the payload being delivered following this frame, including any optional extension headers included within the packet.</w:t>
      </w:r>
    </w:p>
    <w:p w14:paraId="62B609AC" w14:textId="77777777" w:rsidR="00593A4B" w:rsidRPr="00593A4B" w:rsidRDefault="00593A4B" w:rsidP="00593A4B">
      <w:pPr>
        <w:ind w:firstLine="720"/>
        <w:rPr>
          <w:rFonts w:ascii="Arial" w:hAnsi="Arial" w:cs="Arial"/>
          <w:sz w:val="24"/>
          <w:szCs w:val="24"/>
        </w:rPr>
      </w:pPr>
    </w:p>
    <w:p w14:paraId="5CE6B1F3" w14:textId="77777777" w:rsidR="00593A4B" w:rsidRDefault="00593A4B" w:rsidP="00593A4B">
      <w:pPr>
        <w:rPr>
          <w:rFonts w:ascii="Arial" w:hAnsi="Arial" w:cs="Arial"/>
          <w:sz w:val="24"/>
          <w:szCs w:val="24"/>
        </w:rPr>
      </w:pPr>
      <w:r w:rsidRPr="00593A4B">
        <w:rPr>
          <w:rFonts w:ascii="Arial" w:hAnsi="Arial" w:cs="Arial"/>
          <w:b/>
          <w:bCs/>
          <w:sz w:val="24"/>
          <w:szCs w:val="24"/>
        </w:rPr>
        <w:t>Next Header</w:t>
      </w:r>
      <w:r w:rsidRPr="00593A4B">
        <w:rPr>
          <w:rFonts w:ascii="Arial" w:hAnsi="Arial" w:cs="Arial"/>
          <w:sz w:val="24"/>
          <w:szCs w:val="24"/>
        </w:rPr>
        <w:t xml:space="preserve">: </w:t>
      </w:r>
    </w:p>
    <w:p w14:paraId="354A682F" w14:textId="48D7A096" w:rsidR="00593A4B" w:rsidRDefault="00593A4B" w:rsidP="00593A4B">
      <w:pPr>
        <w:rPr>
          <w:rFonts w:ascii="Arial" w:hAnsi="Arial" w:cs="Arial"/>
          <w:sz w:val="24"/>
          <w:szCs w:val="24"/>
        </w:rPr>
      </w:pPr>
      <w:r w:rsidRPr="00593A4B">
        <w:rPr>
          <w:rFonts w:ascii="Arial" w:hAnsi="Arial" w:cs="Arial"/>
          <w:sz w:val="24"/>
          <w:szCs w:val="24"/>
        </w:rPr>
        <w:t>An 8 bit frame similar in concept to the IPV4 protocol frame. This frame indicates what type of data is contained in the packets data and where in the transport layer transport layer the packet should be placed for example TCP UDP.  However this field can also be employed if there are option extensions that need to be added into the IPV6 packet.  Page 297-298</w:t>
      </w:r>
      <w:r w:rsidRPr="00593A4B">
        <w:rPr>
          <w:rFonts w:ascii="Arial" w:hAnsi="Arial" w:cs="Arial"/>
          <w:sz w:val="24"/>
          <w:szCs w:val="24"/>
        </w:rPr>
        <w:fldChar w:fldCharType="begin" w:fldLock="1"/>
      </w:r>
      <w:r w:rsidR="00C34FB1">
        <w:rPr>
          <w:rFonts w:ascii="Arial" w:hAnsi="Arial" w:cs="Arial"/>
          <w:sz w:val="24"/>
          <w:szCs w:val="24"/>
        </w:rPr>
        <w:instrText>ADDIN CSL_CITATION {"citationItems":[{"id":"ITEM-1","itemData":{"ISBN":"0133476502","ISSN":"14783576","abstract":"Connecting Networks Companion Guide is the official supplemental textbook for the Connecting Networks course in the Cisco® Networking Academy® CCNA® 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 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Manual.","author":[{"dropping-particle":"","family":"Cisco","given":"","non-dropping-particle":"","parse-names":false,"suffix":""}],"container-title":"Introduction to Networks Companion Guide","id":"ITEM-1","issued":{"date-parts":[["2014"]]},"page":"576","title":"Connecting Networks Companion Guide","type":"chapter"},"uris":["http://www.mendeley.com/documents/?uuid=25471812-510e-4542-82e9-3d105e8fcf7e"]}],"mendeley":{"formattedCitation":"[1]","plainTextFormattedCitation":"[1]","previouslyFormattedCitation":"(Cisco, 2014)"},"properties":{"noteIndex":0},"schema":"https://github.com/citation-style-language/schema/raw/master/csl-citation.json"}</w:instrText>
      </w:r>
      <w:r w:rsidRPr="00593A4B">
        <w:rPr>
          <w:rFonts w:ascii="Arial" w:hAnsi="Arial" w:cs="Arial"/>
          <w:sz w:val="24"/>
          <w:szCs w:val="24"/>
        </w:rPr>
        <w:fldChar w:fldCharType="separate"/>
      </w:r>
      <w:r w:rsidR="00C34FB1" w:rsidRPr="00C34FB1">
        <w:rPr>
          <w:rFonts w:ascii="Arial" w:hAnsi="Arial" w:cs="Arial"/>
          <w:noProof/>
          <w:sz w:val="24"/>
          <w:szCs w:val="24"/>
        </w:rPr>
        <w:t>[1]</w:t>
      </w:r>
      <w:r w:rsidRPr="00593A4B">
        <w:rPr>
          <w:rFonts w:ascii="Arial" w:hAnsi="Arial" w:cs="Arial"/>
          <w:sz w:val="24"/>
          <w:szCs w:val="24"/>
        </w:rPr>
        <w:fldChar w:fldCharType="end"/>
      </w:r>
    </w:p>
    <w:p w14:paraId="524DBD7C" w14:textId="77777777" w:rsidR="00593A4B" w:rsidRPr="00593A4B" w:rsidRDefault="00593A4B" w:rsidP="00593A4B">
      <w:pPr>
        <w:ind w:firstLine="720"/>
        <w:rPr>
          <w:rFonts w:ascii="Arial" w:hAnsi="Arial" w:cs="Arial"/>
          <w:sz w:val="24"/>
          <w:szCs w:val="24"/>
        </w:rPr>
      </w:pPr>
    </w:p>
    <w:p w14:paraId="1DFC70A4" w14:textId="77777777" w:rsidR="00593A4B" w:rsidRDefault="00593A4B" w:rsidP="00593A4B">
      <w:pPr>
        <w:rPr>
          <w:rFonts w:ascii="Arial" w:hAnsi="Arial" w:cs="Arial"/>
          <w:sz w:val="24"/>
          <w:szCs w:val="24"/>
        </w:rPr>
      </w:pPr>
      <w:r w:rsidRPr="00593A4B">
        <w:rPr>
          <w:rFonts w:ascii="Arial" w:hAnsi="Arial" w:cs="Arial"/>
          <w:b/>
          <w:bCs/>
          <w:sz w:val="24"/>
          <w:szCs w:val="24"/>
        </w:rPr>
        <w:t>Hop Limit</w:t>
      </w:r>
      <w:r w:rsidRPr="00593A4B">
        <w:rPr>
          <w:rFonts w:ascii="Arial" w:hAnsi="Arial" w:cs="Arial"/>
          <w:sz w:val="24"/>
          <w:szCs w:val="24"/>
        </w:rPr>
        <w:t xml:space="preserve">: </w:t>
      </w:r>
    </w:p>
    <w:p w14:paraId="028BADD2" w14:textId="1945989D" w:rsidR="00593A4B" w:rsidRDefault="00593A4B" w:rsidP="00593A4B">
      <w:pPr>
        <w:rPr>
          <w:rFonts w:ascii="Arial" w:hAnsi="Arial" w:cs="Arial"/>
          <w:sz w:val="24"/>
          <w:szCs w:val="24"/>
        </w:rPr>
      </w:pPr>
      <w:r w:rsidRPr="00593A4B">
        <w:rPr>
          <w:rFonts w:ascii="Arial" w:hAnsi="Arial" w:cs="Arial"/>
          <w:sz w:val="24"/>
          <w:szCs w:val="24"/>
        </w:rPr>
        <w:t xml:space="preserve">Another 8 bit frame similar in concept to the IPV4 Time To Live field. This value decreases by 1 each time it is forwarded by a router. If the packet has reached 0 before it reaches its destination host then the packet is discarded however the destination host should process the packet if the Hop Limit is 0 </w:t>
      </w:r>
    </w:p>
    <w:p w14:paraId="28071F8D" w14:textId="77777777" w:rsidR="00593A4B" w:rsidRPr="00593A4B" w:rsidRDefault="00593A4B" w:rsidP="00593A4B">
      <w:pPr>
        <w:ind w:firstLine="720"/>
        <w:rPr>
          <w:rFonts w:ascii="Arial" w:hAnsi="Arial" w:cs="Arial"/>
          <w:sz w:val="24"/>
          <w:szCs w:val="24"/>
        </w:rPr>
      </w:pPr>
    </w:p>
    <w:p w14:paraId="4397F421" w14:textId="77777777" w:rsidR="00593A4B" w:rsidRPr="00593A4B" w:rsidRDefault="00593A4B" w:rsidP="00593A4B">
      <w:pPr>
        <w:rPr>
          <w:rFonts w:ascii="Arial" w:hAnsi="Arial" w:cs="Arial"/>
          <w:sz w:val="24"/>
          <w:szCs w:val="24"/>
        </w:rPr>
      </w:pPr>
      <w:r w:rsidRPr="00593A4B">
        <w:rPr>
          <w:rFonts w:ascii="Arial" w:hAnsi="Arial" w:cs="Arial"/>
          <w:b/>
          <w:bCs/>
          <w:sz w:val="24"/>
          <w:szCs w:val="24"/>
        </w:rPr>
        <w:t>Source Address</w:t>
      </w:r>
      <w:r w:rsidRPr="00593A4B">
        <w:rPr>
          <w:rFonts w:ascii="Arial" w:hAnsi="Arial" w:cs="Arial"/>
          <w:sz w:val="24"/>
          <w:szCs w:val="24"/>
        </w:rPr>
        <w:t>:</w:t>
      </w:r>
    </w:p>
    <w:p w14:paraId="377D8197" w14:textId="787A007E" w:rsidR="00593A4B" w:rsidRDefault="00593A4B" w:rsidP="00593A4B">
      <w:pPr>
        <w:rPr>
          <w:rFonts w:ascii="Arial" w:hAnsi="Arial" w:cs="Arial"/>
          <w:sz w:val="24"/>
          <w:szCs w:val="24"/>
        </w:rPr>
      </w:pPr>
      <w:r w:rsidRPr="00593A4B">
        <w:rPr>
          <w:rFonts w:ascii="Arial" w:hAnsi="Arial" w:cs="Arial"/>
          <w:sz w:val="24"/>
          <w:szCs w:val="24"/>
        </w:rPr>
        <w:t>The 128 bit address of the device sending the packet.</w:t>
      </w:r>
    </w:p>
    <w:p w14:paraId="4E91A69C" w14:textId="77777777" w:rsidR="00593A4B" w:rsidRPr="00593A4B" w:rsidRDefault="00593A4B" w:rsidP="00593A4B">
      <w:pPr>
        <w:rPr>
          <w:rFonts w:ascii="Arial" w:hAnsi="Arial" w:cs="Arial"/>
          <w:sz w:val="24"/>
          <w:szCs w:val="24"/>
        </w:rPr>
      </w:pPr>
    </w:p>
    <w:p w14:paraId="64E1420A" w14:textId="77777777" w:rsidR="00593A4B" w:rsidRPr="00593A4B" w:rsidRDefault="00593A4B" w:rsidP="00593A4B">
      <w:pPr>
        <w:rPr>
          <w:rFonts w:ascii="Arial" w:hAnsi="Arial" w:cs="Arial"/>
          <w:sz w:val="24"/>
          <w:szCs w:val="24"/>
        </w:rPr>
      </w:pPr>
      <w:r w:rsidRPr="00593A4B">
        <w:rPr>
          <w:rFonts w:ascii="Arial" w:hAnsi="Arial" w:cs="Arial"/>
          <w:b/>
          <w:bCs/>
          <w:sz w:val="24"/>
          <w:szCs w:val="24"/>
        </w:rPr>
        <w:t>Destination Address</w:t>
      </w:r>
      <w:r w:rsidRPr="00593A4B">
        <w:rPr>
          <w:rFonts w:ascii="Arial" w:hAnsi="Arial" w:cs="Arial"/>
          <w:sz w:val="24"/>
          <w:szCs w:val="24"/>
        </w:rPr>
        <w:t>:</w:t>
      </w:r>
    </w:p>
    <w:p w14:paraId="30AF5EB6" w14:textId="7B71D576" w:rsidR="00593A4B" w:rsidRPr="00593A4B" w:rsidRDefault="00593A4B" w:rsidP="00593A4B">
      <w:pPr>
        <w:rPr>
          <w:rFonts w:ascii="Arial" w:hAnsi="Arial" w:cs="Arial"/>
          <w:sz w:val="24"/>
          <w:szCs w:val="24"/>
        </w:rPr>
      </w:pPr>
      <w:r w:rsidRPr="00593A4B">
        <w:rPr>
          <w:rFonts w:ascii="Arial" w:hAnsi="Arial" w:cs="Arial"/>
          <w:sz w:val="24"/>
          <w:szCs w:val="24"/>
        </w:rPr>
        <w:t>The 128 bit address of the destination node.</w:t>
      </w:r>
    </w:p>
    <w:p w14:paraId="52D1473B" w14:textId="77777777" w:rsidR="00593A4B" w:rsidRPr="00593A4B" w:rsidRDefault="00593A4B" w:rsidP="00593A4B">
      <w:pPr>
        <w:rPr>
          <w:rFonts w:ascii="Arial" w:hAnsi="Arial" w:cs="Arial"/>
          <w:sz w:val="24"/>
          <w:szCs w:val="24"/>
        </w:rPr>
      </w:pPr>
      <w:r w:rsidRPr="00593A4B">
        <w:rPr>
          <w:rFonts w:ascii="Arial" w:hAnsi="Arial" w:cs="Arial"/>
          <w:sz w:val="24"/>
          <w:szCs w:val="24"/>
        </w:rPr>
        <w:t xml:space="preserve">Overall performance is also increased as the link layer, transport and  application layer are presumed to provided sufficient error detection so the requirement for a checksum header in the packet has also been removed in this specification. </w:t>
      </w:r>
    </w:p>
    <w:p w14:paraId="41A6777A" w14:textId="77777777" w:rsidR="00593A4B" w:rsidRPr="00593A4B" w:rsidRDefault="00593A4B" w:rsidP="00593A4B">
      <w:pPr>
        <w:rPr>
          <w:rFonts w:ascii="Arial" w:hAnsi="Arial" w:cs="Arial"/>
          <w:sz w:val="24"/>
          <w:szCs w:val="24"/>
        </w:rPr>
      </w:pPr>
    </w:p>
    <w:p w14:paraId="2A426361" w14:textId="44B18E35" w:rsidR="00593A4B" w:rsidRDefault="00593A4B" w:rsidP="00593A4B">
      <w:pPr>
        <w:rPr>
          <w:rFonts w:ascii="Arial" w:hAnsi="Arial" w:cs="Arial"/>
          <w:b/>
          <w:bCs/>
          <w:sz w:val="24"/>
          <w:szCs w:val="24"/>
        </w:rPr>
      </w:pPr>
      <w:r w:rsidRPr="00593A4B">
        <w:rPr>
          <w:rFonts w:ascii="Arial" w:hAnsi="Arial" w:cs="Arial"/>
          <w:b/>
          <w:bCs/>
          <w:sz w:val="24"/>
          <w:szCs w:val="24"/>
        </w:rPr>
        <w:t>Reducing the requirement for Network Address Translation.</w:t>
      </w:r>
    </w:p>
    <w:p w14:paraId="6AA9516E" w14:textId="77777777" w:rsidR="00593A4B" w:rsidRPr="00593A4B" w:rsidRDefault="00593A4B" w:rsidP="00593A4B">
      <w:pPr>
        <w:ind w:firstLine="720"/>
        <w:rPr>
          <w:rFonts w:ascii="Arial" w:hAnsi="Arial" w:cs="Arial"/>
          <w:b/>
          <w:bCs/>
          <w:sz w:val="24"/>
          <w:szCs w:val="24"/>
        </w:rPr>
      </w:pPr>
    </w:p>
    <w:p w14:paraId="4FEB54D5" w14:textId="77777777" w:rsidR="00593A4B" w:rsidRPr="00593A4B" w:rsidRDefault="00593A4B" w:rsidP="00593A4B">
      <w:pPr>
        <w:rPr>
          <w:rFonts w:ascii="Arial" w:hAnsi="Arial" w:cs="Arial"/>
          <w:sz w:val="24"/>
          <w:szCs w:val="24"/>
        </w:rPr>
      </w:pPr>
      <w:r w:rsidRPr="00593A4B">
        <w:rPr>
          <w:rFonts w:ascii="Arial" w:hAnsi="Arial" w:cs="Arial"/>
          <w:sz w:val="24"/>
          <w:szCs w:val="24"/>
        </w:rPr>
        <w:t xml:space="preserve">Utilizing such a large number of addresses its now possible that every IPV6 enabled device can utilize a public facing address. This can overcome some of the issues in end to end connectivity applications can experience when a NAT is used to permit end users access to a public facing service. </w:t>
      </w:r>
    </w:p>
    <w:p w14:paraId="12224BFE" w14:textId="77777777" w:rsidR="00593A4B" w:rsidRPr="00593A4B" w:rsidRDefault="00593A4B" w:rsidP="00593A4B">
      <w:pPr>
        <w:rPr>
          <w:rFonts w:ascii="Arial" w:hAnsi="Arial" w:cs="Arial"/>
          <w:sz w:val="24"/>
          <w:szCs w:val="24"/>
        </w:rPr>
      </w:pPr>
      <w:r w:rsidRPr="00593A4B">
        <w:rPr>
          <w:rFonts w:ascii="Arial" w:hAnsi="Arial" w:cs="Arial"/>
          <w:sz w:val="24"/>
          <w:szCs w:val="24"/>
        </w:rPr>
        <w:t>Network Address Translation services permit end devices to utilize a private address scheme within an organization without consuming a publicly visible IP address. Although it wrong to assume that as the device is ‘hidden’ from the internet just because it is using a NAT’ed address.</w:t>
      </w:r>
    </w:p>
    <w:p w14:paraId="48CA163B" w14:textId="77777777" w:rsidR="00593A4B" w:rsidRPr="00593A4B" w:rsidRDefault="00593A4B" w:rsidP="00593A4B">
      <w:pPr>
        <w:rPr>
          <w:rFonts w:ascii="Arial" w:hAnsi="Arial" w:cs="Arial"/>
          <w:sz w:val="24"/>
          <w:szCs w:val="24"/>
        </w:rPr>
      </w:pPr>
      <w:r w:rsidRPr="00593A4B">
        <w:rPr>
          <w:rFonts w:ascii="Arial" w:hAnsi="Arial" w:cs="Arial"/>
          <w:sz w:val="24"/>
          <w:szCs w:val="24"/>
        </w:rPr>
        <w:t xml:space="preserve">With the reduced requirement for NAT technology as more devices have publicly available addresses the end user devices that would have traditionally been NAT’ed behind a proxy, load balance or firewall will need to ensure that robust security measures are in place to protect the device from malicious traffic. </w:t>
      </w:r>
      <w:r w:rsidRPr="00593A4B">
        <w:rPr>
          <w:rFonts w:ascii="Arial" w:hAnsi="Arial" w:cs="Arial"/>
          <w:sz w:val="24"/>
          <w:szCs w:val="24"/>
        </w:rPr>
        <w:tab/>
      </w:r>
    </w:p>
    <w:p w14:paraId="0BC3AFCD" w14:textId="77777777" w:rsidR="00593A4B" w:rsidRPr="00593A4B" w:rsidRDefault="00593A4B" w:rsidP="00593A4B">
      <w:pPr>
        <w:rPr>
          <w:rFonts w:ascii="Arial" w:hAnsi="Arial" w:cs="Arial"/>
          <w:sz w:val="24"/>
          <w:szCs w:val="24"/>
        </w:rPr>
      </w:pPr>
      <w:r w:rsidRPr="00593A4B">
        <w:rPr>
          <w:rFonts w:ascii="Arial" w:hAnsi="Arial" w:cs="Arial"/>
          <w:sz w:val="24"/>
          <w:szCs w:val="24"/>
        </w:rPr>
        <w:tab/>
      </w:r>
      <w:r w:rsidRPr="00593A4B">
        <w:rPr>
          <w:rFonts w:ascii="Arial" w:hAnsi="Arial" w:cs="Arial"/>
          <w:sz w:val="24"/>
          <w:szCs w:val="24"/>
        </w:rPr>
        <w:tab/>
      </w:r>
      <w:r w:rsidRPr="00593A4B">
        <w:rPr>
          <w:rFonts w:ascii="Arial" w:hAnsi="Arial" w:cs="Arial"/>
          <w:sz w:val="24"/>
          <w:szCs w:val="24"/>
        </w:rPr>
        <w:tab/>
        <w:t xml:space="preserve"> </w:t>
      </w:r>
    </w:p>
    <w:p w14:paraId="6D3C0132" w14:textId="77777777" w:rsidR="00593A4B" w:rsidRPr="00593A4B" w:rsidRDefault="00593A4B" w:rsidP="00593A4B">
      <w:pPr>
        <w:pStyle w:val="NormalWeb"/>
        <w:spacing w:before="0" w:after="0"/>
        <w:rPr>
          <w:rFonts w:ascii="Arial" w:hAnsi="Arial" w:cs="Arial"/>
          <w:szCs w:val="24"/>
        </w:rPr>
      </w:pPr>
      <w:r w:rsidRPr="00593A4B">
        <w:rPr>
          <w:rFonts w:ascii="Arial" w:hAnsi="Arial" w:cs="Arial"/>
          <w:szCs w:val="24"/>
        </w:rPr>
        <w:lastRenderedPageBreak/>
        <w:t> </w:t>
      </w:r>
    </w:p>
    <w:p w14:paraId="4AF9F341" w14:textId="77777777" w:rsidR="00593A4B" w:rsidRDefault="00593A4B" w:rsidP="00593A4B">
      <w:pPr>
        <w:ind w:firstLine="720"/>
        <w:rPr>
          <w:rFonts w:ascii="Arial" w:hAnsi="Arial" w:cs="Arial"/>
          <w:b/>
          <w:bCs/>
          <w:sz w:val="24"/>
          <w:szCs w:val="24"/>
        </w:rPr>
      </w:pPr>
    </w:p>
    <w:p w14:paraId="3206BE12" w14:textId="2B85BE18" w:rsidR="00593A4B" w:rsidRPr="00593A4B" w:rsidRDefault="00593A4B" w:rsidP="00593A4B">
      <w:pPr>
        <w:rPr>
          <w:rFonts w:ascii="Arial" w:hAnsi="Arial" w:cs="Arial"/>
          <w:sz w:val="24"/>
          <w:szCs w:val="24"/>
        </w:rPr>
      </w:pPr>
      <w:r w:rsidRPr="00593A4B">
        <w:rPr>
          <w:rFonts w:ascii="Arial" w:hAnsi="Arial" w:cs="Arial"/>
          <w:b/>
          <w:bCs/>
          <w:sz w:val="24"/>
          <w:szCs w:val="24"/>
        </w:rPr>
        <w:t>Security benefits</w:t>
      </w:r>
      <w:r w:rsidRPr="00593A4B">
        <w:rPr>
          <w:rFonts w:ascii="Arial" w:hAnsi="Arial" w:cs="Arial"/>
          <w:sz w:val="24"/>
          <w:szCs w:val="24"/>
        </w:rPr>
        <w:t>.</w:t>
      </w:r>
    </w:p>
    <w:p w14:paraId="61AB787F" w14:textId="77777777" w:rsidR="00593A4B" w:rsidRDefault="00593A4B" w:rsidP="00593A4B">
      <w:pPr>
        <w:rPr>
          <w:rFonts w:ascii="Arial" w:hAnsi="Arial" w:cs="Arial"/>
          <w:sz w:val="24"/>
          <w:szCs w:val="24"/>
        </w:rPr>
      </w:pPr>
    </w:p>
    <w:p w14:paraId="47B68963" w14:textId="5916FB17" w:rsidR="00593A4B" w:rsidRPr="00593A4B" w:rsidRDefault="00593A4B" w:rsidP="00593A4B">
      <w:pPr>
        <w:rPr>
          <w:rFonts w:ascii="Arial" w:hAnsi="Arial" w:cs="Arial"/>
          <w:sz w:val="24"/>
          <w:szCs w:val="24"/>
        </w:rPr>
      </w:pPr>
      <w:r w:rsidRPr="00593A4B">
        <w:rPr>
          <w:rFonts w:ascii="Arial" w:hAnsi="Arial" w:cs="Arial"/>
          <w:sz w:val="24"/>
          <w:szCs w:val="24"/>
        </w:rPr>
        <w:t xml:space="preserve">After reviewing a number of sources this author could only highlight two features of IPV6 that were significant. Firstly the massively increased address range would make random scanning of a network less productive. However, there are other attack vectors into a network or device that could be used to expose the network or subnet used by a device. </w:t>
      </w:r>
    </w:p>
    <w:p w14:paraId="40C1746E" w14:textId="77777777" w:rsidR="00593A4B" w:rsidRPr="00593A4B" w:rsidRDefault="00593A4B" w:rsidP="00593A4B">
      <w:pPr>
        <w:rPr>
          <w:rFonts w:ascii="Arial" w:hAnsi="Arial" w:cs="Arial"/>
          <w:sz w:val="24"/>
          <w:szCs w:val="24"/>
        </w:rPr>
      </w:pPr>
      <w:r w:rsidRPr="00593A4B">
        <w:rPr>
          <w:rFonts w:ascii="Arial" w:hAnsi="Arial" w:cs="Arial"/>
          <w:sz w:val="24"/>
          <w:szCs w:val="24"/>
        </w:rPr>
        <w:t>Secondly the mandatory requirement to support IPSec although its noted that it is only supported, it is not to mandatory to enable the service.  IPSec was only an option in the original IPV4 implementation. This aids in the use of IPSec within IPV6 to provide a secure network transport between devices as opposed to tunnelling IPSec traffic through a VPN concentrator and reduces the need for a NAT service. Counter to this, traffic that need to be inspected that flows between devices on a trusted network would be difficult to manage due to the layer of encryption.</w:t>
      </w:r>
    </w:p>
    <w:p w14:paraId="589C7527" w14:textId="77777777" w:rsidR="00593A4B" w:rsidRPr="00593A4B" w:rsidRDefault="00593A4B" w:rsidP="00593A4B">
      <w:pPr>
        <w:rPr>
          <w:rFonts w:ascii="Arial" w:hAnsi="Arial" w:cs="Arial"/>
          <w:sz w:val="24"/>
          <w:szCs w:val="24"/>
        </w:rPr>
      </w:pPr>
    </w:p>
    <w:p w14:paraId="0547472B" w14:textId="010C6369" w:rsidR="00593A4B" w:rsidRPr="00593A4B" w:rsidRDefault="00593A4B" w:rsidP="00593A4B">
      <w:pPr>
        <w:rPr>
          <w:rFonts w:ascii="Arial" w:hAnsi="Arial" w:cs="Arial"/>
          <w:sz w:val="24"/>
          <w:szCs w:val="24"/>
        </w:rPr>
      </w:pPr>
      <w:r w:rsidRPr="00593A4B">
        <w:rPr>
          <w:rFonts w:ascii="Arial" w:hAnsi="Arial" w:cs="Arial"/>
          <w:sz w:val="24"/>
          <w:szCs w:val="24"/>
        </w:rPr>
        <w:t>It is therefore a misconception to state that IPV6 is more less secure than IPV4. Considering that systems can run a dual stack of the services. i.e. both IPV6 and IPV4 as services transition between these protocols systems are vulnerable to exploits in both IP stacks. Any configuration or security assessment should include evaluating the service on both protocols as a solution configured correctly under one stack may still be exposed via the other supported stack</w:t>
      </w:r>
    </w:p>
    <w:p w14:paraId="7CCE328A" w14:textId="77777777" w:rsidR="00593A4B" w:rsidRDefault="00593A4B" w:rsidP="00C319EB">
      <w:pPr>
        <w:rPr>
          <w:rFonts w:ascii="Arial" w:hAnsi="Arial" w:cs="Arial"/>
          <w:sz w:val="22"/>
          <w:lang w:val="en-US" w:eastAsia="en-US"/>
        </w:rPr>
      </w:pPr>
    </w:p>
    <w:p w14:paraId="3ABC8CD6" w14:textId="74B64920" w:rsidR="00593A4B" w:rsidRDefault="00593A4B">
      <w:pPr>
        <w:rPr>
          <w:rFonts w:ascii="Arial" w:hAnsi="Arial" w:cs="Arial"/>
          <w:sz w:val="22"/>
          <w:lang w:val="en-US" w:eastAsia="en-US"/>
        </w:rPr>
      </w:pPr>
      <w:r>
        <w:rPr>
          <w:rFonts w:ascii="Arial" w:hAnsi="Arial" w:cs="Arial"/>
          <w:sz w:val="22"/>
          <w:lang w:val="en-US" w:eastAsia="en-US"/>
        </w:rPr>
        <w:br w:type="page"/>
      </w:r>
    </w:p>
    <w:p w14:paraId="1020527B" w14:textId="77777777" w:rsidR="00593A4B" w:rsidRPr="00C319EB" w:rsidRDefault="00593A4B"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4393FD8F" w:rsidR="004A7D3D" w:rsidRPr="004A1148" w:rsidRDefault="00EE336F" w:rsidP="00F5276B">
            <w:pPr>
              <w:pStyle w:val="TableText"/>
              <w:ind w:left="284"/>
              <w:rPr>
                <w:rFonts w:cs="Arial"/>
              </w:rPr>
            </w:pPr>
            <w:r>
              <w:rPr>
                <w:rFonts w:cs="Arial"/>
              </w:rPr>
              <w:t>B</w:t>
            </w:r>
          </w:p>
        </w:tc>
        <w:tc>
          <w:tcPr>
            <w:tcW w:w="2561" w:type="dxa"/>
            <w:vAlign w:val="bottom"/>
          </w:tcPr>
          <w:p w14:paraId="325D5AA6" w14:textId="106068BC" w:rsidR="004A7D3D" w:rsidRPr="004A1148" w:rsidRDefault="00EE336F" w:rsidP="00F5276B">
            <w:pPr>
              <w:pStyle w:val="TableText"/>
              <w:rPr>
                <w:rFonts w:cs="Arial"/>
              </w:rPr>
            </w:pPr>
            <w:r>
              <w:rPr>
                <w:rFonts w:cs="Arial"/>
              </w:rPr>
              <w:t>172.16.2.0</w:t>
            </w:r>
          </w:p>
        </w:tc>
        <w:tc>
          <w:tcPr>
            <w:tcW w:w="2552" w:type="dxa"/>
          </w:tcPr>
          <w:p w14:paraId="64D79944" w14:textId="0E8D38A9" w:rsidR="004A7D3D" w:rsidRPr="004A1148" w:rsidRDefault="00EE336F" w:rsidP="00F5276B">
            <w:pPr>
              <w:pStyle w:val="TableText"/>
              <w:rPr>
                <w:rFonts w:cs="Arial"/>
              </w:rPr>
            </w:pPr>
            <w:r>
              <w:rPr>
                <w:rFonts w:cs="Arial"/>
              </w:rPr>
              <w:t>255.255.248.0</w:t>
            </w:r>
          </w:p>
        </w:tc>
        <w:tc>
          <w:tcPr>
            <w:tcW w:w="2724" w:type="dxa"/>
            <w:vAlign w:val="bottom"/>
          </w:tcPr>
          <w:p w14:paraId="426B55D1" w14:textId="0F3BF8DC" w:rsidR="004A7D3D" w:rsidRPr="004A1148" w:rsidRDefault="00CF7D7B" w:rsidP="00F5276B">
            <w:pPr>
              <w:pStyle w:val="TableText"/>
              <w:rPr>
                <w:rFonts w:cs="Arial"/>
              </w:rPr>
            </w:pPr>
            <w:r>
              <w:rPr>
                <w:rFonts w:cs="Arial"/>
              </w:rPr>
              <w:t>172.16.2.1</w:t>
            </w:r>
          </w:p>
        </w:tc>
        <w:tc>
          <w:tcPr>
            <w:tcW w:w="2922" w:type="dxa"/>
            <w:vAlign w:val="bottom"/>
          </w:tcPr>
          <w:p w14:paraId="2AC7FFA7" w14:textId="0528F497" w:rsidR="004A7D3D" w:rsidRPr="004A1148" w:rsidRDefault="00CF7D7B" w:rsidP="00F5276B">
            <w:pPr>
              <w:pStyle w:val="TableText"/>
              <w:rPr>
                <w:rFonts w:cs="Arial"/>
              </w:rPr>
            </w:pPr>
            <w:r>
              <w:rPr>
                <w:rFonts w:cs="Arial"/>
              </w:rPr>
              <w:t>172.16.9.254</w:t>
            </w:r>
          </w:p>
        </w:tc>
        <w:tc>
          <w:tcPr>
            <w:tcW w:w="2905" w:type="dxa"/>
            <w:vAlign w:val="bottom"/>
          </w:tcPr>
          <w:p w14:paraId="55A78382" w14:textId="43E06A03" w:rsidR="004A7D3D" w:rsidRPr="004A1148" w:rsidRDefault="00EE336F"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1D8E3497" w:rsidR="004A7D3D" w:rsidRPr="004A1148" w:rsidRDefault="00EE336F" w:rsidP="00F5276B">
            <w:pPr>
              <w:pStyle w:val="TableText"/>
              <w:ind w:left="284"/>
              <w:rPr>
                <w:rFonts w:cs="Arial"/>
              </w:rPr>
            </w:pPr>
            <w:r>
              <w:rPr>
                <w:rFonts w:cs="Arial"/>
              </w:rPr>
              <w:t>D</w:t>
            </w:r>
          </w:p>
        </w:tc>
        <w:tc>
          <w:tcPr>
            <w:tcW w:w="2561" w:type="dxa"/>
            <w:vAlign w:val="bottom"/>
          </w:tcPr>
          <w:p w14:paraId="5D565D23" w14:textId="5381108C" w:rsidR="004A7D3D" w:rsidRPr="004A1148" w:rsidRDefault="00EE336F" w:rsidP="00F5276B">
            <w:pPr>
              <w:pStyle w:val="TableText"/>
              <w:rPr>
                <w:rFonts w:cs="Arial"/>
              </w:rPr>
            </w:pPr>
            <w:r>
              <w:rPr>
                <w:rFonts w:cs="Arial"/>
              </w:rPr>
              <w:t>172.16.10.0</w:t>
            </w:r>
          </w:p>
        </w:tc>
        <w:tc>
          <w:tcPr>
            <w:tcW w:w="2552" w:type="dxa"/>
          </w:tcPr>
          <w:p w14:paraId="5E77A652" w14:textId="53D91949" w:rsidR="004A7D3D" w:rsidRPr="004A1148" w:rsidRDefault="00CF7D7B" w:rsidP="00F5276B">
            <w:pPr>
              <w:pStyle w:val="TableText"/>
              <w:rPr>
                <w:rFonts w:cs="Arial"/>
              </w:rPr>
            </w:pPr>
            <w:r>
              <w:rPr>
                <w:rFonts w:cs="Arial"/>
              </w:rPr>
              <w:t>255.255.254.0</w:t>
            </w:r>
          </w:p>
        </w:tc>
        <w:tc>
          <w:tcPr>
            <w:tcW w:w="2724" w:type="dxa"/>
            <w:vAlign w:val="bottom"/>
          </w:tcPr>
          <w:p w14:paraId="553FF9D4" w14:textId="2F071ADE" w:rsidR="004A7D3D" w:rsidRPr="004A1148" w:rsidRDefault="00CF7D7B" w:rsidP="00F5276B">
            <w:pPr>
              <w:pStyle w:val="TableText"/>
              <w:rPr>
                <w:rFonts w:cs="Arial"/>
              </w:rPr>
            </w:pPr>
            <w:r>
              <w:rPr>
                <w:rFonts w:cs="Arial"/>
              </w:rPr>
              <w:t>172.16.10.1</w:t>
            </w:r>
          </w:p>
        </w:tc>
        <w:tc>
          <w:tcPr>
            <w:tcW w:w="2922" w:type="dxa"/>
            <w:vAlign w:val="bottom"/>
          </w:tcPr>
          <w:p w14:paraId="12602C5C" w14:textId="6780ED6A" w:rsidR="004A7D3D" w:rsidRPr="004A1148" w:rsidRDefault="00CF7D7B" w:rsidP="00F5276B">
            <w:pPr>
              <w:pStyle w:val="TableText"/>
              <w:rPr>
                <w:rFonts w:cs="Arial"/>
              </w:rPr>
            </w:pPr>
            <w:r>
              <w:rPr>
                <w:rFonts w:cs="Arial"/>
              </w:rPr>
              <w:t>172.16.11.254</w:t>
            </w:r>
          </w:p>
        </w:tc>
        <w:tc>
          <w:tcPr>
            <w:tcW w:w="2905" w:type="dxa"/>
            <w:vAlign w:val="bottom"/>
          </w:tcPr>
          <w:p w14:paraId="0E927FF2" w14:textId="0D807100" w:rsidR="004A7D3D" w:rsidRPr="004A1148" w:rsidRDefault="00EE336F"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73844D02" w:rsidR="004A7D3D" w:rsidRPr="004A1148" w:rsidRDefault="00EE336F" w:rsidP="00F5276B">
            <w:pPr>
              <w:pStyle w:val="TableText"/>
              <w:ind w:left="284"/>
              <w:rPr>
                <w:rFonts w:cs="Arial"/>
              </w:rPr>
            </w:pPr>
            <w:r>
              <w:rPr>
                <w:rFonts w:cs="Arial"/>
              </w:rPr>
              <w:t>F</w:t>
            </w:r>
          </w:p>
        </w:tc>
        <w:tc>
          <w:tcPr>
            <w:tcW w:w="2561" w:type="dxa"/>
            <w:vAlign w:val="bottom"/>
          </w:tcPr>
          <w:p w14:paraId="3114BB27" w14:textId="7D249D79" w:rsidR="004A7D3D" w:rsidRPr="004A1148" w:rsidRDefault="00EE336F" w:rsidP="00F5276B">
            <w:pPr>
              <w:pStyle w:val="TableText"/>
              <w:rPr>
                <w:rFonts w:cs="Arial"/>
              </w:rPr>
            </w:pPr>
            <w:r>
              <w:rPr>
                <w:rFonts w:cs="Arial"/>
              </w:rPr>
              <w:t>172.16.12.0</w:t>
            </w:r>
          </w:p>
        </w:tc>
        <w:tc>
          <w:tcPr>
            <w:tcW w:w="2552" w:type="dxa"/>
          </w:tcPr>
          <w:p w14:paraId="0D8FD5C7" w14:textId="56FDEC15" w:rsidR="004A7D3D" w:rsidRPr="004A1148" w:rsidRDefault="00CF7D7B" w:rsidP="00F5276B">
            <w:pPr>
              <w:pStyle w:val="TableText"/>
              <w:rPr>
                <w:rFonts w:cs="Arial"/>
              </w:rPr>
            </w:pPr>
            <w:r>
              <w:rPr>
                <w:rFonts w:cs="Arial"/>
              </w:rPr>
              <w:t>255.255.255.0</w:t>
            </w:r>
          </w:p>
        </w:tc>
        <w:tc>
          <w:tcPr>
            <w:tcW w:w="2724" w:type="dxa"/>
            <w:vAlign w:val="bottom"/>
          </w:tcPr>
          <w:p w14:paraId="035CA129" w14:textId="3ACA945E" w:rsidR="004A7D3D" w:rsidRPr="004A1148" w:rsidRDefault="00CF7D7B" w:rsidP="00F5276B">
            <w:pPr>
              <w:pStyle w:val="TableText"/>
              <w:rPr>
                <w:rFonts w:cs="Arial"/>
              </w:rPr>
            </w:pPr>
            <w:r>
              <w:rPr>
                <w:rFonts w:cs="Arial"/>
              </w:rPr>
              <w:t>172.16.12.1</w:t>
            </w:r>
          </w:p>
        </w:tc>
        <w:tc>
          <w:tcPr>
            <w:tcW w:w="2922" w:type="dxa"/>
            <w:vAlign w:val="bottom"/>
          </w:tcPr>
          <w:p w14:paraId="139F5B25" w14:textId="2458E007" w:rsidR="004A7D3D" w:rsidRPr="004A1148" w:rsidRDefault="00CF7D7B" w:rsidP="00F5276B">
            <w:pPr>
              <w:pStyle w:val="TableText"/>
              <w:rPr>
                <w:rFonts w:cs="Arial"/>
              </w:rPr>
            </w:pPr>
            <w:r>
              <w:rPr>
                <w:rFonts w:cs="Arial"/>
              </w:rPr>
              <w:t>172.16.12.254</w:t>
            </w:r>
          </w:p>
        </w:tc>
        <w:tc>
          <w:tcPr>
            <w:tcW w:w="2905" w:type="dxa"/>
            <w:vAlign w:val="bottom"/>
          </w:tcPr>
          <w:p w14:paraId="63784539" w14:textId="131CAC89" w:rsidR="004A7D3D" w:rsidRPr="004A1148" w:rsidRDefault="00EE336F"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358B42DC" w:rsidR="004A7D3D" w:rsidRPr="004A1148" w:rsidRDefault="00EE336F" w:rsidP="00F5276B">
            <w:pPr>
              <w:pStyle w:val="TableText"/>
              <w:ind w:left="284"/>
              <w:rPr>
                <w:rFonts w:cs="Arial"/>
              </w:rPr>
            </w:pPr>
            <w:r>
              <w:rPr>
                <w:rFonts w:cs="Arial"/>
              </w:rPr>
              <w:t>E</w:t>
            </w:r>
          </w:p>
        </w:tc>
        <w:tc>
          <w:tcPr>
            <w:tcW w:w="2561" w:type="dxa"/>
            <w:vAlign w:val="bottom"/>
          </w:tcPr>
          <w:p w14:paraId="028301AC" w14:textId="54ADC53C" w:rsidR="004A7D3D" w:rsidRPr="004A1148" w:rsidRDefault="00EE336F" w:rsidP="00F5276B">
            <w:pPr>
              <w:pStyle w:val="TableText"/>
              <w:rPr>
                <w:rFonts w:cs="Arial"/>
              </w:rPr>
            </w:pPr>
            <w:r>
              <w:rPr>
                <w:rFonts w:cs="Arial"/>
              </w:rPr>
              <w:t>172.16.13.0</w:t>
            </w:r>
          </w:p>
        </w:tc>
        <w:tc>
          <w:tcPr>
            <w:tcW w:w="2552" w:type="dxa"/>
          </w:tcPr>
          <w:p w14:paraId="0E107CA2" w14:textId="634A188D" w:rsidR="004A7D3D" w:rsidRPr="004A1148" w:rsidRDefault="00CF7D7B" w:rsidP="00F5276B">
            <w:pPr>
              <w:pStyle w:val="TableText"/>
              <w:rPr>
                <w:rFonts w:cs="Arial"/>
              </w:rPr>
            </w:pPr>
            <w:r>
              <w:rPr>
                <w:rFonts w:cs="Arial"/>
              </w:rPr>
              <w:t>255.255.255.192</w:t>
            </w:r>
          </w:p>
        </w:tc>
        <w:tc>
          <w:tcPr>
            <w:tcW w:w="2724" w:type="dxa"/>
            <w:vAlign w:val="bottom"/>
          </w:tcPr>
          <w:p w14:paraId="76E3E1C0" w14:textId="62E75878" w:rsidR="004A7D3D" w:rsidRPr="004A1148" w:rsidRDefault="00CF7D7B" w:rsidP="00F5276B">
            <w:pPr>
              <w:pStyle w:val="TableText"/>
              <w:rPr>
                <w:rFonts w:cs="Arial"/>
              </w:rPr>
            </w:pPr>
            <w:r>
              <w:rPr>
                <w:rFonts w:cs="Arial"/>
              </w:rPr>
              <w:t>172.16.13.1</w:t>
            </w:r>
          </w:p>
        </w:tc>
        <w:tc>
          <w:tcPr>
            <w:tcW w:w="2922" w:type="dxa"/>
            <w:vAlign w:val="bottom"/>
          </w:tcPr>
          <w:p w14:paraId="1F58716B" w14:textId="2FE44C92" w:rsidR="004A7D3D" w:rsidRPr="004A1148" w:rsidRDefault="00CF7D7B" w:rsidP="00F5276B">
            <w:pPr>
              <w:pStyle w:val="TableText"/>
              <w:rPr>
                <w:rFonts w:cs="Arial"/>
              </w:rPr>
            </w:pPr>
            <w:r>
              <w:rPr>
                <w:rFonts w:cs="Arial"/>
              </w:rPr>
              <w:t>172.16.13.62</w:t>
            </w:r>
          </w:p>
        </w:tc>
        <w:tc>
          <w:tcPr>
            <w:tcW w:w="2905" w:type="dxa"/>
            <w:vAlign w:val="bottom"/>
          </w:tcPr>
          <w:p w14:paraId="1F03CCA5" w14:textId="2E79C52C" w:rsidR="004A7D3D" w:rsidRPr="004A1148" w:rsidRDefault="00EE336F"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3A90B296" w:rsidR="004A7D3D" w:rsidRPr="004A1148" w:rsidRDefault="00EE336F" w:rsidP="00F5276B">
            <w:pPr>
              <w:pStyle w:val="TableText"/>
              <w:ind w:left="284"/>
              <w:rPr>
                <w:rFonts w:cs="Arial"/>
              </w:rPr>
            </w:pPr>
            <w:r>
              <w:rPr>
                <w:rFonts w:cs="Arial"/>
              </w:rPr>
              <w:t>A</w:t>
            </w:r>
          </w:p>
        </w:tc>
        <w:tc>
          <w:tcPr>
            <w:tcW w:w="2561" w:type="dxa"/>
            <w:vAlign w:val="bottom"/>
          </w:tcPr>
          <w:p w14:paraId="18067B56" w14:textId="1AE34487" w:rsidR="004A7D3D" w:rsidRPr="004A1148" w:rsidRDefault="00EE336F" w:rsidP="00F5276B">
            <w:pPr>
              <w:pStyle w:val="TableText"/>
              <w:rPr>
                <w:rFonts w:cs="Arial"/>
              </w:rPr>
            </w:pPr>
            <w:r>
              <w:rPr>
                <w:rFonts w:cs="Arial"/>
              </w:rPr>
              <w:t>172.16.13.64</w:t>
            </w:r>
          </w:p>
        </w:tc>
        <w:tc>
          <w:tcPr>
            <w:tcW w:w="2552" w:type="dxa"/>
          </w:tcPr>
          <w:p w14:paraId="309D051E" w14:textId="3FA7EAB8" w:rsidR="004A7D3D" w:rsidRPr="004A1148" w:rsidRDefault="00CF7D7B" w:rsidP="00F5276B">
            <w:pPr>
              <w:pStyle w:val="TableText"/>
              <w:rPr>
                <w:rFonts w:cs="Arial"/>
              </w:rPr>
            </w:pPr>
            <w:r>
              <w:rPr>
                <w:rFonts w:cs="Arial"/>
              </w:rPr>
              <w:t>255.255.255.224</w:t>
            </w:r>
          </w:p>
        </w:tc>
        <w:tc>
          <w:tcPr>
            <w:tcW w:w="2724" w:type="dxa"/>
            <w:vAlign w:val="bottom"/>
          </w:tcPr>
          <w:p w14:paraId="4BB66377" w14:textId="7C59E1AB" w:rsidR="004A7D3D" w:rsidRPr="004A1148" w:rsidRDefault="00CF7D7B" w:rsidP="00F5276B">
            <w:pPr>
              <w:pStyle w:val="TableText"/>
              <w:rPr>
                <w:rFonts w:cs="Arial"/>
              </w:rPr>
            </w:pPr>
            <w:r>
              <w:rPr>
                <w:rFonts w:cs="Arial"/>
              </w:rPr>
              <w:t>172.16.13.65</w:t>
            </w:r>
          </w:p>
        </w:tc>
        <w:tc>
          <w:tcPr>
            <w:tcW w:w="2922" w:type="dxa"/>
            <w:vAlign w:val="bottom"/>
          </w:tcPr>
          <w:p w14:paraId="2F12A22D" w14:textId="0D915506" w:rsidR="004A7D3D" w:rsidRPr="004A1148" w:rsidRDefault="00CF7D7B" w:rsidP="00F5276B">
            <w:pPr>
              <w:pStyle w:val="TableText"/>
              <w:rPr>
                <w:rFonts w:cs="Arial"/>
              </w:rPr>
            </w:pPr>
            <w:r>
              <w:rPr>
                <w:rFonts w:cs="Arial"/>
              </w:rPr>
              <w:t>172.16.13.94</w:t>
            </w:r>
          </w:p>
        </w:tc>
        <w:tc>
          <w:tcPr>
            <w:tcW w:w="2905" w:type="dxa"/>
            <w:vAlign w:val="bottom"/>
          </w:tcPr>
          <w:p w14:paraId="78E458EF" w14:textId="4D464BA7" w:rsidR="004A7D3D" w:rsidRPr="004A1148" w:rsidRDefault="00EE336F" w:rsidP="00F5276B">
            <w:pPr>
              <w:pStyle w:val="TableText"/>
              <w:ind w:left="284"/>
              <w:rPr>
                <w:rFonts w:cs="Arial"/>
              </w:rPr>
            </w:pPr>
            <w:r>
              <w:rPr>
                <w:rFonts w:cs="Arial"/>
              </w:rPr>
              <w:t>17.16.13.95</w:t>
            </w:r>
          </w:p>
        </w:tc>
      </w:tr>
      <w:tr w:rsidR="004A7D3D" w:rsidRPr="004A1148" w14:paraId="0B4ED2B0" w14:textId="77777777" w:rsidTr="005554AB">
        <w:trPr>
          <w:cantSplit/>
          <w:trHeight w:val="510"/>
          <w:jc w:val="center"/>
        </w:trPr>
        <w:tc>
          <w:tcPr>
            <w:tcW w:w="1412" w:type="dxa"/>
            <w:vAlign w:val="bottom"/>
          </w:tcPr>
          <w:p w14:paraId="609E3F7B" w14:textId="5C1FF4F7" w:rsidR="004A7D3D" w:rsidRPr="004A1148" w:rsidRDefault="00EE336F" w:rsidP="00F5276B">
            <w:pPr>
              <w:pStyle w:val="TableText"/>
              <w:ind w:left="284"/>
              <w:rPr>
                <w:rFonts w:cs="Arial"/>
              </w:rPr>
            </w:pPr>
            <w:r>
              <w:rPr>
                <w:rFonts w:cs="Arial"/>
              </w:rPr>
              <w:t>C</w:t>
            </w:r>
          </w:p>
        </w:tc>
        <w:tc>
          <w:tcPr>
            <w:tcW w:w="2561" w:type="dxa"/>
            <w:vAlign w:val="bottom"/>
          </w:tcPr>
          <w:p w14:paraId="31F64227" w14:textId="6EF85009" w:rsidR="004A7D3D" w:rsidRPr="004A1148" w:rsidRDefault="00EE336F" w:rsidP="00F5276B">
            <w:pPr>
              <w:pStyle w:val="TableText"/>
              <w:rPr>
                <w:rFonts w:cs="Arial"/>
              </w:rPr>
            </w:pPr>
            <w:r>
              <w:rPr>
                <w:rFonts w:cs="Arial"/>
              </w:rPr>
              <w:t>172.16.13.96</w:t>
            </w:r>
          </w:p>
        </w:tc>
        <w:tc>
          <w:tcPr>
            <w:tcW w:w="2552" w:type="dxa"/>
          </w:tcPr>
          <w:p w14:paraId="55665601" w14:textId="260995CE" w:rsidR="004A7D3D" w:rsidRPr="004A1148" w:rsidRDefault="00EE336F" w:rsidP="00F5276B">
            <w:pPr>
              <w:pStyle w:val="TableText"/>
              <w:rPr>
                <w:rFonts w:cs="Arial"/>
              </w:rPr>
            </w:pPr>
            <w:r>
              <w:rPr>
                <w:rFonts w:cs="Arial"/>
              </w:rPr>
              <w:t>255.255.255.248</w:t>
            </w:r>
          </w:p>
        </w:tc>
        <w:tc>
          <w:tcPr>
            <w:tcW w:w="2724" w:type="dxa"/>
            <w:vAlign w:val="bottom"/>
          </w:tcPr>
          <w:p w14:paraId="4F549E4B" w14:textId="0A800E14" w:rsidR="004A7D3D" w:rsidRPr="004A1148" w:rsidRDefault="00CF7D7B" w:rsidP="00F5276B">
            <w:pPr>
              <w:pStyle w:val="TableText"/>
              <w:rPr>
                <w:rFonts w:cs="Arial"/>
              </w:rPr>
            </w:pPr>
            <w:r>
              <w:rPr>
                <w:rFonts w:cs="Arial"/>
              </w:rPr>
              <w:t>172.16.13.97</w:t>
            </w:r>
          </w:p>
        </w:tc>
        <w:tc>
          <w:tcPr>
            <w:tcW w:w="2922" w:type="dxa"/>
            <w:vAlign w:val="bottom"/>
          </w:tcPr>
          <w:p w14:paraId="7C499210" w14:textId="4EC60C7D" w:rsidR="004A7D3D" w:rsidRPr="004A1148" w:rsidRDefault="00CF7D7B" w:rsidP="00F5276B">
            <w:pPr>
              <w:pStyle w:val="TableText"/>
              <w:rPr>
                <w:rFonts w:cs="Arial"/>
              </w:rPr>
            </w:pPr>
            <w:r>
              <w:rPr>
                <w:rFonts w:cs="Arial"/>
              </w:rPr>
              <w:t>172.16.13.102</w:t>
            </w:r>
          </w:p>
        </w:tc>
        <w:tc>
          <w:tcPr>
            <w:tcW w:w="2905" w:type="dxa"/>
            <w:vAlign w:val="bottom"/>
          </w:tcPr>
          <w:p w14:paraId="2D756274" w14:textId="0ABE2251" w:rsidR="004A7D3D" w:rsidRPr="004A1148" w:rsidRDefault="00EE336F" w:rsidP="00F5276B">
            <w:pPr>
              <w:pStyle w:val="TableText"/>
              <w:ind w:left="284"/>
              <w:rPr>
                <w:rFonts w:cs="Arial"/>
              </w:rPr>
            </w:pPr>
            <w:r>
              <w:rPr>
                <w:rFonts w:cs="Arial"/>
              </w:rPr>
              <w:t>17.16.13.103</w:t>
            </w:r>
          </w:p>
        </w:tc>
      </w:tr>
      <w:tr w:rsidR="004A7D3D" w:rsidRPr="004A1148" w14:paraId="27709968" w14:textId="77777777" w:rsidTr="005554AB">
        <w:trPr>
          <w:cantSplit/>
          <w:trHeight w:val="510"/>
          <w:jc w:val="center"/>
        </w:trPr>
        <w:tc>
          <w:tcPr>
            <w:tcW w:w="1412" w:type="dxa"/>
            <w:vAlign w:val="bottom"/>
          </w:tcPr>
          <w:p w14:paraId="20984A5F" w14:textId="13D93ED3" w:rsidR="004A7D3D" w:rsidRPr="004A1148" w:rsidRDefault="00EE336F" w:rsidP="00F5276B">
            <w:pPr>
              <w:pStyle w:val="TableText"/>
              <w:ind w:left="284"/>
              <w:rPr>
                <w:rFonts w:cs="Arial"/>
              </w:rPr>
            </w:pPr>
            <w:r>
              <w:rPr>
                <w:rFonts w:cs="Arial"/>
              </w:rPr>
              <w:t>Serial 1</w:t>
            </w:r>
          </w:p>
        </w:tc>
        <w:tc>
          <w:tcPr>
            <w:tcW w:w="2561" w:type="dxa"/>
            <w:vAlign w:val="bottom"/>
          </w:tcPr>
          <w:p w14:paraId="0D69D9DC" w14:textId="50DFEE21" w:rsidR="004A7D3D" w:rsidRPr="004A1148" w:rsidRDefault="00EE336F" w:rsidP="00F5276B">
            <w:pPr>
              <w:pStyle w:val="TableText"/>
              <w:rPr>
                <w:rFonts w:cs="Arial"/>
              </w:rPr>
            </w:pPr>
            <w:r>
              <w:rPr>
                <w:rFonts w:cs="Arial"/>
              </w:rPr>
              <w:t>172.16.13.104</w:t>
            </w:r>
          </w:p>
        </w:tc>
        <w:tc>
          <w:tcPr>
            <w:tcW w:w="2552" w:type="dxa"/>
          </w:tcPr>
          <w:p w14:paraId="30D77B01" w14:textId="1D4513D9" w:rsidR="004A7D3D" w:rsidRPr="004A1148" w:rsidRDefault="00EE336F" w:rsidP="00F5276B">
            <w:pPr>
              <w:pStyle w:val="TableText"/>
              <w:rPr>
                <w:rFonts w:cs="Arial"/>
              </w:rPr>
            </w:pPr>
            <w:r>
              <w:rPr>
                <w:rFonts w:cs="Arial"/>
              </w:rPr>
              <w:t>255.255.255.252</w:t>
            </w:r>
          </w:p>
        </w:tc>
        <w:tc>
          <w:tcPr>
            <w:tcW w:w="2724" w:type="dxa"/>
            <w:vAlign w:val="bottom"/>
          </w:tcPr>
          <w:p w14:paraId="5596A409" w14:textId="1BCB80DF" w:rsidR="004A7D3D" w:rsidRPr="004A1148" w:rsidRDefault="00CF7D7B" w:rsidP="00F5276B">
            <w:pPr>
              <w:pStyle w:val="TableText"/>
              <w:rPr>
                <w:rFonts w:cs="Arial"/>
              </w:rPr>
            </w:pPr>
            <w:r>
              <w:rPr>
                <w:rFonts w:cs="Arial"/>
              </w:rPr>
              <w:t>172.16.13.105</w:t>
            </w:r>
          </w:p>
        </w:tc>
        <w:tc>
          <w:tcPr>
            <w:tcW w:w="2922" w:type="dxa"/>
            <w:vAlign w:val="bottom"/>
          </w:tcPr>
          <w:p w14:paraId="0F1FE2D6" w14:textId="4225B7F2" w:rsidR="004A7D3D" w:rsidRPr="004A1148" w:rsidRDefault="00CF7D7B" w:rsidP="00F5276B">
            <w:pPr>
              <w:pStyle w:val="TableText"/>
              <w:rPr>
                <w:rFonts w:cs="Arial"/>
              </w:rPr>
            </w:pPr>
            <w:r>
              <w:rPr>
                <w:rFonts w:cs="Arial"/>
              </w:rPr>
              <w:t>172.16.13.106</w:t>
            </w:r>
          </w:p>
        </w:tc>
        <w:tc>
          <w:tcPr>
            <w:tcW w:w="2905" w:type="dxa"/>
            <w:vAlign w:val="bottom"/>
          </w:tcPr>
          <w:p w14:paraId="554DDEFE" w14:textId="4FD85C52" w:rsidR="004A7D3D" w:rsidRPr="004A1148" w:rsidRDefault="00EE336F" w:rsidP="00F5276B">
            <w:pPr>
              <w:pStyle w:val="TableText"/>
              <w:ind w:left="284"/>
              <w:rPr>
                <w:rFonts w:cs="Arial"/>
              </w:rPr>
            </w:pPr>
            <w:r>
              <w:rPr>
                <w:rFonts w:cs="Arial"/>
              </w:rPr>
              <w:t>172.168.13.107</w:t>
            </w:r>
          </w:p>
        </w:tc>
      </w:tr>
      <w:tr w:rsidR="004A7D3D" w:rsidRPr="004A1148" w14:paraId="0B6C4A12" w14:textId="77777777" w:rsidTr="005554AB">
        <w:trPr>
          <w:cantSplit/>
          <w:trHeight w:val="510"/>
          <w:jc w:val="center"/>
        </w:trPr>
        <w:tc>
          <w:tcPr>
            <w:tcW w:w="1412" w:type="dxa"/>
            <w:vAlign w:val="bottom"/>
          </w:tcPr>
          <w:p w14:paraId="61BCB553" w14:textId="1005CB4E" w:rsidR="004A7D3D" w:rsidRPr="004A1148" w:rsidRDefault="00EE336F" w:rsidP="00F5276B">
            <w:pPr>
              <w:pStyle w:val="TableText"/>
              <w:ind w:left="284"/>
              <w:rPr>
                <w:rFonts w:cs="Arial"/>
              </w:rPr>
            </w:pPr>
            <w:r>
              <w:rPr>
                <w:rFonts w:cs="Arial"/>
              </w:rPr>
              <w:t>Serial 2</w:t>
            </w:r>
          </w:p>
        </w:tc>
        <w:tc>
          <w:tcPr>
            <w:tcW w:w="2561" w:type="dxa"/>
            <w:vAlign w:val="bottom"/>
          </w:tcPr>
          <w:p w14:paraId="1F850D77" w14:textId="58332927" w:rsidR="004A7D3D" w:rsidRPr="004A1148" w:rsidRDefault="00EE336F" w:rsidP="00F5276B">
            <w:pPr>
              <w:pStyle w:val="TableText"/>
              <w:rPr>
                <w:rFonts w:cs="Arial"/>
              </w:rPr>
            </w:pPr>
            <w:r>
              <w:rPr>
                <w:rFonts w:cs="Arial"/>
              </w:rPr>
              <w:t>172.16.13.108</w:t>
            </w:r>
          </w:p>
        </w:tc>
        <w:tc>
          <w:tcPr>
            <w:tcW w:w="2552" w:type="dxa"/>
          </w:tcPr>
          <w:p w14:paraId="4E625FAD" w14:textId="2E691C78" w:rsidR="004A7D3D" w:rsidRPr="004A1148" w:rsidRDefault="00EE336F" w:rsidP="00F5276B">
            <w:pPr>
              <w:pStyle w:val="TableText"/>
              <w:rPr>
                <w:rFonts w:cs="Arial"/>
              </w:rPr>
            </w:pPr>
            <w:r>
              <w:rPr>
                <w:rFonts w:cs="Arial"/>
              </w:rPr>
              <w:t>255.255.255.252</w:t>
            </w:r>
          </w:p>
        </w:tc>
        <w:tc>
          <w:tcPr>
            <w:tcW w:w="2724" w:type="dxa"/>
            <w:vAlign w:val="bottom"/>
          </w:tcPr>
          <w:p w14:paraId="2EFD5AB2" w14:textId="5892FC05" w:rsidR="004A7D3D" w:rsidRPr="004A1148" w:rsidRDefault="00CF7D7B" w:rsidP="00F5276B">
            <w:pPr>
              <w:pStyle w:val="TableText"/>
              <w:rPr>
                <w:rFonts w:cs="Arial"/>
              </w:rPr>
            </w:pPr>
            <w:r>
              <w:rPr>
                <w:rFonts w:cs="Arial"/>
              </w:rPr>
              <w:t>172.16.13.109</w:t>
            </w:r>
          </w:p>
        </w:tc>
        <w:tc>
          <w:tcPr>
            <w:tcW w:w="2922" w:type="dxa"/>
            <w:vAlign w:val="bottom"/>
          </w:tcPr>
          <w:p w14:paraId="488D3941" w14:textId="55206E45" w:rsidR="004A7D3D" w:rsidRPr="004A1148" w:rsidRDefault="00CF7D7B" w:rsidP="00F5276B">
            <w:pPr>
              <w:pStyle w:val="TableText"/>
              <w:rPr>
                <w:rFonts w:cs="Arial"/>
              </w:rPr>
            </w:pPr>
            <w:r>
              <w:rPr>
                <w:rFonts w:cs="Arial"/>
              </w:rPr>
              <w:t>172.16.13.110</w:t>
            </w:r>
          </w:p>
        </w:tc>
        <w:tc>
          <w:tcPr>
            <w:tcW w:w="2905" w:type="dxa"/>
            <w:vAlign w:val="bottom"/>
          </w:tcPr>
          <w:p w14:paraId="6CDA3D3D" w14:textId="679FE4F1" w:rsidR="004A7D3D" w:rsidRPr="004A1148" w:rsidRDefault="00EE336F" w:rsidP="00F5276B">
            <w:pPr>
              <w:pStyle w:val="TableText"/>
              <w:ind w:left="284"/>
              <w:rPr>
                <w:rFonts w:cs="Arial"/>
              </w:rPr>
            </w:pPr>
            <w:r>
              <w:rPr>
                <w:rFonts w:cs="Arial"/>
              </w:rPr>
              <w:t>172.168.13.111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66B3D956" w14:textId="1ABED4D1" w:rsidR="00C34FB1" w:rsidRPr="00C34FB1" w:rsidRDefault="00593A4B" w:rsidP="00C34FB1">
      <w:pPr>
        <w:widowControl w:val="0"/>
        <w:autoSpaceDE w:val="0"/>
        <w:autoSpaceDN w:val="0"/>
        <w:adjustRightInd w:val="0"/>
        <w:ind w:left="640" w:hanging="640"/>
        <w:rPr>
          <w:rFonts w:ascii="Arial" w:hAnsi="Arial" w:cs="Arial"/>
          <w:noProof/>
          <w:sz w:val="32"/>
        </w:rPr>
      </w:pPr>
      <w:r>
        <w:rPr>
          <w:rFonts w:ascii="Arial" w:hAnsi="Arial" w:cs="Arial"/>
          <w:b/>
          <w:sz w:val="32"/>
          <w:szCs w:val="22"/>
          <w:u w:val="single"/>
        </w:rPr>
        <w:lastRenderedPageBreak/>
        <w:fldChar w:fldCharType="begin" w:fldLock="1"/>
      </w:r>
      <w:r>
        <w:rPr>
          <w:rFonts w:ascii="Arial" w:hAnsi="Arial" w:cs="Arial"/>
          <w:b/>
          <w:sz w:val="32"/>
          <w:szCs w:val="22"/>
          <w:u w:val="single"/>
        </w:rPr>
        <w:instrText xml:space="preserve">ADDIN Mendeley Bibliography CSL_BIBLIOGRAPHY </w:instrText>
      </w:r>
      <w:r>
        <w:rPr>
          <w:rFonts w:ascii="Arial" w:hAnsi="Arial" w:cs="Arial"/>
          <w:b/>
          <w:sz w:val="32"/>
          <w:szCs w:val="22"/>
          <w:u w:val="single"/>
        </w:rPr>
        <w:fldChar w:fldCharType="separate"/>
      </w:r>
      <w:r w:rsidR="00C34FB1" w:rsidRPr="00C34FB1">
        <w:rPr>
          <w:rFonts w:ascii="Arial" w:hAnsi="Arial" w:cs="Arial"/>
          <w:noProof/>
          <w:sz w:val="32"/>
          <w:szCs w:val="24"/>
        </w:rPr>
        <w:t>[1]</w:t>
      </w:r>
      <w:r w:rsidR="00C34FB1" w:rsidRPr="00C34FB1">
        <w:rPr>
          <w:rFonts w:ascii="Arial" w:hAnsi="Arial" w:cs="Arial"/>
          <w:noProof/>
          <w:sz w:val="32"/>
          <w:szCs w:val="24"/>
        </w:rPr>
        <w:tab/>
        <w:t xml:space="preserve">Cisco, “Connecting Networks Companion Guide,” in </w:t>
      </w:r>
      <w:r w:rsidR="00C34FB1" w:rsidRPr="00C34FB1">
        <w:rPr>
          <w:rFonts w:ascii="Arial" w:hAnsi="Arial" w:cs="Arial"/>
          <w:i/>
          <w:iCs/>
          <w:noProof/>
          <w:sz w:val="32"/>
          <w:szCs w:val="24"/>
        </w:rPr>
        <w:t>Introduction to Networks Companion Guide</w:t>
      </w:r>
      <w:r w:rsidR="00C34FB1" w:rsidRPr="00C34FB1">
        <w:rPr>
          <w:rFonts w:ascii="Arial" w:hAnsi="Arial" w:cs="Arial"/>
          <w:noProof/>
          <w:sz w:val="32"/>
          <w:szCs w:val="24"/>
        </w:rPr>
        <w:t>, 2014, p. 576.</w:t>
      </w:r>
    </w:p>
    <w:p w14:paraId="46804FC5" w14:textId="587255EA" w:rsidR="006D5DA8" w:rsidRPr="004A1148" w:rsidRDefault="00593A4B" w:rsidP="00771EE2">
      <w:pPr>
        <w:rPr>
          <w:rFonts w:ascii="Arial" w:hAnsi="Arial" w:cs="Arial"/>
          <w:b/>
          <w:sz w:val="32"/>
          <w:szCs w:val="22"/>
          <w:u w:val="single"/>
        </w:rPr>
      </w:pPr>
      <w:r>
        <w:rPr>
          <w:rFonts w:ascii="Arial" w:hAnsi="Arial" w:cs="Arial"/>
          <w:b/>
          <w:sz w:val="32"/>
          <w:szCs w:val="22"/>
          <w:u w:val="single"/>
        </w:rPr>
        <w:fldChar w:fldCharType="end"/>
      </w: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C3D6EE" w14:textId="77777777" w:rsidR="00312AE5" w:rsidRDefault="00312AE5">
      <w:r>
        <w:separator/>
      </w:r>
    </w:p>
  </w:endnote>
  <w:endnote w:type="continuationSeparator" w:id="0">
    <w:p w14:paraId="46503BC7" w14:textId="77777777" w:rsidR="00312AE5" w:rsidRDefault="00312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042F62" w14:textId="77777777" w:rsidR="00312AE5" w:rsidRDefault="00312AE5">
      <w:r>
        <w:separator/>
      </w:r>
    </w:p>
  </w:footnote>
  <w:footnote w:type="continuationSeparator" w:id="0">
    <w:p w14:paraId="18D81394" w14:textId="77777777" w:rsidR="00312AE5" w:rsidRDefault="00312A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29A1"/>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12AE5"/>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3A4B"/>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2595"/>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4FB1"/>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CF7D7B"/>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36F"/>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1E467F-2855-4A13-AD5A-0C48344D5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7</Pages>
  <Words>3009</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20124</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Brian Morris</cp:lastModifiedBy>
  <cp:revision>3</cp:revision>
  <cp:lastPrinted>2014-11-07T14:47:00Z</cp:lastPrinted>
  <dcterms:created xsi:type="dcterms:W3CDTF">2019-12-11T11:20:00Z</dcterms:created>
  <dcterms:modified xsi:type="dcterms:W3CDTF">2019-12-11T11:20:00Z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ba1f9272-9958-30b2-af71-097f6b1529b5</vt:lpwstr>
  </property>
  <property fmtid="{D5CDD505-2E9C-101B-9397-08002B2CF9AE}" pid="7" name="Mendeley Citation Style_1">
    <vt:lpwstr>http://www.zotero.org/styles/ieee</vt:lpwstr>
  </property>
</Properties>
</file>