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225B4" w14:textId="77777777" w:rsidR="00952F7D" w:rsidRDefault="00DF198B" w:rsidP="00DF198B">
      <w:pPr>
        <w:pStyle w:val="GraphicAnchor"/>
      </w:pPr>
      <w:r w:rsidRPr="004909D9">
        <w:rPr>
          <w:noProof/>
          <w:lang w:val="en-AU" w:eastAsia="en-AU"/>
        </w:rPr>
        <w:drawing>
          <wp:anchor distT="0" distB="0" distL="114300" distR="114300" simplePos="0" relativeHeight="251657216" behindDoc="1" locked="1" layoutInCell="1" allowOverlap="1" wp14:anchorId="3AA2CB23" wp14:editId="75782713">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14:paraId="40494658" w14:textId="77777777" w:rsidTr="00EB7C2B">
        <w:trPr>
          <w:trHeight w:val="1083"/>
        </w:trPr>
        <w:tc>
          <w:tcPr>
            <w:tcW w:w="10790" w:type="dxa"/>
            <w:gridSpan w:val="9"/>
          </w:tcPr>
          <w:p w14:paraId="3A9D516B" w14:textId="77777777" w:rsidR="00DF198B" w:rsidRDefault="00DF198B"/>
        </w:tc>
      </w:tr>
      <w:tr w:rsidR="00DF198B" w14:paraId="40777329" w14:textId="77777777" w:rsidTr="00EB7C2B">
        <w:trPr>
          <w:trHeight w:val="1068"/>
        </w:trPr>
        <w:tc>
          <w:tcPr>
            <w:tcW w:w="1198" w:type="dxa"/>
            <w:gridSpan w:val="2"/>
            <w:tcBorders>
              <w:right w:val="single" w:sz="18" w:space="0" w:color="476166" w:themeColor="accent1"/>
            </w:tcBorders>
          </w:tcPr>
          <w:p w14:paraId="561C7AF4"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DA5CC71" w14:textId="2BBB6C9D" w:rsidR="00DF198B" w:rsidRPr="00DF198B" w:rsidRDefault="005A3EA0" w:rsidP="00EB7C2B">
            <w:pPr>
              <w:pStyle w:val="Heading1"/>
            </w:pPr>
            <w:r>
              <w:t>2523576</w:t>
            </w:r>
          </w:p>
        </w:tc>
        <w:tc>
          <w:tcPr>
            <w:tcW w:w="1199" w:type="dxa"/>
            <w:gridSpan w:val="2"/>
            <w:tcBorders>
              <w:left w:val="single" w:sz="18" w:space="0" w:color="476166" w:themeColor="accent1"/>
            </w:tcBorders>
          </w:tcPr>
          <w:p w14:paraId="7CA0D0CE" w14:textId="77777777" w:rsidR="00DF198B" w:rsidRDefault="00DF198B"/>
        </w:tc>
      </w:tr>
      <w:tr w:rsidR="00DF198B" w14:paraId="18E9E191" w14:textId="77777777" w:rsidTr="00EB7C2B">
        <w:trPr>
          <w:trHeight w:val="1837"/>
        </w:trPr>
        <w:tc>
          <w:tcPr>
            <w:tcW w:w="1170" w:type="dxa"/>
          </w:tcPr>
          <w:p w14:paraId="4189BD58" w14:textId="77777777" w:rsidR="00DF198B" w:rsidRDefault="00DF198B"/>
        </w:tc>
        <w:tc>
          <w:tcPr>
            <w:tcW w:w="8460" w:type="dxa"/>
            <w:gridSpan w:val="7"/>
          </w:tcPr>
          <w:p w14:paraId="5C319D74" w14:textId="77777777" w:rsidR="00DF198B" w:rsidRDefault="00DF198B"/>
        </w:tc>
        <w:tc>
          <w:tcPr>
            <w:tcW w:w="1160" w:type="dxa"/>
          </w:tcPr>
          <w:p w14:paraId="767245BA" w14:textId="77777777" w:rsidR="00DF198B" w:rsidRDefault="00DF198B"/>
        </w:tc>
      </w:tr>
      <w:tr w:rsidR="00DF198B" w14:paraId="6166C270" w14:textId="77777777" w:rsidTr="00EB7C2B">
        <w:trPr>
          <w:trHeight w:val="929"/>
        </w:trPr>
        <w:tc>
          <w:tcPr>
            <w:tcW w:w="2397" w:type="dxa"/>
            <w:gridSpan w:val="4"/>
          </w:tcPr>
          <w:p w14:paraId="5F7F27DA" w14:textId="77777777" w:rsidR="00DF198B" w:rsidRDefault="00DF198B"/>
        </w:tc>
        <w:tc>
          <w:tcPr>
            <w:tcW w:w="5995" w:type="dxa"/>
            <w:shd w:val="clear" w:color="auto" w:fill="FFFFFF" w:themeFill="background1"/>
          </w:tcPr>
          <w:p w14:paraId="2C28CE88" w14:textId="77777777" w:rsidR="00DF198B" w:rsidRPr="00DF198B" w:rsidRDefault="00DF198B" w:rsidP="00DF198B">
            <w:pPr>
              <w:jc w:val="center"/>
              <w:rPr>
                <w:rFonts w:ascii="Georgia" w:hAnsi="Georgia"/>
                <w:sz w:val="48"/>
                <w:szCs w:val="48"/>
              </w:rPr>
            </w:pPr>
          </w:p>
        </w:tc>
        <w:tc>
          <w:tcPr>
            <w:tcW w:w="2398" w:type="dxa"/>
            <w:gridSpan w:val="4"/>
          </w:tcPr>
          <w:p w14:paraId="3488064F" w14:textId="77777777" w:rsidR="00DF198B" w:rsidRDefault="00DF198B"/>
        </w:tc>
      </w:tr>
      <w:tr w:rsidR="00DF198B" w14:paraId="597E0810" w14:textId="77777777" w:rsidTr="00EB7C2B">
        <w:trPr>
          <w:trHeight w:val="1460"/>
        </w:trPr>
        <w:tc>
          <w:tcPr>
            <w:tcW w:w="2397" w:type="dxa"/>
            <w:gridSpan w:val="4"/>
          </w:tcPr>
          <w:p w14:paraId="3E3E364D" w14:textId="77777777" w:rsidR="00DF198B" w:rsidRDefault="00DF198B"/>
        </w:tc>
        <w:tc>
          <w:tcPr>
            <w:tcW w:w="5995" w:type="dxa"/>
            <w:shd w:val="clear" w:color="auto" w:fill="FFFFFF" w:themeFill="background1"/>
          </w:tcPr>
          <w:p w14:paraId="73B60C39" w14:textId="310D1E6C" w:rsidR="00DF198B" w:rsidRPr="00DF198B" w:rsidRDefault="005A3EA0" w:rsidP="00EB7C2B">
            <w:pPr>
              <w:pStyle w:val="Heading2"/>
            </w:pPr>
            <w:r>
              <w:t>Oliver James</w:t>
            </w:r>
          </w:p>
        </w:tc>
        <w:tc>
          <w:tcPr>
            <w:tcW w:w="2398" w:type="dxa"/>
            <w:gridSpan w:val="4"/>
          </w:tcPr>
          <w:p w14:paraId="29FFE842" w14:textId="77777777" w:rsidR="00DF198B" w:rsidRDefault="00DF198B"/>
        </w:tc>
      </w:tr>
      <w:tr w:rsidR="00DF198B" w14:paraId="1E64BFCE" w14:textId="77777777" w:rsidTr="00EB7C2B">
        <w:trPr>
          <w:trHeight w:val="7176"/>
        </w:trPr>
        <w:tc>
          <w:tcPr>
            <w:tcW w:w="2397" w:type="dxa"/>
            <w:gridSpan w:val="4"/>
          </w:tcPr>
          <w:p w14:paraId="530830B8"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tcPr>
          <w:p w14:paraId="7C41D3B0" w14:textId="580E6F4F" w:rsidR="00DF198B" w:rsidRPr="005A3EA0" w:rsidRDefault="005A3EA0" w:rsidP="005A3EA0">
            <w:pPr>
              <w:pStyle w:val="Heading3"/>
              <w:rPr>
                <w:lang w:val="en-GB"/>
              </w:rPr>
            </w:pPr>
            <w:r w:rsidRPr="005A3EA0">
              <w:rPr>
                <w:b/>
                <w:lang w:val="en-GB"/>
              </w:rPr>
              <w:t xml:space="preserve">BMBM6023 </w:t>
            </w:r>
          </w:p>
          <w:p w14:paraId="046306C5" w14:textId="77777777" w:rsidR="00874FE7" w:rsidRPr="00DF198B" w:rsidRDefault="00000000" w:rsidP="00874FE7">
            <w:pPr>
              <w:pStyle w:val="Heading3"/>
            </w:pPr>
            <w:sdt>
              <w:sdtPr>
                <w:id w:val="-1516760087"/>
                <w:placeholder>
                  <w:docPart w:val="DBF4B4E6FBD14478B3AFE51AAC3F9000"/>
                </w:placeholder>
                <w:temporary/>
                <w:showingPlcHdr/>
                <w15:appearance w15:val="hidden"/>
              </w:sdtPr>
              <w:sdtContent>
                <w:r w:rsidR="00874FE7" w:rsidRPr="00DF198B">
                  <w:t>—</w:t>
                </w:r>
              </w:sdtContent>
            </w:sdt>
          </w:p>
          <w:p w14:paraId="6607628B" w14:textId="31D52D01" w:rsidR="00DF198B" w:rsidRPr="00DF198B" w:rsidRDefault="005A3EA0" w:rsidP="00874FE7">
            <w:pPr>
              <w:pStyle w:val="Heading3"/>
            </w:pPr>
            <w:r>
              <w:t>Leading and Developing People</w:t>
            </w:r>
          </w:p>
          <w:p w14:paraId="445C6A6D" w14:textId="77777777" w:rsidR="00DF198B" w:rsidRPr="00DF198B" w:rsidRDefault="00000000" w:rsidP="00874FE7">
            <w:pPr>
              <w:pStyle w:val="Heading3"/>
            </w:pPr>
            <w:sdt>
              <w:sdtPr>
                <w:id w:val="1492440299"/>
                <w:placeholder>
                  <w:docPart w:val="5CB5B75897DF44B3944C3BDED2C1D10C"/>
                </w:placeholder>
                <w:temporary/>
                <w:showingPlcHdr/>
                <w15:appearance w15:val="hidden"/>
              </w:sdtPr>
              <w:sdtContent>
                <w:r w:rsidR="00874FE7" w:rsidRPr="00DF198B">
                  <w:t>—</w:t>
                </w:r>
              </w:sdtContent>
            </w:sdt>
          </w:p>
          <w:p w14:paraId="286BC213" w14:textId="18100A02" w:rsidR="00DF198B" w:rsidRDefault="00DF198B" w:rsidP="00874FE7">
            <w:pPr>
              <w:pStyle w:val="Heading3"/>
            </w:pPr>
          </w:p>
          <w:p w14:paraId="49010AA6" w14:textId="77777777" w:rsidR="00DF198B" w:rsidRPr="00DF198B" w:rsidRDefault="00DF198B" w:rsidP="00DF198B"/>
        </w:tc>
        <w:tc>
          <w:tcPr>
            <w:tcW w:w="2398" w:type="dxa"/>
            <w:gridSpan w:val="4"/>
          </w:tcPr>
          <w:p w14:paraId="4802618A" w14:textId="77777777" w:rsidR="00DF198B" w:rsidRDefault="00DF198B" w:rsidP="00DF198B">
            <w:pPr>
              <w:jc w:val="center"/>
            </w:pPr>
          </w:p>
        </w:tc>
      </w:tr>
      <w:tr w:rsidR="00DF198B" w14:paraId="261F4086" w14:textId="77777777" w:rsidTr="00EB7C2B">
        <w:tc>
          <w:tcPr>
            <w:tcW w:w="2340" w:type="dxa"/>
            <w:gridSpan w:val="3"/>
          </w:tcPr>
          <w:p w14:paraId="1A1EFF0E" w14:textId="77777777" w:rsidR="00DF198B" w:rsidRDefault="00DF198B"/>
        </w:tc>
        <w:tc>
          <w:tcPr>
            <w:tcW w:w="6120" w:type="dxa"/>
            <w:gridSpan w:val="3"/>
          </w:tcPr>
          <w:p w14:paraId="322B7EEC" w14:textId="77777777" w:rsidR="00DF198B" w:rsidRDefault="00DF198B"/>
        </w:tc>
        <w:tc>
          <w:tcPr>
            <w:tcW w:w="2330" w:type="dxa"/>
            <w:gridSpan w:val="3"/>
          </w:tcPr>
          <w:p w14:paraId="49B0FE79" w14:textId="77777777" w:rsidR="00DF198B" w:rsidRDefault="00DF198B"/>
        </w:tc>
      </w:tr>
    </w:tbl>
    <w:p w14:paraId="17FB22FC" w14:textId="77777777" w:rsidR="00DF198B" w:rsidRDefault="00DF198B"/>
    <w:p w14:paraId="1879C9E8" w14:textId="77777777" w:rsidR="00DF198B" w:rsidRDefault="00DF198B" w:rsidP="002D2200">
      <w:pPr>
        <w:pStyle w:val="GraphicAnchor"/>
      </w:pPr>
    </w:p>
    <w:p w14:paraId="74872358" w14:textId="77777777" w:rsidR="002D2200" w:rsidRDefault="002D2200"/>
    <w:p w14:paraId="7F63EF09" w14:textId="77777777" w:rsidR="00E74B29" w:rsidRDefault="00E74B29" w:rsidP="0048120C">
      <w:pPr>
        <w:pStyle w:val="GraphicAnchor"/>
      </w:pPr>
    </w:p>
    <w:p w14:paraId="6AB300C6" w14:textId="77777777" w:rsidR="0048120C" w:rsidRDefault="0048120C"/>
    <w:p w14:paraId="52DF3B9B" w14:textId="77777777" w:rsidR="00A72598" w:rsidRPr="002E2F4F" w:rsidRDefault="00A72598" w:rsidP="00A72598">
      <w:r w:rsidRPr="002E2F4F">
        <w:lastRenderedPageBreak/>
        <w:t>Introduction</w:t>
      </w:r>
    </w:p>
    <w:p w14:paraId="58FE9B33" w14:textId="77777777" w:rsidR="00A72598" w:rsidRPr="002E2F4F" w:rsidRDefault="00A72598" w:rsidP="00A72598"/>
    <w:p w14:paraId="3A94D0F7" w14:textId="013637D3" w:rsidR="00A72598" w:rsidRPr="002E2F4F" w:rsidRDefault="00A72598" w:rsidP="00A72598">
      <w:r w:rsidRPr="002E2F4F">
        <w:t xml:space="preserve">Employee wellbeing has become an increasingly important focus in human resource management, particularly in high-pressure environments like call centres. Havencares Insurances Cardiff Call Centre, which employs around 300 staff mainly in claims and handling roles, is currently facing several serious challenges. These include high staff turnover, rising </w:t>
      </w:r>
      <w:proofErr w:type="gramStart"/>
      <w:r w:rsidRPr="002E2F4F">
        <w:t>absence</w:t>
      </w:r>
      <w:proofErr w:type="gramEnd"/>
      <w:r w:rsidRPr="002E2F4F">
        <w:t xml:space="preserve"> linked to mental health and minor illnesses, and a noticeable decline in performance among longer-serving employees. Rather than being simple operational issues, these problems point to deeper, underlying concerns around job design, leadership, and organisational culture.</w:t>
      </w:r>
    </w:p>
    <w:p w14:paraId="7A215A9C" w14:textId="77777777" w:rsidR="00A72598" w:rsidRPr="002E2F4F" w:rsidRDefault="00A72598" w:rsidP="00A72598"/>
    <w:p w14:paraId="6C9E0C6E" w14:textId="0E8FBEAD" w:rsidR="00A72598" w:rsidRPr="002E2F4F" w:rsidRDefault="00A72598" w:rsidP="00A72598">
      <w:r w:rsidRPr="002E2F4F">
        <w:t xml:space="preserve">This essay explores how a well-rounded wellbeing strategy could help address these challenges. It examines the complex and often debated relationship between employee wellbeing and performance, drawing on key theories such as the Job Demands-Resources (JD-R) model and Self-Determination Theory (SDT), while also recognising their limitations. A particular focus is placed on employee development </w:t>
      </w:r>
      <w:proofErr w:type="gramStart"/>
      <w:r w:rsidRPr="002E2F4F">
        <w:t>as a way to</w:t>
      </w:r>
      <w:proofErr w:type="gramEnd"/>
      <w:r w:rsidRPr="002E2F4F">
        <w:t xml:space="preserve"> improve both wellbeing and organisational outcomes. The discussion is grounded in the realities of call centre work and the wider socio-economic context of South Wales. Overall, the argument is that while wellbeing strategies can support better performance, they are only effective when backed by meaningful changes to job design, genuine development opportunities, and authentic commitment from management rather than surface-level initiatives.</w:t>
      </w:r>
    </w:p>
    <w:p w14:paraId="064FB83F" w14:textId="77777777" w:rsidR="00A72598" w:rsidRPr="002E2F4F" w:rsidRDefault="00A72598" w:rsidP="00A72598"/>
    <w:p w14:paraId="3B5C0C19" w14:textId="77777777" w:rsidR="00A72598" w:rsidRPr="002E2F4F" w:rsidRDefault="00A72598" w:rsidP="00A72598">
      <w:r w:rsidRPr="002E2F4F">
        <w:t>The Call Centre Labour Process and Structural Issues</w:t>
      </w:r>
    </w:p>
    <w:p w14:paraId="5548F24C" w14:textId="77777777" w:rsidR="00A72598" w:rsidRPr="002E2F4F" w:rsidRDefault="00A72598" w:rsidP="00A72598"/>
    <w:p w14:paraId="6A8437EE" w14:textId="77777777" w:rsidR="00A72598" w:rsidRPr="002E2F4F" w:rsidRDefault="00A72598" w:rsidP="00A72598">
      <w:r w:rsidRPr="002E2F4F">
        <w:t>Call centres are often seen as a modern form of Taylorism, where work is highly standardised, closely monitored, and heavily measured (Deery and Kinnie, 2020). At Havencares’ Cardiff site, employees are likely assessed through metrics such as call length, resolution rates, and customer satisfaction scores. While these systems can improve efficiency, they also create a high-pressure environment. Employees may feel constantly watched and judged, which can reduce autonomy and increase stress, eventually leading to burnout (Holman, 2019).</w:t>
      </w:r>
    </w:p>
    <w:p w14:paraId="6D629BFF" w14:textId="77777777" w:rsidR="00A72598" w:rsidRPr="002E2F4F" w:rsidRDefault="00A72598" w:rsidP="00A72598"/>
    <w:p w14:paraId="7B076D1C" w14:textId="77777777" w:rsidR="00A72598" w:rsidRPr="002E2F4F" w:rsidRDefault="00A72598" w:rsidP="00A72598">
      <w:r w:rsidRPr="002E2F4F">
        <w:t>The high turnover at the centre reflects wider trends in the sector, where repetitive work and emotional labour often push employees to leave (Batt and Moynihan, 2020). Emotional labour is especially relevant in insurance claims roles, where staff regularly deal with distressed or upset customers. Over time, this can lead to emotional exhaustion and a loss of motivation (Grandey and Melloy, 2017).</w:t>
      </w:r>
    </w:p>
    <w:p w14:paraId="66F1C587" w14:textId="77777777" w:rsidR="00A72598" w:rsidRPr="002E2F4F" w:rsidRDefault="00A72598" w:rsidP="00A72598"/>
    <w:p w14:paraId="6433BDB5" w14:textId="77777777" w:rsidR="00A72598" w:rsidRPr="002E2F4F" w:rsidRDefault="00A72598" w:rsidP="00A72598">
      <w:r w:rsidRPr="002E2F4F">
        <w:t>That said, it’s too simplistic to blame everything on job design alone. Some researchers argue that this view ignores the role of management and organisational differences (Fisher et al., 2021). In fact, some call centres manage to reduce stress by offering better support, more flexible roles, and stronger leadership. This suggests that while structural challenges are important, they are not fixed and can be improved.</w:t>
      </w:r>
    </w:p>
    <w:p w14:paraId="3001B7A6" w14:textId="77777777" w:rsidR="00A72598" w:rsidRPr="002E2F4F" w:rsidRDefault="00A72598" w:rsidP="00A72598"/>
    <w:p w14:paraId="4CEF2E8D" w14:textId="071E5C12" w:rsidR="00A72598" w:rsidRPr="002E2F4F" w:rsidRDefault="00A72598" w:rsidP="00A72598">
      <w:r w:rsidRPr="002E2F4F">
        <w:t xml:space="preserve">The South Wales context adds another layer to the issue. Economic changes in the region have led to a reliance on service-sector jobs, which often offer limited career progression (Beatty et al., 2019). As a result, employees may feel stuck dependent on their jobs but not fully engaged with them. This can lead to presenteeism (being at work but not fully productive) and long-term absence. Any effective </w:t>
      </w:r>
      <w:proofErr w:type="gramStart"/>
      <w:r w:rsidRPr="002E2F4F">
        <w:t>wellbeing</w:t>
      </w:r>
      <w:proofErr w:type="gramEnd"/>
      <w:r w:rsidRPr="002E2F4F">
        <w:t xml:space="preserve"> strategy therefore needs to consider both the nature of call centre work and the wider economic environment shaping employee attitudes.</w:t>
      </w:r>
    </w:p>
    <w:p w14:paraId="0ED9A97F" w14:textId="77777777" w:rsidR="00A72598" w:rsidRPr="002E2F4F" w:rsidRDefault="00A72598" w:rsidP="00A72598"/>
    <w:p w14:paraId="4F48318C" w14:textId="77777777" w:rsidR="00A72598" w:rsidRPr="002E2F4F" w:rsidRDefault="00A72598" w:rsidP="00A72598">
      <w:r w:rsidRPr="002E2F4F">
        <w:t>Understanding Wellbeing: Different Perspectives</w:t>
      </w:r>
    </w:p>
    <w:p w14:paraId="1FA19B7B" w14:textId="77777777" w:rsidR="00A72598" w:rsidRPr="002E2F4F" w:rsidRDefault="00A72598" w:rsidP="00A72598"/>
    <w:p w14:paraId="15D68C70" w14:textId="75D05F94" w:rsidR="00A72598" w:rsidRPr="002E2F4F" w:rsidRDefault="00A72598" w:rsidP="00A72598">
      <w:r w:rsidRPr="002E2F4F">
        <w:t xml:space="preserve">Employee wellbeing is generally understood as a mix of psychological and physical health (Danna and Griffin, 2020). The Job Demands-Resources (JD-R) model is one of the most widely used frameworks for understanding this. It suggests that wellbeing depends on the balance between job demands like workload and pressure and available resources such as support, autonomy, and development opportunities (Bakker and Demerouti, 2017). In the Cardiff call centre, high demands such as </w:t>
      </w:r>
      <w:r w:rsidRPr="002E2F4F">
        <w:lastRenderedPageBreak/>
        <w:t>constant monitoring and emotional strain are not balanced by enough support or opportunities, leading to stress and exhaustion.</w:t>
      </w:r>
    </w:p>
    <w:p w14:paraId="62D6547D" w14:textId="77777777" w:rsidR="00A72598" w:rsidRPr="002E2F4F" w:rsidRDefault="00A72598" w:rsidP="00A72598"/>
    <w:p w14:paraId="53743B44" w14:textId="77777777" w:rsidR="00A72598" w:rsidRPr="002E2F4F" w:rsidRDefault="00A72598" w:rsidP="00A72598">
      <w:r w:rsidRPr="002E2F4F">
        <w:t xml:space="preserve">However, the JD-R model is not without its flaws. It has been criticised for being too broad, grouping different types of demands and resources together in ways that can overlook important details (Schaufeli, 2021). It also tends to assume a simple relationship between resources and wellbeing. </w:t>
      </w:r>
      <w:proofErr w:type="gramStart"/>
      <w:r w:rsidRPr="002E2F4F">
        <w:t>In reality, things</w:t>
      </w:r>
      <w:proofErr w:type="gramEnd"/>
      <w:r w:rsidRPr="002E2F4F">
        <w:t xml:space="preserve"> are often more complex. For example, performance feedback can help employees improve, but it can also increase pressure and stress at the same time.</w:t>
      </w:r>
    </w:p>
    <w:p w14:paraId="2D128336" w14:textId="77777777" w:rsidR="00A72598" w:rsidRPr="002E2F4F" w:rsidRDefault="00A72598" w:rsidP="00A72598"/>
    <w:p w14:paraId="3A406A7C" w14:textId="696CD5E7" w:rsidR="00A72598" w:rsidRPr="002E2F4F" w:rsidRDefault="00A72598" w:rsidP="00A72598">
      <w:r w:rsidRPr="002E2F4F">
        <w:t xml:space="preserve">Self-Determination Theory (SDT) offers a more detailed psychological perspective. It suggests that wellbeing depends on three basic needs being met: autonomy (feeling in control), competence (feeling capable), and relatedness (feeling connected to others) (Deci et al., 2017). In call centres, these needs are often not fully satisfied. Employees may have little autonomy due to scripts and monitoring, and interactions with customers can feel brief and impersonal, limiting a sense of connection. This highlights that improving wellbeing isn’t just about reducing </w:t>
      </w:r>
      <w:proofErr w:type="gramStart"/>
      <w:r w:rsidRPr="002E2F4F">
        <w:t>workload</w:t>
      </w:r>
      <w:proofErr w:type="gramEnd"/>
      <w:r w:rsidRPr="002E2F4F">
        <w:t xml:space="preserve"> it also involves addressing deeper motivational needs.</w:t>
      </w:r>
    </w:p>
    <w:p w14:paraId="5441F5E8" w14:textId="77777777" w:rsidR="00A72598" w:rsidRPr="002E2F4F" w:rsidRDefault="00A72598" w:rsidP="00A72598"/>
    <w:p w14:paraId="7031A78F" w14:textId="01839D7A" w:rsidR="00EB7C2B" w:rsidRPr="002E2F4F" w:rsidRDefault="00A72598" w:rsidP="00A72598">
      <w:r w:rsidRPr="002E2F4F">
        <w:t xml:space="preserve">However, SDT has its limitations too. It assumes these needs are equally important everywhere, </w:t>
      </w:r>
      <w:proofErr w:type="gramStart"/>
      <w:r w:rsidRPr="002E2F4F">
        <w:t>but in reality,</w:t>
      </w:r>
      <w:proofErr w:type="gramEnd"/>
      <w:r w:rsidRPr="002E2F4F">
        <w:t xml:space="preserve"> cultural and economic factors can shape what employees value most (Van den Broeck et al., 2016). For example, in South Wales, job security may be more important than autonomy, which makes applying SDT less straightforward.</w:t>
      </w:r>
    </w:p>
    <w:p w14:paraId="13A333C5" w14:textId="77777777" w:rsidR="009D2E55" w:rsidRPr="002E2F4F" w:rsidRDefault="009D2E55" w:rsidP="00A72598"/>
    <w:p w14:paraId="36751BC3" w14:textId="3F2F97E3" w:rsidR="009D2E55" w:rsidRPr="002E2F4F" w:rsidRDefault="009D2E55" w:rsidP="00A72598">
      <w:r w:rsidRPr="002E2F4F">
        <w:t>The Wellbeing Performance Relationship: A critical view</w:t>
      </w:r>
    </w:p>
    <w:p w14:paraId="465036A1" w14:textId="77777777" w:rsidR="009D2E55" w:rsidRPr="002E2F4F" w:rsidRDefault="009D2E55" w:rsidP="00A72598"/>
    <w:p w14:paraId="4B19AD67" w14:textId="77777777" w:rsidR="009D2E55" w:rsidRPr="002E2F4F" w:rsidRDefault="009D2E55" w:rsidP="009D2E55">
      <w:r w:rsidRPr="002E2F4F">
        <w:t>The link between employee wellbeing and performance is often explained through the idea of the “happy-productive worker.” This suggests that when employees feel better, they tend to perform better too (Oswald et al., 2015). There is quite a bit of research backing this up, showing connections between wellbeing, engagement, and productivity (Harter et al., 2020). In the case of Havencares, this would imply that improving employee wellbeing could also help boost performance and reduce staff turnover.</w:t>
      </w:r>
    </w:p>
    <w:p w14:paraId="331E2FBF" w14:textId="77777777" w:rsidR="009D2E55" w:rsidRPr="002E2F4F" w:rsidRDefault="009D2E55" w:rsidP="009D2E55"/>
    <w:p w14:paraId="281A785F" w14:textId="77777777" w:rsidR="009D2E55" w:rsidRPr="002E2F4F" w:rsidRDefault="009D2E55" w:rsidP="009D2E55">
      <w:r w:rsidRPr="002E2F4F">
        <w:t xml:space="preserve">However, the relationship isn’t as simple as it sounds. Some researchers, like Wright and </w:t>
      </w:r>
      <w:proofErr w:type="spellStart"/>
      <w:r w:rsidRPr="002E2F4F">
        <w:t>Cropanzano</w:t>
      </w:r>
      <w:proofErr w:type="spellEnd"/>
      <w:r w:rsidRPr="002E2F4F">
        <w:t xml:space="preserve"> (2020), argue that it can </w:t>
      </w:r>
      <w:proofErr w:type="gramStart"/>
      <w:r w:rsidRPr="002E2F4F">
        <w:t>actually work</w:t>
      </w:r>
      <w:proofErr w:type="gramEnd"/>
      <w:r w:rsidRPr="002E2F4F">
        <w:t xml:space="preserve"> the other way around as well. For example, employees who perform well may feel better because they receive rewards, recognition, or a sense of achievement. This suggests that focusing only on wellbeing initiatives might not automatically lead to better performance.</w:t>
      </w:r>
    </w:p>
    <w:p w14:paraId="1A88A104" w14:textId="77777777" w:rsidR="009D2E55" w:rsidRPr="002E2F4F" w:rsidRDefault="009D2E55" w:rsidP="009D2E55"/>
    <w:p w14:paraId="0695DB64" w14:textId="77777777" w:rsidR="009D2E55" w:rsidRPr="002E2F4F" w:rsidRDefault="009D2E55" w:rsidP="009D2E55">
      <w:r w:rsidRPr="002E2F4F">
        <w:t>There can also be trade-offs. Guest (2017) points out that in cost-focused environments, improving wellbeing and maintaining high performance don’t always go hand in hand. For instance, lowering targets to reduce stress might harm productivity, while increasing pressure to hit targets can damage employee wellbeing. This is especially relevant in call centres, where efficiency and performance metrics are central to how the business operates.</w:t>
      </w:r>
    </w:p>
    <w:p w14:paraId="3E0E4300" w14:textId="77777777" w:rsidR="009D2E55" w:rsidRPr="002E2F4F" w:rsidRDefault="009D2E55" w:rsidP="009D2E55"/>
    <w:p w14:paraId="442D2F44" w14:textId="77777777" w:rsidR="009D2E55" w:rsidRPr="002E2F4F" w:rsidRDefault="009D2E55" w:rsidP="009D2E55">
      <w:r w:rsidRPr="002E2F4F">
        <w:t>One way to balance this is through the “mutual gains” perspective, which suggests that well-designed HR practices can improve both wellbeing and performance at the same time (Van De Voorde et al., 2020). While this sounds ideal, it doesn’t always work in practice. Critics argue that these outcomes only happen when organisations are genuinely committed, rather than just introducing wellbeing initiatives on the surface (Fleming, 2020).</w:t>
      </w:r>
    </w:p>
    <w:p w14:paraId="147B1C7F" w14:textId="77777777" w:rsidR="009D2E55" w:rsidRPr="002E2F4F" w:rsidRDefault="009D2E55" w:rsidP="009D2E55"/>
    <w:p w14:paraId="5200F0FA" w14:textId="77777777" w:rsidR="009D2E55" w:rsidRPr="002E2F4F" w:rsidRDefault="009D2E55" w:rsidP="009D2E55">
      <w:r w:rsidRPr="002E2F4F">
        <w:t xml:space="preserve">Another issue is that a lot of the research assumes this relationship works the same way in every organisation. </w:t>
      </w:r>
      <w:proofErr w:type="gramStart"/>
      <w:r w:rsidRPr="002E2F4F">
        <w:t>In reality, it</w:t>
      </w:r>
      <w:proofErr w:type="gramEnd"/>
      <w:r w:rsidRPr="002E2F4F">
        <w:t xml:space="preserve"> depends heavily on the type of job, how work is managed, and what the organisation prioritises (Peccei and Van De Voorde, 2019). In highly controlled environments like call centres, where work is closely monitored and standardised, improving wellbeing doesn’t always lead to better performance. For example, even motivated employees may not be able to exceed targets if they are restricted by scripts and strict procedures.</w:t>
      </w:r>
    </w:p>
    <w:p w14:paraId="0929938C" w14:textId="77777777" w:rsidR="009D2E55" w:rsidRPr="002E2F4F" w:rsidRDefault="009D2E55" w:rsidP="009D2E55"/>
    <w:p w14:paraId="1B0E047B" w14:textId="77777777" w:rsidR="009D2E55" w:rsidRPr="002E2F4F" w:rsidRDefault="009D2E55" w:rsidP="009D2E55">
      <w:r w:rsidRPr="002E2F4F">
        <w:t xml:space="preserve">This highlights a limitation of the mutual </w:t>
      </w:r>
      <w:proofErr w:type="gramStart"/>
      <w:r w:rsidRPr="002E2F4F">
        <w:t>gains</w:t>
      </w:r>
      <w:proofErr w:type="gramEnd"/>
      <w:r w:rsidRPr="002E2F4F">
        <w:t xml:space="preserve"> idea, as it can overlook the impact of these structural constraints. In roles with low autonomy, improving wellbeing may instead lead to outcomes like lower absence rates or better staff retention, rather than immediate increases in productivity. While </w:t>
      </w:r>
      <w:proofErr w:type="gramStart"/>
      <w:r w:rsidRPr="002E2F4F">
        <w:t>these</w:t>
      </w:r>
      <w:proofErr w:type="gramEnd"/>
      <w:r w:rsidRPr="002E2F4F">
        <w:t xml:space="preserve"> are still positive results, they suggest that performance should be viewed more broadly. For Havencares, this could mean looking beyond call handling times and focusing on things like employee engagement, retention, and overall customer experience.</w:t>
      </w:r>
    </w:p>
    <w:p w14:paraId="03CE9304" w14:textId="77777777" w:rsidR="009D2E55" w:rsidRPr="002E2F4F" w:rsidRDefault="009D2E55" w:rsidP="009D2E55"/>
    <w:p w14:paraId="2ACA6835" w14:textId="26EABA00" w:rsidR="009D2E55" w:rsidRPr="002E2F4F" w:rsidRDefault="009D2E55" w:rsidP="009D2E55">
      <w:r w:rsidRPr="002E2F4F">
        <w:t xml:space="preserve">It’s also worth noting that a strong focus on performance metrics can </w:t>
      </w:r>
      <w:proofErr w:type="gramStart"/>
      <w:r w:rsidRPr="002E2F4F">
        <w:t>actually make</w:t>
      </w:r>
      <w:proofErr w:type="gramEnd"/>
      <w:r w:rsidRPr="002E2F4F">
        <w:t xml:space="preserve"> things worse. Research shows that constant pressure to meet targets can increase stress and eventually reduce performance (Wood et al., 2019). This is likely to be the case in the Cardiff call centre, where employees are closely monitored and expected to meet strict targets. Because of this, </w:t>
      </w:r>
      <w:proofErr w:type="gramStart"/>
      <w:r w:rsidRPr="002E2F4F">
        <w:t>any wellbeing</w:t>
      </w:r>
      <w:proofErr w:type="gramEnd"/>
      <w:r w:rsidRPr="002E2F4F">
        <w:t xml:space="preserve"> strategy should also involve rethinking how performance is measured, making sure systems support employees rather than </w:t>
      </w:r>
      <w:proofErr w:type="gramStart"/>
      <w:r w:rsidRPr="002E2F4F">
        <w:t>add</w:t>
      </w:r>
      <w:proofErr w:type="gramEnd"/>
      <w:r w:rsidRPr="002E2F4F">
        <w:t xml:space="preserve"> to their stress.</w:t>
      </w:r>
    </w:p>
    <w:p w14:paraId="0408AB51" w14:textId="77777777" w:rsidR="00F50E37" w:rsidRPr="002E2F4F" w:rsidRDefault="00F50E37" w:rsidP="009D2E55"/>
    <w:p w14:paraId="4B64F54D" w14:textId="3AC2CE55" w:rsidR="00F50E37" w:rsidRPr="002E2F4F" w:rsidRDefault="00F50E37" w:rsidP="009D2E55">
      <w:r w:rsidRPr="002E2F4F">
        <w:t xml:space="preserve">Developing a strategic wellbeing framework for Havencares </w:t>
      </w:r>
    </w:p>
    <w:p w14:paraId="54A17CE6" w14:textId="77777777" w:rsidR="009D2E55" w:rsidRPr="002E2F4F" w:rsidRDefault="009D2E55" w:rsidP="00A72598"/>
    <w:p w14:paraId="6659A29B" w14:textId="144CDBDF" w:rsidR="00F50E37" w:rsidRPr="002E2F4F" w:rsidRDefault="00F50E37" w:rsidP="00F50E37">
      <w:r w:rsidRPr="002E2F4F">
        <w:t xml:space="preserve">For a </w:t>
      </w:r>
      <w:proofErr w:type="gramStart"/>
      <w:r w:rsidRPr="002E2F4F">
        <w:t>wellbeing</w:t>
      </w:r>
      <w:proofErr w:type="gramEnd"/>
      <w:r w:rsidRPr="002E2F4F">
        <w:t xml:space="preserve"> strategy to be effective in the Cardiff call centre, it needs to work across different levels and deal with both structural issues and employee </w:t>
      </w:r>
      <w:proofErr w:type="gramStart"/>
      <w:r w:rsidRPr="002E2F4F">
        <w:t>experiences</w:t>
      </w:r>
      <w:proofErr w:type="gramEnd"/>
      <w:r w:rsidRPr="002E2F4F">
        <w:t>. It’s not enough to introduce small changes in isolation the approach needs to be more joined-up.</w:t>
      </w:r>
    </w:p>
    <w:p w14:paraId="17BFFA97" w14:textId="77777777" w:rsidR="00F50E37" w:rsidRPr="002E2F4F" w:rsidRDefault="00F50E37" w:rsidP="00F50E37"/>
    <w:p w14:paraId="3AFD2402" w14:textId="77777777" w:rsidR="00F50E37" w:rsidRPr="002E2F4F" w:rsidRDefault="00F50E37" w:rsidP="00F50E37">
      <w:r w:rsidRPr="002E2F4F">
        <w:t>At an organisational level, job design is a key area to focus on. Making roles less repetitive, giving employees more freedom in how they interact with customers, and reducing excessive monitoring could all help increase autonomy and lower stress (Parker, 2017). That said, these kinds of changes aren’t always straightforward. In a call centre environment, where efficiency and performance targets are central, giving employees more flexibility can sometimes conflict with business goals. Because of this, any changes need to be carefully balanced rather than applied too broadly.</w:t>
      </w:r>
    </w:p>
    <w:p w14:paraId="1C5B4090" w14:textId="77777777" w:rsidR="00F50E37" w:rsidRPr="002E2F4F" w:rsidRDefault="00F50E37" w:rsidP="00F50E37"/>
    <w:p w14:paraId="73C89400" w14:textId="77777777" w:rsidR="00F50E37" w:rsidRPr="002E2F4F" w:rsidRDefault="00F50E37" w:rsidP="00F50E37">
      <w:r w:rsidRPr="002E2F4F">
        <w:t xml:space="preserve">At a managerial level, leadership also plays an important role. Transformational leadership, which focuses on supporting and empowering employees, has been linked to higher levels of wellbeing (Arnold, 2017). In practice, this could involve training team leaders to take a more coaching-based approach, rather than focusing only on performance targets. This may help improve both wellbeing and performance at the same time. However, leadership on its own isn’t enough. If wider organisational systems stay the same, </w:t>
      </w:r>
      <w:proofErr w:type="gramStart"/>
      <w:r w:rsidRPr="002E2F4F">
        <w:t>its</w:t>
      </w:r>
      <w:proofErr w:type="gramEnd"/>
      <w:r w:rsidRPr="002E2F4F">
        <w:t xml:space="preserve"> overall impact is likely to be limited.</w:t>
      </w:r>
    </w:p>
    <w:p w14:paraId="70E2ACF9" w14:textId="77777777" w:rsidR="00F50E37" w:rsidRPr="002E2F4F" w:rsidRDefault="00F50E37" w:rsidP="00F50E37"/>
    <w:p w14:paraId="4312B8BB" w14:textId="77777777" w:rsidR="00F50E37" w:rsidRPr="002E2F4F" w:rsidRDefault="00F50E37" w:rsidP="00F50E37">
      <w:r w:rsidRPr="002E2F4F">
        <w:t>These ideas are in line with Yukl (2020), who highlights the importance of leadership styles that focus on supporting, developing and empowering employees.</w:t>
      </w:r>
    </w:p>
    <w:p w14:paraId="4045A38B" w14:textId="77777777" w:rsidR="00F50E37" w:rsidRPr="002E2F4F" w:rsidRDefault="00F50E37" w:rsidP="00F50E37"/>
    <w:p w14:paraId="3351FEB7" w14:textId="4A9FDB85" w:rsidR="009D2E55" w:rsidRPr="002E2F4F" w:rsidRDefault="00F50E37" w:rsidP="00F50E37">
      <w:r w:rsidRPr="002E2F4F">
        <w:t>At an individual level, organisations often introduce initiatives such as mental health support, flexible working, and resilience training. These can be useful in giving employees additional support. However, they are often criticised for placing too much responsibility on individuals, rather than addressing the underlying causes of stress (CIPD, 2023). Because of this, they shouldn’t be treated as standalone solutions, but instead as part of a wider, more strategic approach.</w:t>
      </w:r>
    </w:p>
    <w:p w14:paraId="6D49AF11" w14:textId="69F30705" w:rsidR="006F0BF2" w:rsidRPr="002E2F4F" w:rsidRDefault="006F0BF2" w:rsidP="00A72598"/>
    <w:p w14:paraId="1302293A" w14:textId="207F67D3" w:rsidR="00FE3ACE" w:rsidRPr="002E2F4F" w:rsidRDefault="003A6D84" w:rsidP="00136BF0">
      <w:r w:rsidRPr="002E2F4F">
        <w:t>Employee Development as a Core Driver of Wellbeing</w:t>
      </w:r>
    </w:p>
    <w:p w14:paraId="55D9E1CD" w14:textId="77777777" w:rsidR="005D1A90" w:rsidRPr="002E2F4F" w:rsidRDefault="005D1A90" w:rsidP="00761CF8"/>
    <w:p w14:paraId="1679A6F1" w14:textId="77777777" w:rsidR="003A6D84" w:rsidRPr="002E2F4F" w:rsidRDefault="003A6D84" w:rsidP="003A6D84">
      <w:r w:rsidRPr="002E2F4F">
        <w:t>Employee development is an important, but often overlooked, way of improving wellbeing in call centre environments. Providing opportunities to build skills and progress within a role can increase motivation, reduce turnover, and improve overall psychological wellbeing (Noe et al., 2021). In the Cardiff call centre, the lack of progression for longer-serving employees suggests that meaningful development pathways may be missing.</w:t>
      </w:r>
    </w:p>
    <w:p w14:paraId="54063B59" w14:textId="77777777" w:rsidR="003A6D84" w:rsidRPr="002E2F4F" w:rsidRDefault="003A6D84" w:rsidP="003A6D84"/>
    <w:p w14:paraId="0E1FB055" w14:textId="77777777" w:rsidR="003A6D84" w:rsidRPr="002E2F4F" w:rsidRDefault="003A6D84" w:rsidP="003A6D84">
      <w:r w:rsidRPr="002E2F4F">
        <w:t>Beyond motivation, development also shapes how employees view the organisation. Social Exchange Theory suggests that when employees feel the organisation is investing in them, they are more likely to respond with greater commitment and effort (</w:t>
      </w:r>
      <w:proofErr w:type="spellStart"/>
      <w:r w:rsidRPr="002E2F4F">
        <w:t>Cropanzano</w:t>
      </w:r>
      <w:proofErr w:type="spellEnd"/>
      <w:r w:rsidRPr="002E2F4F">
        <w:t xml:space="preserve"> et al., 2017). In the case of Havencares, </w:t>
      </w:r>
      <w:r w:rsidRPr="002E2F4F">
        <w:lastRenderedPageBreak/>
        <w:t xml:space="preserve">this is particularly relevant given the high turnover rates, as employees may currently feel that the organisation offers limited long-term value. Development initiatives can therefore act not only </w:t>
      </w:r>
      <w:proofErr w:type="gramStart"/>
      <w:r w:rsidRPr="002E2F4F">
        <w:t>as a way to</w:t>
      </w:r>
      <w:proofErr w:type="gramEnd"/>
      <w:r w:rsidRPr="002E2F4F">
        <w:t xml:space="preserve"> build skills, but also as a signal that the organisation values its staff.</w:t>
      </w:r>
    </w:p>
    <w:p w14:paraId="70BC6F0A" w14:textId="77777777" w:rsidR="003A6D84" w:rsidRPr="002E2F4F" w:rsidRDefault="003A6D84" w:rsidP="003A6D84"/>
    <w:p w14:paraId="07FCBB63" w14:textId="77777777" w:rsidR="003A6D84" w:rsidRPr="002E2F4F" w:rsidRDefault="003A6D84" w:rsidP="003A6D84">
      <w:r w:rsidRPr="002E2F4F">
        <w:t xml:space="preserve">However, it’s important to </w:t>
      </w:r>
      <w:proofErr w:type="spellStart"/>
      <w:r w:rsidRPr="002E2F4F">
        <w:t>recognise</w:t>
      </w:r>
      <w:proofErr w:type="spellEnd"/>
      <w:r w:rsidRPr="002E2F4F">
        <w:t xml:space="preserve"> that development opportunities are not always distributed equally. Research shows that they are often given to high-performing or high-potential employees, which can leave others feeling overlooked (Clarke, 2018). In the Cardiff call centre, this could further disengage longer-serving employees who are already struggling with performance. Because of this, a wellbeing-focused development strategy needs to be inclusive, making sure opportunities are available across different performance levels and stages of employment.</w:t>
      </w:r>
    </w:p>
    <w:p w14:paraId="05AD760C" w14:textId="77777777" w:rsidR="003A6D84" w:rsidRPr="002E2F4F" w:rsidRDefault="003A6D84" w:rsidP="003A6D84"/>
    <w:p w14:paraId="6A965CDC" w14:textId="77777777" w:rsidR="003A6D84" w:rsidRPr="002E2F4F" w:rsidRDefault="003A6D84" w:rsidP="003A6D84">
      <w:r w:rsidRPr="002E2F4F">
        <w:t xml:space="preserve">Another challenge is making sure development aligns with realistic career opportunities. In relatively flat organisations like call centres, there may be limited chances for promotion. This creates a risk that development raises expectations that cannot be met, which can </w:t>
      </w:r>
      <w:proofErr w:type="gramStart"/>
      <w:r w:rsidRPr="002E2F4F">
        <w:t>actually lead</w:t>
      </w:r>
      <w:proofErr w:type="gramEnd"/>
      <w:r w:rsidRPr="002E2F4F">
        <w:t xml:space="preserve"> to frustration rather than improved wellbeing (</w:t>
      </w:r>
      <w:proofErr w:type="spellStart"/>
      <w:r w:rsidRPr="002E2F4F">
        <w:t>Garavan</w:t>
      </w:r>
      <w:proofErr w:type="spellEnd"/>
      <w:r w:rsidRPr="002E2F4F">
        <w:t xml:space="preserve"> et al., 2021). To avoid this, Havencares could take a broader approach to development, focusing not just on promotions but also on things like skill variety, lateral movement, and job enrichment. These options can still give employees a sense of growth, even without traditional career progression.</w:t>
      </w:r>
    </w:p>
    <w:p w14:paraId="25754E19" w14:textId="77777777" w:rsidR="003A6D84" w:rsidRPr="002E2F4F" w:rsidRDefault="003A6D84" w:rsidP="003A6D84"/>
    <w:p w14:paraId="2041D752" w14:textId="77777777" w:rsidR="003A6D84" w:rsidRPr="002E2F4F" w:rsidRDefault="003A6D84" w:rsidP="003A6D84">
      <w:r w:rsidRPr="002E2F4F">
        <w:t>From a theoretical perspective, development supports the need for competence within Self-Determination Theory, which helps to increase motivation and engagement (Deci et al., 2017). Similarly, within the JD-R model, development opportunities can act as important job resources that help employees cope with high demands (Bakker and Demerouti, 2017).</w:t>
      </w:r>
    </w:p>
    <w:p w14:paraId="18EE2E26" w14:textId="77777777" w:rsidR="003A6D84" w:rsidRPr="002E2F4F" w:rsidRDefault="003A6D84" w:rsidP="003A6D84"/>
    <w:p w14:paraId="046D149E" w14:textId="77777777" w:rsidR="003A6D84" w:rsidRPr="002E2F4F" w:rsidRDefault="003A6D84" w:rsidP="003A6D84">
      <w:r w:rsidRPr="002E2F4F">
        <w:t xml:space="preserve">That said, development does not always have a positive impact. If training is poorly designed or creates expectations that cannot be met, it can </w:t>
      </w:r>
      <w:proofErr w:type="gramStart"/>
      <w:r w:rsidRPr="002E2F4F">
        <w:t>actually increase</w:t>
      </w:r>
      <w:proofErr w:type="gramEnd"/>
      <w:r w:rsidRPr="002E2F4F">
        <w:t xml:space="preserve"> stress (</w:t>
      </w:r>
      <w:proofErr w:type="spellStart"/>
      <w:r w:rsidRPr="002E2F4F">
        <w:t>Garavan</w:t>
      </w:r>
      <w:proofErr w:type="spellEnd"/>
      <w:r w:rsidRPr="002E2F4F">
        <w:t xml:space="preserve"> et al., 2021). In the same way, offering development without clear progression opportunities may lead to further dissatisfaction rather than improvement.</w:t>
      </w:r>
    </w:p>
    <w:p w14:paraId="67BC9656" w14:textId="77777777" w:rsidR="003A6D84" w:rsidRPr="002E2F4F" w:rsidRDefault="003A6D84" w:rsidP="003A6D84"/>
    <w:p w14:paraId="1781D6CD" w14:textId="48E05023" w:rsidR="005D1A90" w:rsidRPr="002E2F4F" w:rsidRDefault="003A6D84" w:rsidP="003A6D84">
      <w:r w:rsidRPr="002E2F4F">
        <w:t>For Havencares, a more targeted approach could include structured career pathways, cross-functional training, and job rotation. These could help reduce monotony, improve skill use, and give employees a clearer sense of progression. Leadership development should also be a priority, as the quality of management has a significant impact on employee wellbeing.</w:t>
      </w:r>
    </w:p>
    <w:p w14:paraId="799C0116" w14:textId="77777777" w:rsidR="00A46CCB" w:rsidRPr="002E2F4F" w:rsidRDefault="00A46CCB" w:rsidP="003A6D84"/>
    <w:p w14:paraId="50E80E2A" w14:textId="77777777" w:rsidR="00A46CCB" w:rsidRPr="002E2F4F" w:rsidRDefault="00A46CCB" w:rsidP="00A46CCB">
      <w:r w:rsidRPr="002E2F4F">
        <w:t>Critical Challenges in Implementing Wellbeing Strategies</w:t>
      </w:r>
    </w:p>
    <w:p w14:paraId="71744C1A" w14:textId="77777777" w:rsidR="00A46CCB" w:rsidRPr="002E2F4F" w:rsidRDefault="00A46CCB" w:rsidP="00A46CCB"/>
    <w:p w14:paraId="15988266" w14:textId="77777777" w:rsidR="00A46CCB" w:rsidRPr="002E2F4F" w:rsidRDefault="00A46CCB" w:rsidP="00A46CCB">
      <w:r w:rsidRPr="002E2F4F">
        <w:t xml:space="preserve">Although wellbeing strategies can be beneficial, they are not always easy to implement. One major challenge is measurement, as wellbeing is subjective and difficult to quantify, making it harder to assess whether initiatives are </w:t>
      </w:r>
      <w:proofErr w:type="gramStart"/>
      <w:r w:rsidRPr="002E2F4F">
        <w:t>actually working</w:t>
      </w:r>
      <w:proofErr w:type="gramEnd"/>
      <w:r w:rsidRPr="002E2F4F">
        <w:t xml:space="preserve"> (Grant et al., 2017). There is also the risk of “wellbeing washing,” where organisations introduce visible initiatives without addressing deeper issues, which can lead employees to see these efforts as insincere (Fleming, 2020).</w:t>
      </w:r>
    </w:p>
    <w:p w14:paraId="16CF4DC3" w14:textId="77777777" w:rsidR="00A46CCB" w:rsidRPr="002E2F4F" w:rsidRDefault="00A46CCB" w:rsidP="00A46CCB"/>
    <w:p w14:paraId="40E98746" w14:textId="29E6E8FD" w:rsidR="00A46CCB" w:rsidRPr="002E2F4F" w:rsidRDefault="00A46CCB" w:rsidP="00A46CCB">
      <w:r w:rsidRPr="002E2F4F">
        <w:t xml:space="preserve">Finally, organisational culture plays a key role. If everyday practices don’t match stated values, </w:t>
      </w:r>
      <w:proofErr w:type="gramStart"/>
      <w:r w:rsidRPr="002E2F4F">
        <w:t>wellbeing</w:t>
      </w:r>
      <w:proofErr w:type="gramEnd"/>
      <w:r w:rsidRPr="002E2F4F">
        <w:t xml:space="preserve"> strategies are unlikely to succeed. For Havencares, this means embedding wellbeing into how the business operates, rather than treating it as an add-on.</w:t>
      </w:r>
    </w:p>
    <w:p w14:paraId="0225EEE2" w14:textId="77777777" w:rsidR="00171DB4" w:rsidRPr="002E2F4F" w:rsidRDefault="00171DB4"/>
    <w:p w14:paraId="6751C2C2" w14:textId="77777777" w:rsidR="00A46CCB" w:rsidRPr="002E2F4F" w:rsidRDefault="00A46CCB" w:rsidP="00A46CCB">
      <w:r w:rsidRPr="002E2F4F">
        <w:t>Conclusion</w:t>
      </w:r>
    </w:p>
    <w:p w14:paraId="46A97AFF" w14:textId="77777777" w:rsidR="00A46CCB" w:rsidRPr="002E2F4F" w:rsidRDefault="00A46CCB" w:rsidP="00A46CCB"/>
    <w:p w14:paraId="5E34FE9D" w14:textId="6EE05F67" w:rsidR="00A46CCB" w:rsidRDefault="00A46CCB" w:rsidP="00A46CCB">
      <w:r w:rsidRPr="002E2F4F">
        <w:t xml:space="preserve">The issues facing Havencares’ Cardiff call centre highlight how job design, management practices, and wider economic factors all combine to affect employee wellbeing. High turnover, absence, and falling performance suggest there is an imbalance between the demands placed on staff and the support available to them. While a </w:t>
      </w:r>
      <w:proofErr w:type="gramStart"/>
      <w:r w:rsidRPr="002E2F4F">
        <w:t>wellbeing</w:t>
      </w:r>
      <w:proofErr w:type="gramEnd"/>
      <w:r w:rsidRPr="002E2F4F">
        <w:t xml:space="preserve"> strategy could help, it will only be effective if it is properly aligned with how the organisation operates. Employee development stands out as a key area, as it can improve motivation and engagement, but only if realistic opportunities are provided. Overall, </w:t>
      </w:r>
      <w:r w:rsidRPr="002E2F4F">
        <w:lastRenderedPageBreak/>
        <w:t>Havencares needs a joined-up approach that supports employees while still meeting long-term business goals.</w:t>
      </w:r>
    </w:p>
    <w:p w14:paraId="244E6A42" w14:textId="77777777" w:rsidR="00171DB4" w:rsidRDefault="00171DB4"/>
    <w:p w14:paraId="2DD2D988" w14:textId="77777777" w:rsidR="002E2F4F" w:rsidRDefault="002E2F4F" w:rsidP="002E2F4F">
      <w:r>
        <w:t>Reference List</w:t>
      </w:r>
    </w:p>
    <w:p w14:paraId="0CF00D8D" w14:textId="77777777" w:rsidR="002E2F4F" w:rsidRDefault="002E2F4F" w:rsidP="002E2F4F">
      <w:r>
        <w:t>Arnold, K.A. (2017) ‘Transformational leadership and employee psychological well-being’, Journal of Occupational Health Psychology, 22(3), pp. 381–393.</w:t>
      </w:r>
    </w:p>
    <w:p w14:paraId="70449736" w14:textId="77777777" w:rsidR="002E2F4F" w:rsidRDefault="002E2F4F" w:rsidP="002E2F4F">
      <w:r>
        <w:t>Bakker, A.B. and Demerouti, E. (2017) ‘Job demands–resources theory’, Journal of Occupational Health Psychology, 22(3), pp. 273–285.</w:t>
      </w:r>
    </w:p>
    <w:p w14:paraId="1269ED47" w14:textId="77777777" w:rsidR="002E2F4F" w:rsidRDefault="002E2F4F" w:rsidP="002E2F4F">
      <w:r>
        <w:t>Batt, R. and Moynihan, L. (2020) ‘Human resource practices and turnover’, ILR Review, 73(2), pp. 345–372.</w:t>
      </w:r>
    </w:p>
    <w:p w14:paraId="04C07D9C" w14:textId="77777777" w:rsidR="002E2F4F" w:rsidRDefault="002E2F4F" w:rsidP="002E2F4F">
      <w:r>
        <w:t>Beatty, C., Fothergill, S. and Gore, T. (2019) The state of the regions. London: Routledge.</w:t>
      </w:r>
    </w:p>
    <w:p w14:paraId="679F81B7" w14:textId="77777777" w:rsidR="002E2F4F" w:rsidRDefault="002E2F4F" w:rsidP="002E2F4F">
      <w:r>
        <w:t>CIPD (2023) Health and wellbeing at work report. London: CIPD.</w:t>
      </w:r>
    </w:p>
    <w:p w14:paraId="6D404496" w14:textId="77777777" w:rsidR="002E2F4F" w:rsidRDefault="002E2F4F" w:rsidP="002E2F4F">
      <w:r>
        <w:t>Cooper, C.L. and Dewe, P. (2021) Wellbeing and work. London: Routledge.</w:t>
      </w:r>
    </w:p>
    <w:p w14:paraId="5594190A" w14:textId="77777777" w:rsidR="002E2F4F" w:rsidRDefault="002E2F4F" w:rsidP="002E2F4F">
      <w:r>
        <w:t>Danna, K. and Griffin, R.W. (2020) ‘Health and well-being in the workplace’, Journal of Management, 46(6), pp. 987–1012.</w:t>
      </w:r>
    </w:p>
    <w:p w14:paraId="2D9179DD" w14:textId="77777777" w:rsidR="002E2F4F" w:rsidRDefault="002E2F4F" w:rsidP="002E2F4F">
      <w:r>
        <w:t>Deci, E.L., Olafsen, A.H. and Ryan, R.M. (2017) ‘Self-determination theory in work organizations’, Annual Review of Organizational Psychology, 4, pp. 19–43.</w:t>
      </w:r>
    </w:p>
    <w:p w14:paraId="40FCD5F9" w14:textId="77777777" w:rsidR="002E2F4F" w:rsidRDefault="002E2F4F" w:rsidP="002E2F4F">
      <w:r>
        <w:t xml:space="preserve">Deery, S. and Kinnie, N. (2020) ‘Call </w:t>
      </w:r>
      <w:proofErr w:type="spellStart"/>
      <w:r>
        <w:t>centres</w:t>
      </w:r>
      <w:proofErr w:type="spellEnd"/>
      <w:r>
        <w:t xml:space="preserve"> and HRM’, Human Resource Management Journal, 30(1), pp. 1–17.</w:t>
      </w:r>
    </w:p>
    <w:p w14:paraId="3EA97E42" w14:textId="77777777" w:rsidR="002E2F4F" w:rsidRDefault="002E2F4F" w:rsidP="002E2F4F">
      <w:r>
        <w:t>Fisher, C.D., Bulger, C.A. and Smith, C.S. (2021) ‘Beyond work stress’, Journal of Organizational Behavior, 42(2), pp. 145–160.</w:t>
      </w:r>
    </w:p>
    <w:p w14:paraId="075D8ACA" w14:textId="77777777" w:rsidR="002E2F4F" w:rsidRDefault="002E2F4F" w:rsidP="002E2F4F">
      <w:r>
        <w:t>Fleming, P. (2020) Dark side of wellbeing. London: Sage.</w:t>
      </w:r>
    </w:p>
    <w:p w14:paraId="2AA20E92" w14:textId="77777777" w:rsidR="002E2F4F" w:rsidRDefault="002E2F4F" w:rsidP="002E2F4F">
      <w:proofErr w:type="spellStart"/>
      <w:r>
        <w:t>Garavan</w:t>
      </w:r>
      <w:proofErr w:type="spellEnd"/>
      <w:r>
        <w:t>, T.N. et al. (2021) ‘Strategic HRD research’, Human Resource Development Quarterly, 32(1), pp. 5–43.</w:t>
      </w:r>
    </w:p>
    <w:p w14:paraId="2615D0CE" w14:textId="77777777" w:rsidR="002E2F4F" w:rsidRDefault="002E2F4F" w:rsidP="002E2F4F">
      <w:r>
        <w:t>Grant, A.M., Christianson, M.K. and Price, R.H. (2017) ‘Happiness, health, or relationships?’, Academy of Management Perspectives, 31(4), pp. 282–300.</w:t>
      </w:r>
    </w:p>
    <w:p w14:paraId="2DF8398A" w14:textId="77777777" w:rsidR="002E2F4F" w:rsidRDefault="002E2F4F" w:rsidP="002E2F4F">
      <w:r>
        <w:t>Guest, D.E. (2017) ‘Human resource management and employee well-being’, Human Resource Management Journal, 27(1), pp. 22–38.</w:t>
      </w:r>
    </w:p>
    <w:p w14:paraId="26C440A5" w14:textId="77777777" w:rsidR="002E2F4F" w:rsidRDefault="002E2F4F" w:rsidP="002E2F4F">
      <w:r>
        <w:t>Harter, J.K., Schmidt, F.L. and Keyes, C.L.M. (2020) ‘Well-being and performance’, Journal of Applied Psychology, 105(1), pp. 1–17.</w:t>
      </w:r>
    </w:p>
    <w:p w14:paraId="51F0C7CB" w14:textId="77777777" w:rsidR="002E2F4F" w:rsidRDefault="002E2F4F" w:rsidP="002E2F4F">
      <w:r>
        <w:t xml:space="preserve">Holman, D. (2019) ‘Employee wellbeing in call </w:t>
      </w:r>
      <w:proofErr w:type="spellStart"/>
      <w:r>
        <w:t>centres</w:t>
      </w:r>
      <w:proofErr w:type="spellEnd"/>
      <w:r>
        <w:t>’, Work, Employment and Society, 33(1), pp. 1–18.</w:t>
      </w:r>
    </w:p>
    <w:p w14:paraId="1D2D8606" w14:textId="77777777" w:rsidR="002E2F4F" w:rsidRDefault="002E2F4F" w:rsidP="002E2F4F">
      <w:r>
        <w:t>Krekel, C., Ward, G. and De Neve, J.E. (</w:t>
      </w:r>
      <w:proofErr w:type="gramStart"/>
      <w:r>
        <w:t>2019) ‘</w:t>
      </w:r>
      <w:proofErr w:type="gramEnd"/>
      <w:r>
        <w:t xml:space="preserve">Employee </w:t>
      </w:r>
      <w:proofErr w:type="gramStart"/>
      <w:r>
        <w:t>wellbeing</w:t>
      </w:r>
      <w:proofErr w:type="gramEnd"/>
      <w:r>
        <w:t xml:space="preserve"> and </w:t>
      </w:r>
      <w:proofErr w:type="gramStart"/>
      <w:r>
        <w:t>productivity</w:t>
      </w:r>
      <w:proofErr w:type="gramEnd"/>
      <w:r>
        <w:t>’, World Happiness Report.</w:t>
      </w:r>
    </w:p>
    <w:p w14:paraId="767B4E65" w14:textId="77777777" w:rsidR="002E2F4F" w:rsidRDefault="002E2F4F" w:rsidP="002E2F4F">
      <w:r>
        <w:t>Noe, R.A. et al. (2021) Employee training and development. New York: McGraw-Hill.</w:t>
      </w:r>
    </w:p>
    <w:p w14:paraId="737B7E10" w14:textId="77777777" w:rsidR="002E2F4F" w:rsidRDefault="002E2F4F" w:rsidP="002E2F4F">
      <w:r>
        <w:t>Oswald, A.J., Proto, E. and Sgroi, D. (2015) ‘Happiness and productivity’, Journal of Labor Economics, 33(4), pp. 789–822.</w:t>
      </w:r>
    </w:p>
    <w:p w14:paraId="63A011F0" w14:textId="77777777" w:rsidR="002E2F4F" w:rsidRDefault="002E2F4F" w:rsidP="002E2F4F">
      <w:r>
        <w:t>Parker, S.K. (2017) ‘Work design and employee wellbeing’, Annual Review of Organizational Psychology, 4, pp. 361–387.</w:t>
      </w:r>
    </w:p>
    <w:p w14:paraId="0EDD1435" w14:textId="77777777" w:rsidR="002E2F4F" w:rsidRDefault="002E2F4F" w:rsidP="002E2F4F">
      <w:r>
        <w:t>Schaufeli, W.B. (2021) ‘Applying the JD-R model’, Organizational Dynamics, 50(2), pp. 100–110.</w:t>
      </w:r>
    </w:p>
    <w:p w14:paraId="525CFDEF" w14:textId="77777777" w:rsidR="002E2F4F" w:rsidRDefault="002E2F4F" w:rsidP="002E2F4F">
      <w:r>
        <w:t>Van De Voorde, K., Paauwe, J. and Van Veldhoven, M. (2020) ‘Employee wellbeing and HRM’, Human Resource Management Journal, 30(1), pp. 1–15.</w:t>
      </w:r>
    </w:p>
    <w:p w14:paraId="5FA624D7" w14:textId="54869B01" w:rsidR="002E2F4F" w:rsidRDefault="002E2F4F" w:rsidP="002E2F4F">
      <w:r>
        <w:t xml:space="preserve">Wright, T.A. and </w:t>
      </w:r>
      <w:proofErr w:type="spellStart"/>
      <w:r>
        <w:t>Cropanzano</w:t>
      </w:r>
      <w:proofErr w:type="spellEnd"/>
      <w:r>
        <w:t>, R. (2020) ‘Psychological well-being and job performance’, Journal of Occupational Health Psychology, 25(1), pp. 1–10.</w:t>
      </w:r>
    </w:p>
    <w:p w14:paraId="34E18584" w14:textId="1F1D19C5" w:rsidR="00EB7C2B" w:rsidRDefault="00EB7C2B">
      <w:r>
        <w:br w:type="page"/>
      </w:r>
    </w:p>
    <w:p w14:paraId="4ACBD8CB" w14:textId="77777777" w:rsidR="007E7573" w:rsidRDefault="007E7573"/>
    <w:p w14:paraId="5BEB5524" w14:textId="77777777" w:rsidR="0048120C" w:rsidRDefault="0048120C"/>
    <w:p w14:paraId="6E2E3678" w14:textId="77777777" w:rsidR="00EB7C2B" w:rsidRDefault="00EB7C2B"/>
    <w:p w14:paraId="7DEC851D" w14:textId="77777777" w:rsidR="00EB7C2B" w:rsidRDefault="00EB7C2B"/>
    <w:p w14:paraId="4BD40D04" w14:textId="77777777" w:rsidR="00EB7C2B" w:rsidRDefault="00EB7C2B" w:rsidP="00EB7C2B"/>
    <w:sectPr w:rsidR="00EB7C2B" w:rsidSect="00A61A31">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DC06D" w14:textId="77777777" w:rsidR="00737A97" w:rsidRDefault="00737A97" w:rsidP="00E74B29">
      <w:r>
        <w:separator/>
      </w:r>
    </w:p>
  </w:endnote>
  <w:endnote w:type="continuationSeparator" w:id="0">
    <w:p w14:paraId="66370BE1" w14:textId="77777777" w:rsidR="00737A97" w:rsidRDefault="00737A9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ECA03" w14:textId="77777777" w:rsidR="00737A97" w:rsidRDefault="00737A97" w:rsidP="00E74B29">
      <w:r>
        <w:separator/>
      </w:r>
    </w:p>
  </w:footnote>
  <w:footnote w:type="continuationSeparator" w:id="0">
    <w:p w14:paraId="2C01973C" w14:textId="77777777" w:rsidR="00737A97" w:rsidRDefault="00737A9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9249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EA0"/>
    <w:rsid w:val="00086FA5"/>
    <w:rsid w:val="000E4641"/>
    <w:rsid w:val="000F1373"/>
    <w:rsid w:val="00136BF0"/>
    <w:rsid w:val="00151F66"/>
    <w:rsid w:val="001642B7"/>
    <w:rsid w:val="00171DB4"/>
    <w:rsid w:val="00177F8D"/>
    <w:rsid w:val="00185F4A"/>
    <w:rsid w:val="001E097E"/>
    <w:rsid w:val="001F4B42"/>
    <w:rsid w:val="002D2200"/>
    <w:rsid w:val="002D6F45"/>
    <w:rsid w:val="002E2F4F"/>
    <w:rsid w:val="00371302"/>
    <w:rsid w:val="003A4E42"/>
    <w:rsid w:val="003A6D84"/>
    <w:rsid w:val="0040564B"/>
    <w:rsid w:val="0041740B"/>
    <w:rsid w:val="0048120C"/>
    <w:rsid w:val="004909D9"/>
    <w:rsid w:val="004C5781"/>
    <w:rsid w:val="00521481"/>
    <w:rsid w:val="005A3EA0"/>
    <w:rsid w:val="005D1A90"/>
    <w:rsid w:val="005E598B"/>
    <w:rsid w:val="006468ED"/>
    <w:rsid w:val="00665110"/>
    <w:rsid w:val="006709F1"/>
    <w:rsid w:val="006C60E6"/>
    <w:rsid w:val="006F0BF2"/>
    <w:rsid w:val="00737A97"/>
    <w:rsid w:val="00761CF8"/>
    <w:rsid w:val="007D094F"/>
    <w:rsid w:val="007E7573"/>
    <w:rsid w:val="00822FAF"/>
    <w:rsid w:val="00837914"/>
    <w:rsid w:val="00874FE7"/>
    <w:rsid w:val="008879BC"/>
    <w:rsid w:val="008D2021"/>
    <w:rsid w:val="00952F7D"/>
    <w:rsid w:val="00964F36"/>
    <w:rsid w:val="009A38BA"/>
    <w:rsid w:val="009D2E55"/>
    <w:rsid w:val="00A46CCB"/>
    <w:rsid w:val="00A61A31"/>
    <w:rsid w:val="00A72598"/>
    <w:rsid w:val="00B43E11"/>
    <w:rsid w:val="00BC1E80"/>
    <w:rsid w:val="00BD3EDE"/>
    <w:rsid w:val="00BE53A3"/>
    <w:rsid w:val="00C44EAF"/>
    <w:rsid w:val="00D41D1C"/>
    <w:rsid w:val="00D43125"/>
    <w:rsid w:val="00D66A3A"/>
    <w:rsid w:val="00DF198B"/>
    <w:rsid w:val="00E74B29"/>
    <w:rsid w:val="00EB7C2B"/>
    <w:rsid w:val="00F04ADE"/>
    <w:rsid w:val="00F43D9E"/>
    <w:rsid w:val="00F50E37"/>
    <w:rsid w:val="00FB2F1A"/>
    <w:rsid w:val="00FE3ACE"/>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66799"/>
  <w15:chartTrackingRefBased/>
  <w15:docId w15:val="{91F17482-DD54-4246-B29D-60DF9038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rsid w:val="006F0BF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e\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F4B4E6FBD14478B3AFE51AAC3F9000"/>
        <w:category>
          <w:name w:val="General"/>
          <w:gallery w:val="placeholder"/>
        </w:category>
        <w:types>
          <w:type w:val="bbPlcHdr"/>
        </w:types>
        <w:behaviors>
          <w:behavior w:val="content"/>
        </w:behaviors>
        <w:guid w:val="{6838E4FC-836A-4F28-9C1C-F1842BCE1E59}"/>
      </w:docPartPr>
      <w:docPartBody>
        <w:p w:rsidR="006001C8" w:rsidRDefault="00000000">
          <w:pPr>
            <w:pStyle w:val="DBF4B4E6FBD14478B3AFE51AAC3F9000"/>
          </w:pPr>
          <w:r w:rsidRPr="00DF198B">
            <w:t>—</w:t>
          </w:r>
        </w:p>
      </w:docPartBody>
    </w:docPart>
    <w:docPart>
      <w:docPartPr>
        <w:name w:val="5CB5B75897DF44B3944C3BDED2C1D10C"/>
        <w:category>
          <w:name w:val="General"/>
          <w:gallery w:val="placeholder"/>
        </w:category>
        <w:types>
          <w:type w:val="bbPlcHdr"/>
        </w:types>
        <w:behaviors>
          <w:behavior w:val="content"/>
        </w:behaviors>
        <w:guid w:val="{2C68B504-F1F4-4D20-A79E-BCC7B09C7C8B}"/>
      </w:docPartPr>
      <w:docPartBody>
        <w:p w:rsidR="006001C8" w:rsidRDefault="00000000">
          <w:pPr>
            <w:pStyle w:val="5CB5B75897DF44B3944C3BDED2C1D10C"/>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C3"/>
    <w:rsid w:val="002D6F45"/>
    <w:rsid w:val="00371302"/>
    <w:rsid w:val="0041740B"/>
    <w:rsid w:val="006001C8"/>
    <w:rsid w:val="00626FDE"/>
    <w:rsid w:val="00675EC3"/>
    <w:rsid w:val="00A0000B"/>
    <w:rsid w:val="00E33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F4B4E6FBD14478B3AFE51AAC3F9000">
    <w:name w:val="DBF4B4E6FBD14478B3AFE51AAC3F9000"/>
  </w:style>
  <w:style w:type="paragraph" w:customStyle="1" w:styleId="5CB5B75897DF44B3944C3BDED2C1D10C">
    <w:name w:val="5CB5B75897DF44B3944C3BDED2C1D1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5A0702-CCD0-4866-918D-E48C8587E6A5}">
  <ds:schemaRefs>
    <ds:schemaRef ds:uri="http://schemas.openxmlformats.org/officeDocument/2006/bibliography"/>
  </ds:schemaRefs>
</ds:datastoreItem>
</file>

<file path=customXml/itemProps2.xml><?xml version="1.0" encoding="utf-8"?>
<ds:datastoreItem xmlns:ds="http://schemas.openxmlformats.org/officeDocument/2006/customXml" ds:itemID="{5B78500D-A232-473D-9323-B5F9BB25933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A3BB8769-E0A8-450B-A32F-AD36A1E54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839996-CCC2-4B4B-BB45-A9C641419A3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student report</Template>
  <TotalTime>202</TotalTime>
  <Pages>7</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dc:creator>
  <cp:keywords/>
  <dc:description/>
  <cp:lastModifiedBy>Oliver James (2523576)</cp:lastModifiedBy>
  <cp:revision>4</cp:revision>
  <dcterms:created xsi:type="dcterms:W3CDTF">2026-04-29T11:58:00Z</dcterms:created>
  <dcterms:modified xsi:type="dcterms:W3CDTF">2026-05-01T13:06:00Z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