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oter.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intelligence2.xml" ContentType="application/vnd.ms-office.intelligence2+xml"/>
  <Override PartName="/word/header.xml" ContentType="application/vnd.openxmlformats-officedocument.wordprocessingml.header+xml"/>
  <Override PartName="/word/header2.xml" ContentType="application/vnd.openxmlformats-officedocument.wordprocessingml.head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17EAB9BC" wp14:paraId="797FB7AE" wp14:textId="06EED065">
      <w:pPr>
        <w:spacing w:before="240" w:after="240"/>
        <w:rPr>
          <w:rFonts w:ascii="Aptos" w:hAnsi="Aptos" w:eastAsia="Aptos" w:cs="Aptos"/>
          <w:b w:val="0"/>
          <w:bCs w:val="0"/>
          <w:i w:val="1"/>
          <w:iCs w:val="1"/>
          <w:caps w:val="0"/>
          <w:smallCaps w:val="0"/>
          <w:noProof w:val="0"/>
          <w:color w:val="000000" w:themeColor="text1" w:themeTint="FF" w:themeShade="FF"/>
          <w:sz w:val="24"/>
          <w:szCs w:val="24"/>
          <w:lang w:val="en-GB"/>
        </w:rPr>
      </w:pPr>
    </w:p>
    <w:p xmlns:wp14="http://schemas.microsoft.com/office/word/2010/wordml" w:rsidP="17EAB9BC" wp14:paraId="56F7E222" wp14:textId="1DAE4706">
      <w:pPr>
        <w:spacing w:before="240" w:after="240"/>
        <w:rPr>
          <w:rFonts w:ascii="Aptos" w:hAnsi="Aptos" w:eastAsia="Aptos" w:cs="Aptos"/>
          <w:b w:val="0"/>
          <w:bCs w:val="0"/>
          <w:i w:val="1"/>
          <w:iCs w:val="1"/>
          <w:caps w:val="0"/>
          <w:smallCaps w:val="0"/>
          <w:noProof w:val="0"/>
          <w:color w:val="000000" w:themeColor="text1" w:themeTint="FF" w:themeShade="FF"/>
          <w:sz w:val="24"/>
          <w:szCs w:val="24"/>
          <w:lang w:val="en-GB"/>
        </w:rPr>
      </w:pPr>
    </w:p>
    <w:p xmlns:wp14="http://schemas.microsoft.com/office/word/2010/wordml" w:rsidP="17EAB9BC" wp14:paraId="097D6776" wp14:textId="4FA70C01">
      <w:pPr>
        <w:spacing w:before="240" w:after="240"/>
        <w:rPr>
          <w:rFonts w:ascii="Aptos" w:hAnsi="Aptos" w:eastAsia="Aptos" w:cs="Aptos"/>
          <w:b w:val="0"/>
          <w:bCs w:val="0"/>
          <w:i w:val="1"/>
          <w:iCs w:val="1"/>
          <w:caps w:val="0"/>
          <w:smallCaps w:val="0"/>
          <w:noProof w:val="0"/>
          <w:color w:val="000000" w:themeColor="text1" w:themeTint="FF" w:themeShade="FF"/>
          <w:sz w:val="24"/>
          <w:szCs w:val="24"/>
          <w:lang w:val="en-GB"/>
        </w:rPr>
      </w:pPr>
    </w:p>
    <w:p xmlns:wp14="http://schemas.microsoft.com/office/word/2010/wordml" w:rsidP="17EAB9BC" wp14:paraId="151F7CDC" wp14:textId="5D96B784">
      <w:pPr>
        <w:spacing w:before="240" w:after="240"/>
        <w:rPr>
          <w:rFonts w:ascii="Aptos" w:hAnsi="Aptos" w:eastAsia="Aptos" w:cs="Aptos"/>
          <w:b w:val="0"/>
          <w:bCs w:val="0"/>
          <w:i w:val="1"/>
          <w:iCs w:val="1"/>
          <w:caps w:val="0"/>
          <w:smallCaps w:val="0"/>
          <w:noProof w:val="0"/>
          <w:color w:val="000000" w:themeColor="text1" w:themeTint="FF" w:themeShade="FF"/>
          <w:sz w:val="24"/>
          <w:szCs w:val="24"/>
          <w:lang w:val="en-GB"/>
        </w:rPr>
      </w:pPr>
    </w:p>
    <w:p xmlns:wp14="http://schemas.microsoft.com/office/word/2010/wordml" w:rsidP="17EAB9BC" wp14:paraId="1CFFE085" wp14:textId="5E510FE1">
      <w:pPr>
        <w:spacing w:before="240" w:after="240"/>
        <w:rPr>
          <w:rFonts w:ascii="Aptos" w:hAnsi="Aptos" w:eastAsia="Aptos" w:cs="Aptos"/>
          <w:b w:val="0"/>
          <w:bCs w:val="0"/>
          <w:i w:val="1"/>
          <w:iCs w:val="1"/>
          <w:caps w:val="0"/>
          <w:smallCaps w:val="0"/>
          <w:noProof w:val="0"/>
          <w:color w:val="000000" w:themeColor="text1" w:themeTint="FF" w:themeShade="FF"/>
          <w:sz w:val="24"/>
          <w:szCs w:val="24"/>
          <w:lang w:val="en-GB"/>
        </w:rPr>
      </w:pPr>
    </w:p>
    <w:p xmlns:wp14="http://schemas.microsoft.com/office/word/2010/wordml" w:rsidP="17EAB9BC" wp14:paraId="11841374" wp14:textId="0E15094C">
      <w:pPr>
        <w:spacing w:before="240" w:after="240"/>
        <w:rPr>
          <w:rFonts w:ascii="Aptos" w:hAnsi="Aptos" w:eastAsia="Aptos" w:cs="Aptos"/>
          <w:b w:val="0"/>
          <w:bCs w:val="0"/>
          <w:i w:val="1"/>
          <w:iCs w:val="1"/>
          <w:caps w:val="0"/>
          <w:smallCaps w:val="0"/>
          <w:noProof w:val="0"/>
          <w:color w:val="000000" w:themeColor="text1" w:themeTint="FF" w:themeShade="FF"/>
          <w:sz w:val="24"/>
          <w:szCs w:val="24"/>
          <w:lang w:val="en-GB"/>
        </w:rPr>
      </w:pPr>
    </w:p>
    <w:p xmlns:wp14="http://schemas.microsoft.com/office/word/2010/wordml" w:rsidP="17EAB9BC" wp14:paraId="3C653274" wp14:textId="3EB72F4B">
      <w:pPr>
        <w:spacing w:before="240" w:after="240"/>
        <w:rPr>
          <w:rFonts w:ascii="Aptos" w:hAnsi="Aptos" w:eastAsia="Aptos" w:cs="Aptos"/>
          <w:b w:val="0"/>
          <w:bCs w:val="0"/>
          <w:i w:val="1"/>
          <w:iCs w:val="1"/>
          <w:caps w:val="0"/>
          <w:smallCaps w:val="0"/>
          <w:noProof w:val="0"/>
          <w:color w:val="000000" w:themeColor="text1" w:themeTint="FF" w:themeShade="FF"/>
          <w:sz w:val="24"/>
          <w:szCs w:val="24"/>
          <w:lang w:val="en-GB"/>
        </w:rPr>
      </w:pPr>
    </w:p>
    <w:p xmlns:wp14="http://schemas.microsoft.com/office/word/2010/wordml" w:rsidP="17EAB9BC" wp14:paraId="7FFC524C" wp14:textId="6A9EC9FD">
      <w:pPr>
        <w:spacing w:before="240" w:after="240"/>
        <w:rPr>
          <w:rFonts w:ascii="Aptos" w:hAnsi="Aptos" w:eastAsia="Aptos" w:cs="Aptos"/>
          <w:b w:val="0"/>
          <w:bCs w:val="0"/>
          <w:i w:val="1"/>
          <w:iCs w:val="1"/>
          <w:caps w:val="0"/>
          <w:smallCaps w:val="0"/>
          <w:noProof w:val="0"/>
          <w:color w:val="000000" w:themeColor="text1" w:themeTint="FF" w:themeShade="FF"/>
          <w:sz w:val="24"/>
          <w:szCs w:val="24"/>
          <w:lang w:val="en-GB"/>
        </w:rPr>
      </w:pPr>
    </w:p>
    <w:p xmlns:wp14="http://schemas.microsoft.com/office/word/2010/wordml" w:rsidP="17EAB9BC" wp14:paraId="21696C6E" wp14:textId="564A01F9">
      <w:pPr>
        <w:spacing w:before="240" w:after="240"/>
        <w:rPr>
          <w:rFonts w:ascii="Aptos" w:hAnsi="Aptos" w:eastAsia="Aptos" w:cs="Aptos"/>
          <w:b w:val="0"/>
          <w:bCs w:val="0"/>
          <w:i w:val="1"/>
          <w:iCs w:val="1"/>
          <w:caps w:val="0"/>
          <w:smallCaps w:val="0"/>
          <w:noProof w:val="0"/>
          <w:color w:val="000000" w:themeColor="text1" w:themeTint="FF" w:themeShade="FF"/>
          <w:sz w:val="24"/>
          <w:szCs w:val="24"/>
          <w:lang w:val="en-GB"/>
        </w:rPr>
      </w:pPr>
    </w:p>
    <w:p xmlns:wp14="http://schemas.microsoft.com/office/word/2010/wordml" w:rsidP="6A2E2E1E" wp14:paraId="4123F7EE" wp14:textId="27A3E939">
      <w:pPr>
        <w:spacing w:before="240" w:after="240"/>
        <w:jc w:val="center"/>
        <w:rPr>
          <w:rFonts w:ascii="Times New Roman" w:hAnsi="Times New Roman" w:eastAsia="Times New Roman" w:cs="Times New Roman"/>
          <w:b w:val="0"/>
          <w:bCs w:val="0"/>
          <w:i w:val="0"/>
          <w:iCs w:val="0"/>
          <w:caps w:val="0"/>
          <w:smallCaps w:val="0"/>
          <w:noProof w:val="0"/>
          <w:color w:val="000000" w:themeColor="text1" w:themeTint="FF" w:themeShade="FF"/>
          <w:sz w:val="96"/>
          <w:szCs w:val="96"/>
          <w:lang w:val="en-GB"/>
        </w:rPr>
      </w:pPr>
      <w:r w:rsidRPr="6A2E2E1E" w:rsidR="2F77993C">
        <w:rPr>
          <w:rFonts w:ascii="Times New Roman" w:hAnsi="Times New Roman" w:eastAsia="Times New Roman" w:cs="Times New Roman"/>
          <w:b w:val="0"/>
          <w:bCs w:val="0"/>
          <w:i w:val="0"/>
          <w:iCs w:val="0"/>
          <w:caps w:val="0"/>
          <w:smallCaps w:val="0"/>
          <w:noProof w:val="0"/>
          <w:color w:val="000000" w:themeColor="text1" w:themeTint="FF" w:themeShade="FF"/>
          <w:sz w:val="96"/>
          <w:szCs w:val="96"/>
          <w:lang w:val="en-GB"/>
        </w:rPr>
        <w:t>Law reform pr</w:t>
      </w:r>
      <w:r w:rsidRPr="6A2E2E1E" w:rsidR="24D6FF98">
        <w:rPr>
          <w:rFonts w:ascii="Times New Roman" w:hAnsi="Times New Roman" w:eastAsia="Times New Roman" w:cs="Times New Roman"/>
          <w:b w:val="0"/>
          <w:bCs w:val="0"/>
          <w:i w:val="0"/>
          <w:iCs w:val="0"/>
          <w:caps w:val="0"/>
          <w:smallCaps w:val="0"/>
          <w:noProof w:val="0"/>
          <w:color w:val="000000" w:themeColor="text1" w:themeTint="FF" w:themeShade="FF"/>
          <w:sz w:val="96"/>
          <w:szCs w:val="96"/>
          <w:lang w:val="en-GB"/>
        </w:rPr>
        <w:t>oject</w:t>
      </w:r>
    </w:p>
    <w:p w:rsidR="159D74D5" w:rsidP="159D74D5" w:rsidRDefault="159D74D5" w14:paraId="62E611F3" w14:textId="10DCE344">
      <w:pPr>
        <w:spacing w:before="240" w:after="240"/>
        <w:jc w:val="center"/>
        <w:rPr>
          <w:rFonts w:ascii="Times New Roman" w:hAnsi="Times New Roman" w:eastAsia="Times New Roman" w:cs="Times New Roman"/>
          <w:b w:val="0"/>
          <w:bCs w:val="0"/>
          <w:i w:val="1"/>
          <w:iCs w:val="1"/>
          <w:caps w:val="0"/>
          <w:smallCaps w:val="0"/>
          <w:noProof w:val="0"/>
          <w:color w:val="000000" w:themeColor="text1" w:themeTint="FF" w:themeShade="FF"/>
          <w:sz w:val="96"/>
          <w:szCs w:val="96"/>
          <w:lang w:val="en-GB"/>
        </w:rPr>
      </w:pPr>
    </w:p>
    <w:p w:rsidR="159D74D5" w:rsidP="159D74D5" w:rsidRDefault="159D74D5" w14:paraId="1CFC04C1" w14:textId="7A9C2445">
      <w:pPr>
        <w:spacing w:before="240" w:after="240"/>
        <w:jc w:val="center"/>
        <w:rPr>
          <w:rFonts w:ascii="Times New Roman" w:hAnsi="Times New Roman" w:eastAsia="Times New Roman" w:cs="Times New Roman"/>
          <w:b w:val="0"/>
          <w:bCs w:val="0"/>
          <w:i w:val="1"/>
          <w:iCs w:val="1"/>
          <w:caps w:val="0"/>
          <w:smallCaps w:val="0"/>
          <w:noProof w:val="0"/>
          <w:color w:val="000000" w:themeColor="text1" w:themeTint="FF" w:themeShade="FF"/>
          <w:sz w:val="96"/>
          <w:szCs w:val="96"/>
          <w:lang w:val="en-GB"/>
        </w:rPr>
      </w:pPr>
    </w:p>
    <w:p w:rsidR="159D74D5" w:rsidP="159D74D5" w:rsidRDefault="159D74D5" w14:paraId="76F2E45B" w14:textId="0FB249FA">
      <w:pPr>
        <w:spacing w:before="240" w:after="240"/>
        <w:jc w:val="center"/>
        <w:rPr>
          <w:rFonts w:ascii="Times New Roman" w:hAnsi="Times New Roman" w:eastAsia="Times New Roman" w:cs="Times New Roman"/>
          <w:b w:val="0"/>
          <w:bCs w:val="0"/>
          <w:i w:val="1"/>
          <w:iCs w:val="1"/>
          <w:caps w:val="0"/>
          <w:smallCaps w:val="0"/>
          <w:noProof w:val="0"/>
          <w:color w:val="000000" w:themeColor="text1" w:themeTint="FF" w:themeShade="FF"/>
          <w:sz w:val="96"/>
          <w:szCs w:val="96"/>
          <w:lang w:val="en-GB"/>
        </w:rPr>
      </w:pPr>
    </w:p>
    <w:p w:rsidR="159D74D5" w:rsidP="6A2E2E1E" w:rsidRDefault="159D74D5" w14:paraId="4354153A" w14:textId="77C967D1">
      <w:pPr>
        <w:pStyle w:val="Normal"/>
        <w:spacing w:before="240" w:after="240" w:line="276" w:lineRule="auto"/>
        <w:jc w:val="center"/>
        <w:rPr>
          <w:rFonts w:ascii="Times New Roman" w:hAnsi="Times New Roman" w:eastAsia="Times New Roman" w:cs="Times New Roman"/>
          <w:b w:val="0"/>
          <w:bCs w:val="0"/>
          <w:i w:val="1"/>
          <w:iCs w:val="1"/>
          <w:caps w:val="0"/>
          <w:smallCaps w:val="0"/>
          <w:noProof w:val="0"/>
          <w:color w:val="000000" w:themeColor="text1" w:themeTint="FF" w:themeShade="FF"/>
          <w:sz w:val="96"/>
          <w:szCs w:val="96"/>
          <w:lang w:val="en-GB"/>
        </w:rPr>
      </w:pPr>
    </w:p>
    <w:p xmlns:wp14="http://schemas.microsoft.com/office/word/2010/wordml" w:rsidP="159D74D5" wp14:paraId="1E94BF6C" wp14:textId="39906CF0">
      <w:pPr>
        <w:pStyle w:val="Normal"/>
        <w:spacing w:line="276" w:lineRule="auto"/>
        <w:jc w:val="both"/>
        <w:rPr>
          <w:rFonts w:ascii="Times New Roman" w:hAnsi="Times New Roman" w:eastAsia="Times New Roman" w:cs="Times New Roman"/>
          <w:b w:val="1"/>
          <w:bCs w:val="1"/>
          <w:i w:val="0"/>
          <w:iCs w:val="0"/>
          <w:caps w:val="0"/>
          <w:smallCaps w:val="0"/>
          <w:noProof w:val="0"/>
          <w:color w:val="000000" w:themeColor="text1" w:themeTint="FF" w:themeShade="FF"/>
          <w:sz w:val="24"/>
          <w:szCs w:val="24"/>
          <w:u w:val="single"/>
          <w:lang w:val="en-GB"/>
        </w:rPr>
      </w:pPr>
      <w:r w:rsidRPr="159D74D5" w:rsidR="79475B6B">
        <w:rPr>
          <w:rFonts w:ascii="Times New Roman" w:hAnsi="Times New Roman" w:eastAsia="Times New Roman" w:cs="Times New Roman"/>
          <w:b w:val="1"/>
          <w:bCs w:val="1"/>
          <w:i w:val="0"/>
          <w:iCs w:val="0"/>
          <w:caps w:val="0"/>
          <w:smallCaps w:val="0"/>
          <w:noProof w:val="0"/>
          <w:color w:val="000000" w:themeColor="text1" w:themeTint="FF" w:themeShade="FF"/>
          <w:sz w:val="24"/>
          <w:szCs w:val="24"/>
          <w:u w:val="single"/>
          <w:lang w:val="en-GB"/>
        </w:rPr>
        <w:t>Introduction</w:t>
      </w:r>
    </w:p>
    <w:p w:rsidR="431DFB3F" w:rsidP="4D7FB765" w:rsidRDefault="431DFB3F" w14:paraId="6FD45139" w14:textId="0A8F1D4D">
      <w:pPr>
        <w:pStyle w:val="Normal"/>
        <w:spacing w:line="276" w:lineRule="auto"/>
        <w:jc w:val="both"/>
        <w:rPr>
          <w:rFonts w:ascii="Times New Roman" w:hAnsi="Times New Roman" w:eastAsia="Times New Roman" w:cs="Times New Roman"/>
          <w:noProof w:val="0"/>
          <w:sz w:val="24"/>
          <w:szCs w:val="24"/>
          <w:lang w:val="en-GB"/>
        </w:rPr>
      </w:pPr>
      <w:r w:rsidRPr="6AF4FF10" w:rsidR="691EF442">
        <w:rPr>
          <w:rFonts w:ascii="Times New Roman" w:hAnsi="Times New Roman" w:eastAsia="Times New Roman" w:cs="Times New Roman"/>
          <w:noProof w:val="0"/>
          <w:sz w:val="24"/>
          <w:szCs w:val="24"/>
          <w:lang w:val="en-GB"/>
        </w:rPr>
        <w:t xml:space="preserve">This Bill aims to </w:t>
      </w:r>
      <w:r w:rsidRPr="6AF4FF10" w:rsidR="691EF442">
        <w:rPr>
          <w:rFonts w:ascii="Times New Roman" w:hAnsi="Times New Roman" w:eastAsia="Times New Roman" w:cs="Times New Roman"/>
          <w:noProof w:val="0"/>
          <w:sz w:val="24"/>
          <w:szCs w:val="24"/>
          <w:lang w:val="en-GB"/>
        </w:rPr>
        <w:t>establish</w:t>
      </w:r>
      <w:r w:rsidRPr="6AF4FF10" w:rsidR="691EF442">
        <w:rPr>
          <w:rFonts w:ascii="Times New Roman" w:hAnsi="Times New Roman" w:eastAsia="Times New Roman" w:cs="Times New Roman"/>
          <w:noProof w:val="0"/>
          <w:sz w:val="24"/>
          <w:szCs w:val="24"/>
          <w:lang w:val="en-GB"/>
        </w:rPr>
        <w:t xml:space="preserve"> guidelines for trustee discretion, specify which types of trust documents are susceptible to disclosure, and control trustees’ obligations to inform beneficiaries. Watt (2021), states that a beneficiary’s fundamental right is to have the trust properly administered in compliance with both the common law and the terms of the trust instrument</w:t>
      </w:r>
      <w:r w:rsidRPr="6AF4FF10" w:rsidR="691EF442">
        <w:rPr>
          <w:rFonts w:ascii="Times New Roman" w:hAnsi="Times New Roman" w:eastAsia="Times New Roman" w:cs="Times New Roman"/>
          <w:noProof w:val="0"/>
          <w:sz w:val="24"/>
          <w:szCs w:val="24"/>
          <w:lang w:val="en-GB"/>
        </w:rPr>
        <w:t xml:space="preserve">. </w:t>
      </w:r>
      <w:r w:rsidRPr="6AF4FF10" w:rsidR="691EF442">
        <w:rPr>
          <w:rFonts w:ascii="Times New Roman" w:hAnsi="Times New Roman" w:eastAsia="Times New Roman" w:cs="Times New Roman"/>
          <w:noProof w:val="0"/>
          <w:sz w:val="24"/>
          <w:szCs w:val="24"/>
          <w:lang w:val="en-GB"/>
        </w:rPr>
        <w:t xml:space="preserve">According to the ruling in Armitage v Nurse [1998], trustees </w:t>
      </w:r>
      <w:r w:rsidRPr="6AF4FF10" w:rsidR="691EF442">
        <w:rPr>
          <w:rFonts w:ascii="Times New Roman" w:hAnsi="Times New Roman" w:eastAsia="Times New Roman" w:cs="Times New Roman"/>
          <w:noProof w:val="0"/>
          <w:sz w:val="24"/>
          <w:szCs w:val="24"/>
          <w:lang w:val="en-GB"/>
        </w:rPr>
        <w:t>are required to</w:t>
      </w:r>
      <w:r w:rsidRPr="6AF4FF10" w:rsidR="691EF442">
        <w:rPr>
          <w:rFonts w:ascii="Times New Roman" w:hAnsi="Times New Roman" w:eastAsia="Times New Roman" w:cs="Times New Roman"/>
          <w:noProof w:val="0"/>
          <w:sz w:val="24"/>
          <w:szCs w:val="24"/>
          <w:lang w:val="en-GB"/>
        </w:rPr>
        <w:t xml:space="preserve"> notify beneficiaries of any relevant information </w:t>
      </w:r>
      <w:r w:rsidRPr="6AF4FF10" w:rsidR="691EF442">
        <w:rPr>
          <w:rFonts w:ascii="Times New Roman" w:hAnsi="Times New Roman" w:eastAsia="Times New Roman" w:cs="Times New Roman"/>
          <w:noProof w:val="0"/>
          <w:sz w:val="24"/>
          <w:szCs w:val="24"/>
          <w:lang w:val="en-GB"/>
        </w:rPr>
        <w:t>regarding</w:t>
      </w:r>
      <w:r w:rsidRPr="6AF4FF10" w:rsidR="691EF442">
        <w:rPr>
          <w:rFonts w:ascii="Times New Roman" w:hAnsi="Times New Roman" w:eastAsia="Times New Roman" w:cs="Times New Roman"/>
          <w:noProof w:val="0"/>
          <w:sz w:val="24"/>
          <w:szCs w:val="24"/>
          <w:lang w:val="en-GB"/>
        </w:rPr>
        <w:t xml:space="preserve"> the trust. This </w:t>
      </w:r>
      <w:r w:rsidRPr="6AF4FF10" w:rsidR="6743F53B">
        <w:rPr>
          <w:rFonts w:ascii="Times New Roman" w:hAnsi="Times New Roman" w:eastAsia="Times New Roman" w:cs="Times New Roman"/>
          <w:noProof w:val="0"/>
          <w:sz w:val="24"/>
          <w:szCs w:val="24"/>
          <w:lang w:val="en-GB"/>
        </w:rPr>
        <w:t>B</w:t>
      </w:r>
      <w:r w:rsidRPr="6AF4FF10" w:rsidR="691EF442">
        <w:rPr>
          <w:rFonts w:ascii="Times New Roman" w:hAnsi="Times New Roman" w:eastAsia="Times New Roman" w:cs="Times New Roman"/>
          <w:noProof w:val="0"/>
          <w:sz w:val="24"/>
          <w:szCs w:val="24"/>
          <w:lang w:val="en-GB"/>
        </w:rPr>
        <w:t xml:space="preserve">ill’s goal is to provide suitable legislation </w:t>
      </w:r>
      <w:r w:rsidRPr="6AF4FF10" w:rsidR="691EF442">
        <w:rPr>
          <w:rFonts w:ascii="Times New Roman" w:hAnsi="Times New Roman" w:eastAsia="Times New Roman" w:cs="Times New Roman"/>
          <w:noProof w:val="0"/>
          <w:sz w:val="24"/>
          <w:szCs w:val="24"/>
          <w:lang w:val="en-GB"/>
        </w:rPr>
        <w:t>pertaining to</w:t>
      </w:r>
      <w:r w:rsidRPr="6AF4FF10" w:rsidR="691EF442">
        <w:rPr>
          <w:rFonts w:ascii="Times New Roman" w:hAnsi="Times New Roman" w:eastAsia="Times New Roman" w:cs="Times New Roman"/>
          <w:noProof w:val="0"/>
          <w:sz w:val="24"/>
          <w:szCs w:val="24"/>
          <w:lang w:val="en-GB"/>
        </w:rPr>
        <w:t xml:space="preserve"> these rights and precedents. The Schmidt v Rosewood Trust Ltd [2003] ruling made it clear that beneficiaries ought to have more access to</w:t>
      </w:r>
      <w:r w:rsidRPr="6AF4FF10" w:rsidR="2FFC4037">
        <w:rPr>
          <w:rFonts w:ascii="Times New Roman" w:hAnsi="Times New Roman" w:eastAsia="Times New Roman" w:cs="Times New Roman"/>
          <w:noProof w:val="0"/>
          <w:sz w:val="24"/>
          <w:szCs w:val="24"/>
          <w:lang w:val="en-GB"/>
        </w:rPr>
        <w:t xml:space="preserve"> </w:t>
      </w:r>
      <w:r w:rsidRPr="6AF4FF10" w:rsidR="691EF442">
        <w:rPr>
          <w:rFonts w:ascii="Times New Roman" w:hAnsi="Times New Roman" w:eastAsia="Times New Roman" w:cs="Times New Roman"/>
          <w:noProof w:val="0"/>
          <w:sz w:val="24"/>
          <w:szCs w:val="24"/>
          <w:lang w:val="en-GB"/>
        </w:rPr>
        <w:t xml:space="preserve">information they require </w:t>
      </w:r>
      <w:r w:rsidRPr="6AF4FF10" w:rsidR="691EF442">
        <w:rPr>
          <w:rFonts w:ascii="Times New Roman" w:hAnsi="Times New Roman" w:eastAsia="Times New Roman" w:cs="Times New Roman"/>
          <w:noProof w:val="0"/>
          <w:sz w:val="24"/>
          <w:szCs w:val="24"/>
          <w:lang w:val="en-GB"/>
        </w:rPr>
        <w:t>regarding</w:t>
      </w:r>
      <w:r w:rsidRPr="6AF4FF10" w:rsidR="691EF442">
        <w:rPr>
          <w:rFonts w:ascii="Times New Roman" w:hAnsi="Times New Roman" w:eastAsia="Times New Roman" w:cs="Times New Roman"/>
          <w:noProof w:val="0"/>
          <w:sz w:val="24"/>
          <w:szCs w:val="24"/>
          <w:lang w:val="en-GB"/>
        </w:rPr>
        <w:t xml:space="preserve"> the trusts. The decision </w:t>
      </w:r>
      <w:r w:rsidRPr="6AF4FF10" w:rsidR="691EF442">
        <w:rPr>
          <w:rFonts w:ascii="Times New Roman" w:hAnsi="Times New Roman" w:eastAsia="Times New Roman" w:cs="Times New Roman"/>
          <w:noProof w:val="0"/>
          <w:sz w:val="24"/>
          <w:szCs w:val="24"/>
          <w:lang w:val="en-GB"/>
        </w:rPr>
        <w:t>established</w:t>
      </w:r>
      <w:r w:rsidRPr="6AF4FF10" w:rsidR="691EF442">
        <w:rPr>
          <w:rFonts w:ascii="Times New Roman" w:hAnsi="Times New Roman" w:eastAsia="Times New Roman" w:cs="Times New Roman"/>
          <w:noProof w:val="0"/>
          <w:sz w:val="24"/>
          <w:szCs w:val="24"/>
          <w:lang w:val="en-GB"/>
        </w:rPr>
        <w:t xml:space="preserve"> that the courts oversee and, if needed, intervene in the publication of trust documents. </w:t>
      </w:r>
    </w:p>
    <w:p w:rsidR="0F939C7F" w:rsidP="4D7FB765" w:rsidRDefault="0F939C7F" w14:paraId="635B455E" w14:textId="29AD5C2E">
      <w:pPr>
        <w:pStyle w:val="Normal"/>
        <w:spacing w:line="276" w:lineRule="auto"/>
        <w:jc w:val="both"/>
        <w:rPr>
          <w:rFonts w:ascii="Times New Roman" w:hAnsi="Times New Roman" w:eastAsia="Times New Roman" w:cs="Times New Roman"/>
          <w:noProof w:val="0"/>
          <w:sz w:val="24"/>
          <w:szCs w:val="24"/>
          <w:lang w:val="en-GB"/>
        </w:rPr>
      </w:pPr>
      <w:r w:rsidRPr="6AF4FF10" w:rsidR="0F939C7F">
        <w:rPr>
          <w:rFonts w:ascii="Times New Roman" w:hAnsi="Times New Roman" w:eastAsia="Times New Roman" w:cs="Times New Roman"/>
          <w:noProof w:val="0"/>
          <w:sz w:val="24"/>
          <w:szCs w:val="24"/>
          <w:lang w:val="en-GB"/>
        </w:rPr>
        <w:t xml:space="preserve">According to Gardener (2022), </w:t>
      </w:r>
      <w:r w:rsidRPr="6AF4FF10" w:rsidR="73AAC7CA">
        <w:rPr>
          <w:rFonts w:ascii="Times New Roman" w:hAnsi="Times New Roman" w:eastAsia="Times New Roman" w:cs="Times New Roman"/>
          <w:noProof w:val="0"/>
          <w:sz w:val="24"/>
          <w:szCs w:val="24"/>
          <w:lang w:val="en-GB"/>
        </w:rPr>
        <w:t xml:space="preserve">beneficiaries have the right to be informed </w:t>
      </w:r>
      <w:r w:rsidRPr="6AF4FF10" w:rsidR="58A950C0">
        <w:rPr>
          <w:rFonts w:ascii="Times New Roman" w:hAnsi="Times New Roman" w:eastAsia="Times New Roman" w:cs="Times New Roman"/>
          <w:noProof w:val="0"/>
          <w:sz w:val="24"/>
          <w:szCs w:val="24"/>
          <w:lang w:val="en-GB"/>
        </w:rPr>
        <w:t xml:space="preserve">on the </w:t>
      </w:r>
      <w:r w:rsidRPr="6AF4FF10" w:rsidR="085A6758">
        <w:rPr>
          <w:rFonts w:ascii="Times New Roman" w:hAnsi="Times New Roman" w:eastAsia="Times New Roman" w:cs="Times New Roman"/>
          <w:noProof w:val="0"/>
          <w:sz w:val="24"/>
          <w:szCs w:val="24"/>
          <w:lang w:val="en-GB"/>
        </w:rPr>
        <w:t>presence</w:t>
      </w:r>
      <w:r w:rsidRPr="6AF4FF10" w:rsidR="6C8C7D6D">
        <w:rPr>
          <w:rFonts w:ascii="Times New Roman" w:hAnsi="Times New Roman" w:eastAsia="Times New Roman" w:cs="Times New Roman"/>
          <w:noProof w:val="0"/>
          <w:sz w:val="24"/>
          <w:szCs w:val="24"/>
          <w:lang w:val="en-GB"/>
        </w:rPr>
        <w:t xml:space="preserve"> </w:t>
      </w:r>
      <w:r w:rsidRPr="6AF4FF10" w:rsidR="085A6758">
        <w:rPr>
          <w:rFonts w:ascii="Times New Roman" w:hAnsi="Times New Roman" w:eastAsia="Times New Roman" w:cs="Times New Roman"/>
          <w:noProof w:val="0"/>
          <w:sz w:val="24"/>
          <w:szCs w:val="24"/>
          <w:lang w:val="en-GB"/>
        </w:rPr>
        <w:t>of their trust and their interest in</w:t>
      </w:r>
      <w:r w:rsidRPr="6AF4FF10" w:rsidR="0C211761">
        <w:rPr>
          <w:rFonts w:ascii="Times New Roman" w:hAnsi="Times New Roman" w:eastAsia="Times New Roman" w:cs="Times New Roman"/>
          <w:noProof w:val="0"/>
          <w:sz w:val="24"/>
          <w:szCs w:val="24"/>
          <w:lang w:val="en-GB"/>
        </w:rPr>
        <w:t xml:space="preserve"> it</w:t>
      </w:r>
      <w:r w:rsidRPr="6AF4FF10" w:rsidR="5B5FFA62">
        <w:rPr>
          <w:rFonts w:ascii="Times New Roman" w:hAnsi="Times New Roman" w:eastAsia="Times New Roman" w:cs="Times New Roman"/>
          <w:noProof w:val="0"/>
          <w:sz w:val="24"/>
          <w:szCs w:val="24"/>
          <w:lang w:val="en-GB"/>
        </w:rPr>
        <w:t>.</w:t>
      </w:r>
      <w:r w:rsidRPr="6AF4FF10" w:rsidR="41A1CA09">
        <w:rPr>
          <w:rFonts w:ascii="Times New Roman" w:hAnsi="Times New Roman" w:eastAsia="Times New Roman" w:cs="Times New Roman"/>
          <w:noProof w:val="0"/>
          <w:sz w:val="24"/>
          <w:szCs w:val="24"/>
          <w:lang w:val="en-GB"/>
        </w:rPr>
        <w:t xml:space="preserve"> </w:t>
      </w:r>
      <w:r w:rsidRPr="6AF4FF10" w:rsidR="5B5FFA62">
        <w:rPr>
          <w:rFonts w:ascii="Times New Roman" w:hAnsi="Times New Roman" w:eastAsia="Times New Roman" w:cs="Times New Roman"/>
          <w:noProof w:val="0"/>
          <w:sz w:val="24"/>
          <w:szCs w:val="24"/>
          <w:lang w:val="en-GB"/>
        </w:rPr>
        <w:t>This is justifiable considering the financials such as in</w:t>
      </w:r>
      <w:r w:rsidRPr="6AF4FF10" w:rsidR="17BC4407">
        <w:rPr>
          <w:rFonts w:ascii="Times New Roman" w:hAnsi="Times New Roman" w:eastAsia="Times New Roman" w:cs="Times New Roman"/>
          <w:noProof w:val="0"/>
          <w:sz w:val="24"/>
          <w:szCs w:val="24"/>
          <w:lang w:val="en-GB"/>
        </w:rPr>
        <w:t xml:space="preserve">come/inheritance tax </w:t>
      </w:r>
      <w:r w:rsidRPr="6AF4FF10" w:rsidR="5E5380F9">
        <w:rPr>
          <w:rFonts w:ascii="Times New Roman" w:hAnsi="Times New Roman" w:eastAsia="Times New Roman" w:cs="Times New Roman"/>
          <w:noProof w:val="0"/>
          <w:sz w:val="24"/>
          <w:szCs w:val="24"/>
          <w:lang w:val="en-GB"/>
        </w:rPr>
        <w:t xml:space="preserve">are </w:t>
      </w:r>
      <w:r w:rsidRPr="6AF4FF10" w:rsidR="17BC4407">
        <w:rPr>
          <w:rFonts w:ascii="Times New Roman" w:hAnsi="Times New Roman" w:eastAsia="Times New Roman" w:cs="Times New Roman"/>
          <w:noProof w:val="0"/>
          <w:sz w:val="24"/>
          <w:szCs w:val="24"/>
          <w:lang w:val="en-GB"/>
        </w:rPr>
        <w:t>settled by the beneficiary.</w:t>
      </w:r>
      <w:r w:rsidRPr="6AF4FF10" w:rsidR="479A179C">
        <w:rPr>
          <w:rFonts w:ascii="Times New Roman" w:hAnsi="Times New Roman" w:eastAsia="Times New Roman" w:cs="Times New Roman"/>
          <w:noProof w:val="0"/>
          <w:sz w:val="24"/>
          <w:szCs w:val="24"/>
          <w:lang w:val="en-GB"/>
        </w:rPr>
        <w:t xml:space="preserve"> There is a distinction between beneficiaries with discretionary rights and </w:t>
      </w:r>
      <w:r w:rsidRPr="6AF4FF10" w:rsidR="676EE3FD">
        <w:rPr>
          <w:rFonts w:ascii="Times New Roman" w:hAnsi="Times New Roman" w:eastAsia="Times New Roman" w:cs="Times New Roman"/>
          <w:noProof w:val="0"/>
          <w:sz w:val="24"/>
          <w:szCs w:val="24"/>
          <w:lang w:val="en-GB"/>
        </w:rPr>
        <w:t>beneficiaries</w:t>
      </w:r>
      <w:r w:rsidRPr="6AF4FF10" w:rsidR="479A179C">
        <w:rPr>
          <w:rFonts w:ascii="Times New Roman" w:hAnsi="Times New Roman" w:eastAsia="Times New Roman" w:cs="Times New Roman"/>
          <w:noProof w:val="0"/>
          <w:sz w:val="24"/>
          <w:szCs w:val="24"/>
          <w:lang w:val="en-GB"/>
        </w:rPr>
        <w:t xml:space="preserve"> with a fixed interest. </w:t>
      </w:r>
      <w:r w:rsidRPr="6AF4FF10" w:rsidR="1683C9B3">
        <w:rPr>
          <w:rFonts w:ascii="Times New Roman" w:hAnsi="Times New Roman" w:eastAsia="Times New Roman" w:cs="Times New Roman"/>
          <w:noProof w:val="0"/>
          <w:sz w:val="24"/>
          <w:szCs w:val="24"/>
          <w:lang w:val="en-GB"/>
        </w:rPr>
        <w:t>Beneficaries</w:t>
      </w:r>
      <w:r w:rsidRPr="6AF4FF10" w:rsidR="536BB9B5">
        <w:rPr>
          <w:rFonts w:ascii="Times New Roman" w:hAnsi="Times New Roman" w:eastAsia="Times New Roman" w:cs="Times New Roman"/>
          <w:noProof w:val="0"/>
          <w:sz w:val="24"/>
          <w:szCs w:val="24"/>
          <w:lang w:val="en-GB"/>
        </w:rPr>
        <w:t>’</w:t>
      </w:r>
      <w:r w:rsidRPr="6AF4FF10" w:rsidR="1683C9B3">
        <w:rPr>
          <w:rFonts w:ascii="Times New Roman" w:hAnsi="Times New Roman" w:eastAsia="Times New Roman" w:cs="Times New Roman"/>
          <w:noProof w:val="0"/>
          <w:sz w:val="24"/>
          <w:szCs w:val="24"/>
          <w:lang w:val="en-GB"/>
        </w:rPr>
        <w:t xml:space="preserve"> with a fixed interest are authorised </w:t>
      </w:r>
      <w:r w:rsidRPr="6AF4FF10" w:rsidR="2078A779">
        <w:rPr>
          <w:rFonts w:ascii="Times New Roman" w:hAnsi="Times New Roman" w:eastAsia="Times New Roman" w:cs="Times New Roman"/>
          <w:noProof w:val="0"/>
          <w:sz w:val="24"/>
          <w:szCs w:val="24"/>
          <w:lang w:val="en-GB"/>
        </w:rPr>
        <w:t xml:space="preserve">to </w:t>
      </w:r>
      <w:r w:rsidRPr="6AF4FF10" w:rsidR="2078A779">
        <w:rPr>
          <w:rFonts w:ascii="Times New Roman" w:hAnsi="Times New Roman" w:eastAsia="Times New Roman" w:cs="Times New Roman"/>
          <w:noProof w:val="0"/>
          <w:sz w:val="24"/>
          <w:szCs w:val="24"/>
          <w:lang w:val="en-GB"/>
        </w:rPr>
        <w:t>observe</w:t>
      </w:r>
      <w:r w:rsidRPr="6AF4FF10" w:rsidR="2078A779">
        <w:rPr>
          <w:rFonts w:ascii="Times New Roman" w:hAnsi="Times New Roman" w:eastAsia="Times New Roman" w:cs="Times New Roman"/>
          <w:noProof w:val="0"/>
          <w:sz w:val="24"/>
          <w:szCs w:val="24"/>
          <w:lang w:val="en-GB"/>
        </w:rPr>
        <w:t xml:space="preserve"> certain trust documents due to their propriet</w:t>
      </w:r>
      <w:r w:rsidRPr="6AF4FF10" w:rsidR="6BAB2B5B">
        <w:rPr>
          <w:rFonts w:ascii="Times New Roman" w:hAnsi="Times New Roman" w:eastAsia="Times New Roman" w:cs="Times New Roman"/>
          <w:noProof w:val="0"/>
          <w:sz w:val="24"/>
          <w:szCs w:val="24"/>
          <w:lang w:val="en-GB"/>
        </w:rPr>
        <w:t>ary rights as opposed to beneficiaries with discreti</w:t>
      </w:r>
      <w:r w:rsidRPr="6AF4FF10" w:rsidR="6C0EDCC4">
        <w:rPr>
          <w:rFonts w:ascii="Times New Roman" w:hAnsi="Times New Roman" w:eastAsia="Times New Roman" w:cs="Times New Roman"/>
          <w:noProof w:val="0"/>
          <w:sz w:val="24"/>
          <w:szCs w:val="24"/>
          <w:lang w:val="en-GB"/>
        </w:rPr>
        <w:t xml:space="preserve">onary rights. </w:t>
      </w:r>
      <w:r w:rsidRPr="6AF4FF10" w:rsidR="15405417">
        <w:rPr>
          <w:rFonts w:ascii="Times New Roman" w:hAnsi="Times New Roman" w:eastAsia="Times New Roman" w:cs="Times New Roman"/>
          <w:noProof w:val="0"/>
          <w:sz w:val="24"/>
          <w:szCs w:val="24"/>
          <w:lang w:val="en-GB"/>
        </w:rPr>
        <w:t xml:space="preserve">There is </w:t>
      </w:r>
      <w:r w:rsidRPr="6AF4FF10" w:rsidR="6B61F10A">
        <w:rPr>
          <w:rFonts w:ascii="Times New Roman" w:hAnsi="Times New Roman" w:eastAsia="Times New Roman" w:cs="Times New Roman"/>
          <w:noProof w:val="0"/>
          <w:sz w:val="24"/>
          <w:szCs w:val="24"/>
          <w:lang w:val="en-GB"/>
        </w:rPr>
        <w:t xml:space="preserve">certain </w:t>
      </w:r>
      <w:r w:rsidRPr="6AF4FF10" w:rsidR="15405417">
        <w:rPr>
          <w:rFonts w:ascii="Times New Roman" w:hAnsi="Times New Roman" w:eastAsia="Times New Roman" w:cs="Times New Roman"/>
          <w:noProof w:val="0"/>
          <w:sz w:val="24"/>
          <w:szCs w:val="24"/>
          <w:lang w:val="en-GB"/>
        </w:rPr>
        <w:t xml:space="preserve">information that must be </w:t>
      </w:r>
      <w:r w:rsidRPr="6AF4FF10" w:rsidR="15405417">
        <w:rPr>
          <w:rFonts w:ascii="Times New Roman" w:hAnsi="Times New Roman" w:eastAsia="Times New Roman" w:cs="Times New Roman"/>
          <w:noProof w:val="0"/>
          <w:sz w:val="24"/>
          <w:szCs w:val="24"/>
          <w:lang w:val="en-GB"/>
        </w:rPr>
        <w:t>disclosed</w:t>
      </w:r>
      <w:r w:rsidRPr="6AF4FF10" w:rsidR="15405417">
        <w:rPr>
          <w:rFonts w:ascii="Times New Roman" w:hAnsi="Times New Roman" w:eastAsia="Times New Roman" w:cs="Times New Roman"/>
          <w:noProof w:val="0"/>
          <w:sz w:val="24"/>
          <w:szCs w:val="24"/>
          <w:lang w:val="en-GB"/>
        </w:rPr>
        <w:t xml:space="preserve"> to</w:t>
      </w:r>
      <w:r w:rsidRPr="6AF4FF10" w:rsidR="10227CBB">
        <w:rPr>
          <w:rFonts w:ascii="Times New Roman" w:hAnsi="Times New Roman" w:eastAsia="Times New Roman" w:cs="Times New Roman"/>
          <w:noProof w:val="0"/>
          <w:sz w:val="24"/>
          <w:szCs w:val="24"/>
          <w:lang w:val="en-GB"/>
        </w:rPr>
        <w:t xml:space="preserve"> beneficiaries by trustees.</w:t>
      </w:r>
      <w:r w:rsidRPr="6AF4FF10" w:rsidR="07A7ABEA">
        <w:rPr>
          <w:rFonts w:ascii="Times New Roman" w:hAnsi="Times New Roman" w:eastAsia="Times New Roman" w:cs="Times New Roman"/>
          <w:noProof w:val="0"/>
          <w:sz w:val="24"/>
          <w:szCs w:val="24"/>
          <w:lang w:val="en-GB"/>
        </w:rPr>
        <w:t xml:space="preserve"> </w:t>
      </w:r>
      <w:r w:rsidRPr="6AF4FF10" w:rsidR="10227CBB">
        <w:rPr>
          <w:rFonts w:ascii="Times New Roman" w:hAnsi="Times New Roman" w:eastAsia="Times New Roman" w:cs="Times New Roman"/>
          <w:noProof w:val="0"/>
          <w:sz w:val="24"/>
          <w:szCs w:val="24"/>
          <w:lang w:val="en-GB"/>
        </w:rPr>
        <w:t>Benefic</w:t>
      </w:r>
      <w:r w:rsidRPr="6AF4FF10" w:rsidR="25E311EB">
        <w:rPr>
          <w:rFonts w:ascii="Times New Roman" w:hAnsi="Times New Roman" w:eastAsia="Times New Roman" w:cs="Times New Roman"/>
          <w:noProof w:val="0"/>
          <w:sz w:val="24"/>
          <w:szCs w:val="24"/>
          <w:lang w:val="en-GB"/>
        </w:rPr>
        <w:t xml:space="preserve">iaries have the right to request information however this is under the discretion of the court and trustees if they believe they have the </w:t>
      </w:r>
      <w:r w:rsidRPr="6AF4FF10" w:rsidR="3BDD0334">
        <w:rPr>
          <w:rFonts w:ascii="Times New Roman" w:hAnsi="Times New Roman" w:eastAsia="Times New Roman" w:cs="Times New Roman"/>
          <w:noProof w:val="0"/>
          <w:sz w:val="24"/>
          <w:szCs w:val="24"/>
          <w:lang w:val="en-GB"/>
        </w:rPr>
        <w:t>right to decline to protect their rights.</w:t>
      </w:r>
      <w:r w:rsidRPr="6AF4FF10" w:rsidR="224FF449">
        <w:rPr>
          <w:rFonts w:ascii="Times New Roman" w:hAnsi="Times New Roman" w:eastAsia="Times New Roman" w:cs="Times New Roman"/>
          <w:noProof w:val="0"/>
          <w:sz w:val="24"/>
          <w:szCs w:val="24"/>
          <w:lang w:val="en-GB"/>
        </w:rPr>
        <w:t xml:space="preserve"> However, there is a </w:t>
      </w:r>
      <w:r w:rsidRPr="6AF4FF10" w:rsidR="1E514F2F">
        <w:rPr>
          <w:rFonts w:ascii="Times New Roman" w:hAnsi="Times New Roman" w:eastAsia="Times New Roman" w:cs="Times New Roman"/>
          <w:noProof w:val="0"/>
          <w:sz w:val="24"/>
          <w:szCs w:val="24"/>
          <w:lang w:val="en-GB"/>
        </w:rPr>
        <w:t>substantial</w:t>
      </w:r>
      <w:r w:rsidRPr="6AF4FF10" w:rsidR="224FF449">
        <w:rPr>
          <w:rFonts w:ascii="Times New Roman" w:hAnsi="Times New Roman" w:eastAsia="Times New Roman" w:cs="Times New Roman"/>
          <w:noProof w:val="0"/>
          <w:sz w:val="24"/>
          <w:szCs w:val="24"/>
          <w:lang w:val="en-GB"/>
        </w:rPr>
        <w:t xml:space="preserve"> need for reform with these trustee’s duties</w:t>
      </w:r>
      <w:r w:rsidRPr="6AF4FF10" w:rsidR="1A8FFA0E">
        <w:rPr>
          <w:rFonts w:ascii="Times New Roman" w:hAnsi="Times New Roman" w:eastAsia="Times New Roman" w:cs="Times New Roman"/>
          <w:noProof w:val="0"/>
          <w:sz w:val="24"/>
          <w:szCs w:val="24"/>
          <w:lang w:val="en-GB"/>
        </w:rPr>
        <w:t>,</w:t>
      </w:r>
      <w:r w:rsidRPr="6AF4FF10" w:rsidR="224FF449">
        <w:rPr>
          <w:rFonts w:ascii="Times New Roman" w:hAnsi="Times New Roman" w:eastAsia="Times New Roman" w:cs="Times New Roman"/>
          <w:noProof w:val="0"/>
          <w:sz w:val="24"/>
          <w:szCs w:val="24"/>
          <w:lang w:val="en-GB"/>
        </w:rPr>
        <w:t xml:space="preserve"> it should be clear what information </w:t>
      </w:r>
      <w:r w:rsidRPr="6AF4FF10" w:rsidR="4AB5AF7D">
        <w:rPr>
          <w:rFonts w:ascii="Times New Roman" w:hAnsi="Times New Roman" w:eastAsia="Times New Roman" w:cs="Times New Roman"/>
          <w:noProof w:val="0"/>
          <w:sz w:val="24"/>
          <w:szCs w:val="24"/>
          <w:lang w:val="en-GB"/>
        </w:rPr>
        <w:t>beneficiaries have the right to</w:t>
      </w:r>
      <w:r w:rsidRPr="6AF4FF10" w:rsidR="3EEF44EE">
        <w:rPr>
          <w:rFonts w:ascii="Times New Roman" w:hAnsi="Times New Roman" w:eastAsia="Times New Roman" w:cs="Times New Roman"/>
          <w:noProof w:val="0"/>
          <w:sz w:val="24"/>
          <w:szCs w:val="24"/>
          <w:lang w:val="en-GB"/>
        </w:rPr>
        <w:t xml:space="preserve"> </w:t>
      </w:r>
      <w:r w:rsidRPr="6AF4FF10" w:rsidR="4AB5AF7D">
        <w:rPr>
          <w:rFonts w:ascii="Times New Roman" w:hAnsi="Times New Roman" w:eastAsia="Times New Roman" w:cs="Times New Roman"/>
          <w:noProof w:val="0"/>
          <w:sz w:val="24"/>
          <w:szCs w:val="24"/>
          <w:lang w:val="en-GB"/>
        </w:rPr>
        <w:t xml:space="preserve">and there should be disclosure to beneficiaries with updates </w:t>
      </w:r>
      <w:r w:rsidRPr="6AF4FF10" w:rsidR="4AB5AF7D">
        <w:rPr>
          <w:rFonts w:ascii="Times New Roman" w:hAnsi="Times New Roman" w:eastAsia="Times New Roman" w:cs="Times New Roman"/>
          <w:noProof w:val="0"/>
          <w:sz w:val="24"/>
          <w:szCs w:val="24"/>
          <w:lang w:val="en-GB"/>
        </w:rPr>
        <w:t>regarding</w:t>
      </w:r>
      <w:r w:rsidRPr="6AF4FF10" w:rsidR="4AB5AF7D">
        <w:rPr>
          <w:rFonts w:ascii="Times New Roman" w:hAnsi="Times New Roman" w:eastAsia="Times New Roman" w:cs="Times New Roman"/>
          <w:noProof w:val="0"/>
          <w:sz w:val="24"/>
          <w:szCs w:val="24"/>
          <w:lang w:val="en-GB"/>
        </w:rPr>
        <w:t xml:space="preserve"> their rights. </w:t>
      </w:r>
      <w:r w:rsidRPr="6AF4FF10" w:rsidR="1E569575">
        <w:rPr>
          <w:rFonts w:ascii="Times New Roman" w:hAnsi="Times New Roman" w:eastAsia="Times New Roman" w:cs="Times New Roman"/>
          <w:noProof w:val="0"/>
          <w:sz w:val="24"/>
          <w:szCs w:val="24"/>
          <w:lang w:val="en-GB"/>
        </w:rPr>
        <w:t xml:space="preserve">During the collaboration work our group chose to focus </w:t>
      </w:r>
      <w:r w:rsidRPr="6AF4FF10" w:rsidR="5003A787">
        <w:rPr>
          <w:rFonts w:ascii="Times New Roman" w:hAnsi="Times New Roman" w:eastAsia="Times New Roman" w:cs="Times New Roman"/>
          <w:noProof w:val="0"/>
          <w:sz w:val="24"/>
          <w:szCs w:val="24"/>
          <w:lang w:val="en-GB"/>
        </w:rPr>
        <w:t>on this due to the inefficiencies and lack of clarity when it comes to beneficiary information.</w:t>
      </w:r>
    </w:p>
    <w:p w:rsidR="5FC24CA7" w:rsidP="6357549E" w:rsidRDefault="5FC24CA7" w14:paraId="309D20FF" w14:textId="4E4D9B38">
      <w:pPr>
        <w:pStyle w:val="Normal"/>
        <w:spacing w:line="276" w:lineRule="auto"/>
        <w:jc w:val="both"/>
        <w:rPr>
          <w:rFonts w:ascii="Times New Roman" w:hAnsi="Times New Roman" w:eastAsia="Times New Roman" w:cs="Times New Roman"/>
          <w:b w:val="1"/>
          <w:bCs w:val="1"/>
          <w:noProof w:val="0"/>
          <w:sz w:val="24"/>
          <w:szCs w:val="24"/>
          <w:u w:val="single"/>
          <w:lang w:val="en-GB"/>
        </w:rPr>
      </w:pPr>
      <w:r w:rsidRPr="159D74D5" w:rsidR="5FC24CA7">
        <w:rPr>
          <w:rFonts w:ascii="Times New Roman" w:hAnsi="Times New Roman" w:eastAsia="Times New Roman" w:cs="Times New Roman"/>
          <w:b w:val="1"/>
          <w:bCs w:val="1"/>
          <w:noProof w:val="0"/>
          <w:sz w:val="24"/>
          <w:szCs w:val="24"/>
          <w:u w:val="single"/>
          <w:lang w:val="en-GB"/>
        </w:rPr>
        <w:t>Current position</w:t>
      </w:r>
    </w:p>
    <w:p w:rsidR="4D7FB765" w:rsidP="6AF4FF10" w:rsidRDefault="4D7FB765" w14:paraId="72AD01AB" w14:textId="3C4AB453">
      <w:pPr>
        <w:pStyle w:val="Normal"/>
        <w:spacing w:before="240" w:after="240" w:line="276"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AF4FF10" w:rsidR="27E94899">
        <w:rPr>
          <w:rFonts w:ascii="Times New Roman" w:hAnsi="Times New Roman" w:eastAsia="Times New Roman" w:cs="Times New Roman"/>
          <w:noProof w:val="0"/>
          <w:sz w:val="24"/>
          <w:szCs w:val="24"/>
          <w:lang w:val="en-GB"/>
        </w:rPr>
        <w:t xml:space="preserve">According to Ruston and Moore (2024), information </w:t>
      </w:r>
      <w:r w:rsidRPr="6AF4FF10" w:rsidR="10C99D45">
        <w:rPr>
          <w:rFonts w:ascii="Times New Roman" w:hAnsi="Times New Roman" w:eastAsia="Times New Roman" w:cs="Times New Roman"/>
          <w:noProof w:val="0"/>
          <w:sz w:val="24"/>
          <w:szCs w:val="24"/>
          <w:lang w:val="en-GB"/>
        </w:rPr>
        <w:t>revealing</w:t>
      </w:r>
      <w:r w:rsidRPr="6AF4FF10" w:rsidR="781F3473">
        <w:rPr>
          <w:rFonts w:ascii="Times New Roman" w:hAnsi="Times New Roman" w:eastAsia="Times New Roman" w:cs="Times New Roman"/>
          <w:noProof w:val="0"/>
          <w:sz w:val="24"/>
          <w:szCs w:val="24"/>
          <w:lang w:val="en-GB"/>
        </w:rPr>
        <w:t xml:space="preserve"> the trust’s existence and the nature of their interest in it is typically what beneficiaries can </w:t>
      </w:r>
      <w:r w:rsidRPr="6AF4FF10" w:rsidR="781F3473">
        <w:rPr>
          <w:rFonts w:ascii="Times New Roman" w:hAnsi="Times New Roman" w:eastAsia="Times New Roman" w:cs="Times New Roman"/>
          <w:noProof w:val="0"/>
          <w:sz w:val="24"/>
          <w:szCs w:val="24"/>
          <w:lang w:val="en-GB"/>
        </w:rPr>
        <w:t>anticipate</w:t>
      </w:r>
      <w:r w:rsidRPr="6AF4FF10" w:rsidR="781F3473">
        <w:rPr>
          <w:rFonts w:ascii="Times New Roman" w:hAnsi="Times New Roman" w:eastAsia="Times New Roman" w:cs="Times New Roman"/>
          <w:noProof w:val="0"/>
          <w:sz w:val="24"/>
          <w:szCs w:val="24"/>
          <w:lang w:val="en-GB"/>
        </w:rPr>
        <w:t xml:space="preserve"> </w:t>
      </w:r>
      <w:r w:rsidRPr="6AF4FF10" w:rsidR="7E64E764">
        <w:rPr>
          <w:rFonts w:ascii="Times New Roman" w:hAnsi="Times New Roman" w:eastAsia="Times New Roman" w:cs="Times New Roman"/>
          <w:noProof w:val="0"/>
          <w:sz w:val="24"/>
          <w:szCs w:val="24"/>
          <w:lang w:val="en-GB"/>
        </w:rPr>
        <w:t>receiving</w:t>
      </w:r>
      <w:r w:rsidRPr="6AF4FF10" w:rsidR="1F2E8730">
        <w:rPr>
          <w:rFonts w:ascii="Times New Roman" w:hAnsi="Times New Roman" w:eastAsia="Times New Roman" w:cs="Times New Roman"/>
          <w:noProof w:val="0"/>
          <w:sz w:val="24"/>
          <w:szCs w:val="24"/>
          <w:lang w:val="en-GB"/>
        </w:rPr>
        <w:t xml:space="preserve">. Wills and deeds of trustee appointments are other documentation that are typically made available. </w:t>
      </w:r>
      <w:r w:rsidRPr="6AF4FF10" w:rsidR="0C44C2DC">
        <w:rPr>
          <w:rFonts w:ascii="Times New Roman" w:hAnsi="Times New Roman" w:eastAsia="Times New Roman" w:cs="Times New Roman"/>
          <w:noProof w:val="0"/>
          <w:sz w:val="24"/>
          <w:szCs w:val="24"/>
          <w:lang w:val="en-GB"/>
        </w:rPr>
        <w:t xml:space="preserve">Under </w:t>
      </w:r>
      <w:r w:rsidRPr="6AF4FF10" w:rsidR="744D513D">
        <w:rPr>
          <w:rFonts w:ascii="Times New Roman" w:hAnsi="Times New Roman" w:eastAsia="Times New Roman" w:cs="Times New Roman"/>
          <w:noProof w:val="0"/>
          <w:sz w:val="24"/>
          <w:szCs w:val="24"/>
          <w:lang w:val="en-GB"/>
        </w:rPr>
        <w:t xml:space="preserve">the case of </w:t>
      </w:r>
      <w:r w:rsidRPr="6AF4FF10" w:rsidR="744D513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Schmidt v Rosewood Trust Ltd</w:t>
      </w:r>
      <w:r w:rsidRPr="6AF4FF10" w:rsidR="744D513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AF4FF10" w:rsidR="744D513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[2003] this </w:t>
      </w:r>
      <w:r w:rsidRPr="6AF4FF10" w:rsidR="0A5D350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decision</w:t>
      </w:r>
      <w:r w:rsidRPr="6AF4FF10" w:rsidR="744D513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AF4FF10" w:rsidR="744D513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established</w:t>
      </w:r>
      <w:r w:rsidRPr="6AF4FF10" w:rsidR="744D513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AF4FF10" w:rsidR="75A2643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that </w:t>
      </w:r>
      <w:r w:rsidRPr="6AF4FF10" w:rsidR="79604C0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despite having a proprietary interest, beneficiaries are not en</w:t>
      </w:r>
      <w:r w:rsidRPr="6AF4FF10" w:rsidR="22FF08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titled to the access of trust documents.</w:t>
      </w:r>
    </w:p>
    <w:p w:rsidR="713D597F" w:rsidP="6AF4FF10" w:rsidRDefault="713D597F" w14:paraId="42DA2AC8" w14:textId="338B7C15">
      <w:pPr>
        <w:pStyle w:val="Normal"/>
        <w:spacing w:before="240" w:after="240" w:line="276"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AF4FF10" w:rsidR="691EF44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principles set out in O’Rourke v </w:t>
      </w:r>
      <w:r w:rsidRPr="6AF4FF10" w:rsidR="691EF44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Darbishire</w:t>
      </w:r>
      <w:r w:rsidRPr="6AF4FF10" w:rsidR="691EF44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[1920] show that a beneficiary must </w:t>
      </w:r>
      <w:r w:rsidRPr="6AF4FF10" w:rsidR="691EF44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demonstrate</w:t>
      </w:r>
      <w:r w:rsidRPr="6AF4FF10" w:rsidR="691EF44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their eligibility before requesting trust documents. However, the legal principle derived from Re Londonderry’s Settlement [1965] shows that trustees </w:t>
      </w:r>
      <w:r w:rsidRPr="6AF4FF10" w:rsidR="691EF44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are not required to</w:t>
      </w:r>
      <w:r w:rsidRPr="6AF4FF10" w:rsidR="691EF44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articulate to beneficiaries why they are exercising their discretionary power. This right is protected by the court’s order for trustees that seek its protection when it comes to </w:t>
      </w:r>
      <w:r w:rsidRPr="6AF4FF10" w:rsidR="691EF44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disclosing</w:t>
      </w:r>
      <w:r w:rsidRPr="6AF4FF10" w:rsidR="691EF44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information to beneficiaries. The decision in Breakspear v Ackland</w:t>
      </w:r>
      <w:r w:rsidRPr="6AF4FF10" w:rsidR="691EF442">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w:t>
      </w:r>
      <w:r w:rsidRPr="6AF4FF10" w:rsidR="691EF44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[2008] shows that the courts’ decision to reveal a letter of wishes is not based on a proprietary right. Complete confidentiality is to be </w:t>
      </w:r>
      <w:r w:rsidRPr="6AF4FF10" w:rsidR="691EF44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maintained</w:t>
      </w:r>
      <w:r w:rsidRPr="6AF4FF10" w:rsidR="691EF44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AF4FF10" w:rsidR="691EF44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regarding</w:t>
      </w:r>
      <w:r w:rsidRPr="6AF4FF10" w:rsidR="691EF44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these letters. Trustees or the courts,</w:t>
      </w:r>
      <w:r w:rsidRPr="6AF4FF10" w:rsidR="4ECB80B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AF4FF10" w:rsidR="691EF44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oversee</w:t>
      </w:r>
      <w:r w:rsidRPr="6AF4FF10" w:rsidR="691EF44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protecting this confidentiality.</w:t>
      </w:r>
      <w:r w:rsidRPr="6AF4FF10" w:rsidR="1F86EB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According to Watt (2023), </w:t>
      </w:r>
      <w:r w:rsidRPr="6AF4FF10" w:rsidR="7A35DDE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trustees may rely on exemption clauses to eliminate or reduce their need to make amends for their breach, even in cases </w:t>
      </w:r>
      <w:r w:rsidRPr="6AF4FF10" w:rsidR="52319E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where it is easy to </w:t>
      </w:r>
      <w:r w:rsidRPr="6AF4FF10" w:rsidR="52319E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determine</w:t>
      </w:r>
      <w:r w:rsidRPr="6AF4FF10" w:rsidR="52319E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where the breach occurred.</w:t>
      </w:r>
    </w:p>
    <w:p w:rsidR="4982C8D5" w:rsidP="159D74D5" w:rsidRDefault="4982C8D5" w14:paraId="1102400B" w14:textId="69F585A7">
      <w:pPr>
        <w:pStyle w:val="Normal"/>
        <w:spacing w:before="240" w:after="240" w:line="276" w:lineRule="auto"/>
        <w:rPr>
          <w:rFonts w:ascii="Times New Roman" w:hAnsi="Times New Roman" w:eastAsia="Times New Roman" w:cs="Times New Roman"/>
          <w:b w:val="1"/>
          <w:bCs w:val="1"/>
          <w:i w:val="0"/>
          <w:iCs w:val="0"/>
          <w:caps w:val="0"/>
          <w:smallCaps w:val="0"/>
          <w:noProof w:val="0"/>
          <w:color w:val="000000" w:themeColor="text1" w:themeTint="FF" w:themeShade="FF"/>
          <w:sz w:val="24"/>
          <w:szCs w:val="24"/>
          <w:u w:val="single"/>
          <w:lang w:val="en-GB"/>
        </w:rPr>
      </w:pPr>
      <w:r w:rsidRPr="159D74D5" w:rsidR="4982C8D5">
        <w:rPr>
          <w:rFonts w:ascii="Times New Roman" w:hAnsi="Times New Roman" w:eastAsia="Times New Roman" w:cs="Times New Roman"/>
          <w:b w:val="1"/>
          <w:bCs w:val="1"/>
          <w:i w:val="0"/>
          <w:iCs w:val="0"/>
          <w:caps w:val="0"/>
          <w:smallCaps w:val="0"/>
          <w:noProof w:val="0"/>
          <w:color w:val="000000" w:themeColor="text1" w:themeTint="FF" w:themeShade="FF"/>
          <w:sz w:val="24"/>
          <w:szCs w:val="24"/>
          <w:u w:val="single"/>
          <w:lang w:val="en-GB"/>
        </w:rPr>
        <w:t xml:space="preserve">Current </w:t>
      </w:r>
      <w:r w:rsidRPr="159D74D5" w:rsidR="4982C8D5">
        <w:rPr>
          <w:rFonts w:ascii="Times New Roman" w:hAnsi="Times New Roman" w:eastAsia="Times New Roman" w:cs="Times New Roman"/>
          <w:b w:val="1"/>
          <w:bCs w:val="1"/>
          <w:i w:val="0"/>
          <w:iCs w:val="0"/>
          <w:caps w:val="0"/>
          <w:smallCaps w:val="0"/>
          <w:noProof w:val="0"/>
          <w:color w:val="000000" w:themeColor="text1" w:themeTint="FF" w:themeShade="FF"/>
          <w:sz w:val="24"/>
          <w:szCs w:val="24"/>
          <w:u w:val="single"/>
          <w:lang w:val="en-GB"/>
        </w:rPr>
        <w:t>challen</w:t>
      </w:r>
      <w:r w:rsidRPr="159D74D5" w:rsidR="4982C8D5">
        <w:rPr>
          <w:rFonts w:ascii="Times New Roman" w:hAnsi="Times New Roman" w:eastAsia="Times New Roman" w:cs="Times New Roman"/>
          <w:b w:val="1"/>
          <w:bCs w:val="1"/>
          <w:i w:val="0"/>
          <w:iCs w:val="0"/>
          <w:caps w:val="0"/>
          <w:smallCaps w:val="0"/>
          <w:noProof w:val="0"/>
          <w:color w:val="000000" w:themeColor="text1" w:themeTint="FF" w:themeShade="FF"/>
          <w:sz w:val="24"/>
          <w:szCs w:val="24"/>
          <w:u w:val="single"/>
          <w:lang w:val="en-GB"/>
        </w:rPr>
        <w:t>ges</w:t>
      </w:r>
    </w:p>
    <w:p w:rsidR="36D1DB0D" w:rsidP="6AF4FF10" w:rsidRDefault="36D1DB0D" w14:paraId="3570603D" w14:textId="5FE5C031">
      <w:pPr>
        <w:pStyle w:val="Normal"/>
        <w:spacing w:before="240" w:after="240" w:line="276"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pPr>
      <w:r w:rsidRPr="6AF4FF10" w:rsidR="36D1DB0D">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There are many existing challenges surrounding the information provided to benefic</w:t>
      </w:r>
      <w:r w:rsidRPr="6AF4FF10" w:rsidR="29EF7EA5">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iaries by trustees and the clarity around what information beneficiaries have a right to. The aim of this</w:t>
      </w:r>
      <w:r w:rsidRPr="6AF4FF10" w:rsidR="37780E2D">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 Bill</w:t>
      </w:r>
      <w:r w:rsidRPr="6AF4FF10" w:rsidR="29EF7EA5">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 </w:t>
      </w:r>
      <w:r w:rsidRPr="6AF4FF10" w:rsidR="7CA078DB">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is to ensure this section of the law is made </w:t>
      </w:r>
      <w:r w:rsidRPr="6AF4FF10" w:rsidR="66EC22B4">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explicit. </w:t>
      </w:r>
    </w:p>
    <w:p w:rsidR="3B0418C8" w:rsidP="159D74D5" w:rsidRDefault="3B0418C8" w14:paraId="325E8F3C" w14:textId="7232DA91">
      <w:pPr>
        <w:pStyle w:val="Normal"/>
        <w:spacing w:before="240" w:after="240" w:line="276"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pPr>
      <w:r w:rsidRPr="159D74D5" w:rsidR="3B0418C8">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When deciding how to use a power of discretion, trustees </w:t>
      </w:r>
      <w:r w:rsidRPr="159D74D5" w:rsidR="3B0418C8">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are not even required to</w:t>
      </w:r>
      <w:r w:rsidRPr="159D74D5" w:rsidR="3B0418C8">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 confer with the </w:t>
      </w:r>
      <w:r w:rsidRPr="159D74D5" w:rsidR="22515420">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beneficiaries. The Trusts of Land and Appointment of Trustees Act of 1996, </w:t>
      </w:r>
      <w:r w:rsidRPr="159D74D5" w:rsidR="21812443">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however,</w:t>
      </w:r>
      <w:r w:rsidRPr="159D74D5" w:rsidR="22515420">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 </w:t>
      </w:r>
      <w:r w:rsidRPr="159D74D5" w:rsidR="10A533A4">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provides an exemption. As a result,</w:t>
      </w:r>
      <w:r w:rsidRPr="159D74D5" w:rsidR="7CD81E2E">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 trustees are required by law to confer with the beneficiaries who are in possession and to carry out their requests to the extent that they </w:t>
      </w:r>
      <w:r w:rsidRPr="159D74D5" w:rsidR="79A1C30E">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align with the trust’s overall </w:t>
      </w:r>
      <w:r w:rsidRPr="159D74D5" w:rsidR="79A1C30E">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objectives</w:t>
      </w:r>
      <w:r w:rsidRPr="159D74D5" w:rsidR="09A0A823">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 (Wilson and Todd, 2015). </w:t>
      </w:r>
    </w:p>
    <w:p w:rsidR="74A2CDED" w:rsidP="159D74D5" w:rsidRDefault="74A2CDED" w14:paraId="6B14786C" w14:textId="517AB0DB">
      <w:pPr>
        <w:pStyle w:val="Normal"/>
        <w:spacing w:before="240" w:after="240" w:line="276" w:lineRule="auto"/>
        <w:rPr>
          <w:rFonts w:ascii="Times New Roman" w:hAnsi="Times New Roman" w:eastAsia="Times New Roman" w:cs="Times New Roman"/>
          <w:noProof w:val="0"/>
          <w:sz w:val="24"/>
          <w:szCs w:val="24"/>
          <w:lang w:val="en-GB"/>
        </w:rPr>
      </w:pPr>
      <w:r w:rsidRPr="6AF4FF10" w:rsidR="691EF442">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Beneficiaries are entitled to information </w:t>
      </w:r>
      <w:r w:rsidRPr="6AF4FF10" w:rsidR="691EF442">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regarding</w:t>
      </w:r>
      <w:r w:rsidRPr="6AF4FF10" w:rsidR="691EF442">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 the trust’s existence, its conditions, and their stake in it. They are also entitled to periodical accounting of the trust's assets, liabilities, receipts, and disbursements. This guarantees that the trustee is </w:t>
      </w:r>
      <w:r w:rsidRPr="6AF4FF10" w:rsidR="691EF442">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operating</w:t>
      </w:r>
      <w:r w:rsidRPr="6AF4FF10" w:rsidR="691EF442">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 in their best interests and enables them to oversee the trustee’s administration of the trust's funds. In addition, they have the right to receive distributions and the ability to question and contest a trustee’s acts if they do not think they are fulfilling their fiduciary obligations. Beneficiaries have the right to petition for the trustee’s dismissal if the trustee violates fiduciary obligations or </w:t>
      </w:r>
      <w:r w:rsidRPr="6AF4FF10" w:rsidR="691EF442">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fails to</w:t>
      </w:r>
      <w:r w:rsidRPr="6AF4FF10" w:rsidR="691EF442">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 act in their best interests (S</w:t>
      </w:r>
      <w:r w:rsidRPr="6AF4FF10" w:rsidR="691EF442">
        <w:rPr>
          <w:rFonts w:ascii="Times New Roman" w:hAnsi="Times New Roman" w:eastAsia="Times New Roman" w:cs="Times New Roman"/>
          <w:noProof w:val="0"/>
          <w:sz w:val="24"/>
          <w:szCs w:val="24"/>
          <w:lang w:val="en-GB"/>
        </w:rPr>
        <w:t xml:space="preserve">chnoor, 2024). The purpose of this new Act is to solve the present issues </w:t>
      </w:r>
      <w:r w:rsidRPr="6AF4FF10" w:rsidR="691EF442">
        <w:rPr>
          <w:rFonts w:ascii="Times New Roman" w:hAnsi="Times New Roman" w:eastAsia="Times New Roman" w:cs="Times New Roman"/>
          <w:noProof w:val="0"/>
          <w:sz w:val="24"/>
          <w:szCs w:val="24"/>
          <w:lang w:val="en-GB"/>
        </w:rPr>
        <w:t>regarding</w:t>
      </w:r>
      <w:r w:rsidRPr="6AF4FF10" w:rsidR="691EF442">
        <w:rPr>
          <w:rFonts w:ascii="Times New Roman" w:hAnsi="Times New Roman" w:eastAsia="Times New Roman" w:cs="Times New Roman"/>
          <w:noProof w:val="0"/>
          <w:sz w:val="24"/>
          <w:szCs w:val="24"/>
          <w:lang w:val="en-GB"/>
        </w:rPr>
        <w:t xml:space="preserve"> a beneficiary’s right to information and to guarantee that they are aware of what should be provided to them. This current challenge is present in Boardman v Phipps [1967] which shows that trustees must notify beneficiaries of investments made in the trust even while acting in the best interest of the trust </w:t>
      </w:r>
      <w:r w:rsidRPr="6AF4FF10" w:rsidR="2E2CA334">
        <w:rPr>
          <w:rFonts w:ascii="Times New Roman" w:hAnsi="Times New Roman" w:eastAsia="Times New Roman" w:cs="Times New Roman"/>
          <w:noProof w:val="0"/>
          <w:sz w:val="24"/>
          <w:szCs w:val="24"/>
          <w:lang w:val="en-GB"/>
        </w:rPr>
        <w:t>to</w:t>
      </w:r>
      <w:r w:rsidRPr="6AF4FF10" w:rsidR="691EF442">
        <w:rPr>
          <w:rFonts w:ascii="Times New Roman" w:hAnsi="Times New Roman" w:eastAsia="Times New Roman" w:cs="Times New Roman"/>
          <w:noProof w:val="0"/>
          <w:sz w:val="24"/>
          <w:szCs w:val="24"/>
          <w:lang w:val="en-GB"/>
        </w:rPr>
        <w:t xml:space="preserve"> prevent the risk of a conflict of interest. </w:t>
      </w:r>
    </w:p>
    <w:p w:rsidR="270A6FCF" w:rsidP="6A2E2E1E" w:rsidRDefault="270A6FCF" w14:paraId="7F50F743" w14:textId="681AA73A">
      <w:pPr>
        <w:pStyle w:val="Normal"/>
        <w:spacing w:before="240" w:after="240" w:line="276" w:lineRule="auto"/>
        <w:rPr>
          <w:rFonts w:ascii="Times New Roman" w:hAnsi="Times New Roman" w:eastAsia="Times New Roman" w:cs="Times New Roman"/>
          <w:noProof w:val="0"/>
          <w:sz w:val="24"/>
          <w:szCs w:val="24"/>
          <w:lang w:val="en-GB"/>
        </w:rPr>
      </w:pPr>
      <w:r w:rsidRPr="6AF4FF10" w:rsidR="270A6FCF">
        <w:rPr>
          <w:rFonts w:ascii="Times New Roman" w:hAnsi="Times New Roman" w:eastAsia="Times New Roman" w:cs="Times New Roman"/>
          <w:noProof w:val="0"/>
          <w:sz w:val="24"/>
          <w:szCs w:val="24"/>
          <w:lang w:val="en-GB"/>
        </w:rPr>
        <w:t xml:space="preserve">Being a beneficiary of a trust also comes with its challenges. The principle derived from Re </w:t>
      </w:r>
      <w:r w:rsidRPr="6AF4FF10" w:rsidR="2C59CFE6">
        <w:rPr>
          <w:rFonts w:ascii="Times New Roman" w:hAnsi="Times New Roman" w:eastAsia="Times New Roman" w:cs="Times New Roman"/>
          <w:noProof w:val="0"/>
          <w:sz w:val="24"/>
          <w:szCs w:val="24"/>
          <w:lang w:val="en-GB"/>
        </w:rPr>
        <w:t xml:space="preserve">Beloved </w:t>
      </w:r>
      <w:r w:rsidRPr="6AF4FF10" w:rsidR="270A6FCF">
        <w:rPr>
          <w:rFonts w:ascii="Times New Roman" w:hAnsi="Times New Roman" w:eastAsia="Times New Roman" w:cs="Times New Roman"/>
          <w:noProof w:val="0"/>
          <w:sz w:val="24"/>
          <w:szCs w:val="24"/>
          <w:lang w:val="en-GB"/>
        </w:rPr>
        <w:t>Wilkes</w:t>
      </w:r>
      <w:r w:rsidRPr="6AF4FF10" w:rsidR="1D65322C">
        <w:rPr>
          <w:rFonts w:ascii="Times New Roman" w:hAnsi="Times New Roman" w:eastAsia="Times New Roman" w:cs="Times New Roman"/>
          <w:noProof w:val="0"/>
          <w:sz w:val="24"/>
          <w:szCs w:val="24"/>
          <w:lang w:val="en-GB"/>
        </w:rPr>
        <w:t xml:space="preserve">’s </w:t>
      </w:r>
      <w:r w:rsidRPr="6AF4FF10" w:rsidR="6345AE2E">
        <w:rPr>
          <w:rFonts w:ascii="Times New Roman" w:hAnsi="Times New Roman" w:eastAsia="Times New Roman" w:cs="Times New Roman"/>
          <w:noProof w:val="0"/>
          <w:sz w:val="24"/>
          <w:szCs w:val="24"/>
          <w:lang w:val="en-GB"/>
        </w:rPr>
        <w:t xml:space="preserve">Charity [1851], sets out </w:t>
      </w:r>
      <w:r w:rsidRPr="6AF4FF10" w:rsidR="5D889A67">
        <w:rPr>
          <w:rFonts w:ascii="Times New Roman" w:hAnsi="Times New Roman" w:eastAsia="Times New Roman" w:cs="Times New Roman"/>
          <w:noProof w:val="0"/>
          <w:sz w:val="24"/>
          <w:szCs w:val="24"/>
          <w:lang w:val="en-GB"/>
        </w:rPr>
        <w:t xml:space="preserve">that </w:t>
      </w:r>
      <w:r w:rsidRPr="6AF4FF10" w:rsidR="32B534C7">
        <w:rPr>
          <w:rFonts w:ascii="Times New Roman" w:hAnsi="Times New Roman" w:eastAsia="Times New Roman" w:cs="Times New Roman"/>
          <w:noProof w:val="0"/>
          <w:sz w:val="24"/>
          <w:szCs w:val="24"/>
          <w:lang w:val="en-GB"/>
        </w:rPr>
        <w:t xml:space="preserve">trustees </w:t>
      </w:r>
      <w:r w:rsidRPr="6AF4FF10" w:rsidR="32B534C7">
        <w:rPr>
          <w:rFonts w:ascii="Times New Roman" w:hAnsi="Times New Roman" w:eastAsia="Times New Roman" w:cs="Times New Roman"/>
          <w:noProof w:val="0"/>
          <w:sz w:val="24"/>
          <w:szCs w:val="24"/>
          <w:lang w:val="en-GB"/>
        </w:rPr>
        <w:t>are not required to</w:t>
      </w:r>
      <w:r w:rsidRPr="6AF4FF10" w:rsidR="32B534C7">
        <w:rPr>
          <w:rFonts w:ascii="Times New Roman" w:hAnsi="Times New Roman" w:eastAsia="Times New Roman" w:cs="Times New Roman"/>
          <w:noProof w:val="0"/>
          <w:sz w:val="24"/>
          <w:szCs w:val="24"/>
          <w:lang w:val="en-GB"/>
        </w:rPr>
        <w:t xml:space="preserve"> provide justification for using their authority. The courts would not get involved if there was insuffici</w:t>
      </w:r>
      <w:r w:rsidRPr="6AF4FF10" w:rsidR="6C339E10">
        <w:rPr>
          <w:rFonts w:ascii="Times New Roman" w:hAnsi="Times New Roman" w:eastAsia="Times New Roman" w:cs="Times New Roman"/>
          <w:noProof w:val="0"/>
          <w:sz w:val="24"/>
          <w:szCs w:val="24"/>
          <w:lang w:val="en-GB"/>
        </w:rPr>
        <w:t>ent evidence that trustees had abused their authority.</w:t>
      </w:r>
      <w:r w:rsidRPr="6AF4FF10" w:rsidR="0D24569B">
        <w:rPr>
          <w:rFonts w:ascii="Times New Roman" w:hAnsi="Times New Roman" w:eastAsia="Times New Roman" w:cs="Times New Roman"/>
          <w:noProof w:val="0"/>
          <w:sz w:val="24"/>
          <w:szCs w:val="24"/>
          <w:lang w:val="en-GB"/>
        </w:rPr>
        <w:t xml:space="preserve"> This will make it difficult for a beneficiary who wants to contest a trustee’s decision since it </w:t>
      </w:r>
      <w:r w:rsidRPr="6AF4FF10" w:rsidR="7123B970">
        <w:rPr>
          <w:rFonts w:ascii="Times New Roman" w:hAnsi="Times New Roman" w:eastAsia="Times New Roman" w:cs="Times New Roman"/>
          <w:noProof w:val="0"/>
          <w:sz w:val="24"/>
          <w:szCs w:val="24"/>
          <w:lang w:val="en-GB"/>
        </w:rPr>
        <w:t xml:space="preserve">could prove to be </w:t>
      </w:r>
      <w:r w:rsidRPr="6AF4FF10" w:rsidR="7123B970">
        <w:rPr>
          <w:rFonts w:ascii="Times New Roman" w:hAnsi="Times New Roman" w:eastAsia="Times New Roman" w:cs="Times New Roman"/>
          <w:noProof w:val="0"/>
          <w:sz w:val="24"/>
          <w:szCs w:val="24"/>
          <w:lang w:val="en-GB"/>
        </w:rPr>
        <w:t>feasible</w:t>
      </w:r>
      <w:r w:rsidRPr="6AF4FF10" w:rsidR="7123B970">
        <w:rPr>
          <w:rFonts w:ascii="Times New Roman" w:hAnsi="Times New Roman" w:eastAsia="Times New Roman" w:cs="Times New Roman"/>
          <w:noProof w:val="0"/>
          <w:sz w:val="24"/>
          <w:szCs w:val="24"/>
          <w:lang w:val="en-GB"/>
        </w:rPr>
        <w:t xml:space="preserve"> to determine if the trustee has used their authority appropriately if they </w:t>
      </w:r>
      <w:r w:rsidRPr="6AF4FF10" w:rsidR="7123B970">
        <w:rPr>
          <w:rFonts w:ascii="Times New Roman" w:hAnsi="Times New Roman" w:eastAsia="Times New Roman" w:cs="Times New Roman"/>
          <w:noProof w:val="0"/>
          <w:sz w:val="24"/>
          <w:szCs w:val="24"/>
          <w:lang w:val="en-GB"/>
        </w:rPr>
        <w:t>are not required to</w:t>
      </w:r>
      <w:r w:rsidRPr="6AF4FF10" w:rsidR="7123B970">
        <w:rPr>
          <w:rFonts w:ascii="Times New Roman" w:hAnsi="Times New Roman" w:eastAsia="Times New Roman" w:cs="Times New Roman"/>
          <w:noProof w:val="0"/>
          <w:sz w:val="24"/>
          <w:szCs w:val="24"/>
          <w:lang w:val="en-GB"/>
        </w:rPr>
        <w:t xml:space="preserve"> provide justification for their choic</w:t>
      </w:r>
      <w:r w:rsidRPr="6AF4FF10" w:rsidR="1770E8AF">
        <w:rPr>
          <w:rFonts w:ascii="Times New Roman" w:hAnsi="Times New Roman" w:eastAsia="Times New Roman" w:cs="Times New Roman"/>
          <w:noProof w:val="0"/>
          <w:sz w:val="24"/>
          <w:szCs w:val="24"/>
          <w:lang w:val="en-GB"/>
        </w:rPr>
        <w:t>es.</w:t>
      </w:r>
      <w:r w:rsidRPr="6AF4FF10" w:rsidR="692D5C80">
        <w:rPr>
          <w:rFonts w:ascii="Times New Roman" w:hAnsi="Times New Roman" w:eastAsia="Times New Roman" w:cs="Times New Roman"/>
          <w:noProof w:val="0"/>
          <w:sz w:val="24"/>
          <w:szCs w:val="24"/>
          <w:lang w:val="en-GB"/>
        </w:rPr>
        <w:t xml:space="preserve"> The case of Lewis v Tamplin [2018] shows </w:t>
      </w:r>
      <w:r w:rsidRPr="6AF4FF10" w:rsidR="692D5C80">
        <w:rPr>
          <w:rFonts w:ascii="Times New Roman" w:hAnsi="Times New Roman" w:eastAsia="Times New Roman" w:cs="Times New Roman"/>
          <w:noProof w:val="0"/>
          <w:sz w:val="24"/>
          <w:szCs w:val="24"/>
          <w:lang w:val="en-GB"/>
        </w:rPr>
        <w:t>additional</w:t>
      </w:r>
      <w:r w:rsidRPr="6AF4FF10" w:rsidR="692D5C80">
        <w:rPr>
          <w:rFonts w:ascii="Times New Roman" w:hAnsi="Times New Roman" w:eastAsia="Times New Roman" w:cs="Times New Roman"/>
          <w:noProof w:val="0"/>
          <w:sz w:val="24"/>
          <w:szCs w:val="24"/>
          <w:lang w:val="en-GB"/>
        </w:rPr>
        <w:t xml:space="preserve"> inconsistencies in the law surrounding </w:t>
      </w:r>
      <w:r w:rsidRPr="6AF4FF10" w:rsidR="4436EE7A">
        <w:rPr>
          <w:rFonts w:ascii="Times New Roman" w:hAnsi="Times New Roman" w:eastAsia="Times New Roman" w:cs="Times New Roman"/>
          <w:noProof w:val="0"/>
          <w:sz w:val="24"/>
          <w:szCs w:val="24"/>
          <w:lang w:val="en-GB"/>
        </w:rPr>
        <w:t xml:space="preserve">beneficiaries' rights to information </w:t>
      </w:r>
      <w:r w:rsidRPr="6AF4FF10" w:rsidR="4436EE7A">
        <w:rPr>
          <w:rFonts w:ascii="Times New Roman" w:hAnsi="Times New Roman" w:eastAsia="Times New Roman" w:cs="Times New Roman"/>
          <w:noProof w:val="0"/>
          <w:sz w:val="24"/>
          <w:szCs w:val="24"/>
          <w:lang w:val="en-GB"/>
        </w:rPr>
        <w:t>regarding</w:t>
      </w:r>
      <w:r w:rsidRPr="6AF4FF10" w:rsidR="4436EE7A">
        <w:rPr>
          <w:rFonts w:ascii="Times New Roman" w:hAnsi="Times New Roman" w:eastAsia="Times New Roman" w:cs="Times New Roman"/>
          <w:noProof w:val="0"/>
          <w:sz w:val="24"/>
          <w:szCs w:val="24"/>
          <w:lang w:val="en-GB"/>
        </w:rPr>
        <w:t xml:space="preserve"> trust documents. The claimants in this case were beneficiaries of a family discretionary trust who sought greater disclosure from the trustees.</w:t>
      </w:r>
      <w:r w:rsidRPr="6AF4FF10" w:rsidR="0BF6CF55">
        <w:rPr>
          <w:rFonts w:ascii="Times New Roman" w:hAnsi="Times New Roman" w:eastAsia="Times New Roman" w:cs="Times New Roman"/>
          <w:noProof w:val="0"/>
          <w:sz w:val="24"/>
          <w:szCs w:val="24"/>
          <w:lang w:val="en-GB"/>
        </w:rPr>
        <w:t xml:space="preserve"> The beneficiaries’ desire for the publication of different trust documents </w:t>
      </w:r>
      <w:r w:rsidRPr="6AF4FF10" w:rsidR="178EE6F6">
        <w:rPr>
          <w:rFonts w:ascii="Times New Roman" w:hAnsi="Times New Roman" w:eastAsia="Times New Roman" w:cs="Times New Roman"/>
          <w:noProof w:val="0"/>
          <w:sz w:val="24"/>
          <w:szCs w:val="24"/>
          <w:lang w:val="en-GB"/>
        </w:rPr>
        <w:t>was the primary concern.</w:t>
      </w:r>
      <w:r w:rsidRPr="6AF4FF10" w:rsidR="178EE6F6">
        <w:rPr>
          <w:rFonts w:ascii="Times New Roman" w:hAnsi="Times New Roman" w:eastAsia="Times New Roman" w:cs="Times New Roman"/>
          <w:noProof w:val="0"/>
          <w:sz w:val="24"/>
          <w:szCs w:val="24"/>
          <w:lang w:val="en-GB"/>
        </w:rPr>
        <w:t xml:space="preserve"> </w:t>
      </w:r>
      <w:r w:rsidRPr="6AF4FF10" w:rsidR="178EE6F6">
        <w:rPr>
          <w:rFonts w:ascii="Times New Roman" w:hAnsi="Times New Roman" w:eastAsia="Times New Roman" w:cs="Times New Roman"/>
          <w:noProof w:val="0"/>
          <w:sz w:val="24"/>
          <w:szCs w:val="24"/>
          <w:lang w:val="en-GB"/>
        </w:rPr>
        <w:t xml:space="preserve">The court </w:t>
      </w:r>
      <w:r w:rsidRPr="6AF4FF10" w:rsidR="1A368D9C">
        <w:rPr>
          <w:rFonts w:ascii="Times New Roman" w:hAnsi="Times New Roman" w:eastAsia="Times New Roman" w:cs="Times New Roman"/>
          <w:noProof w:val="0"/>
          <w:sz w:val="24"/>
          <w:szCs w:val="24"/>
          <w:lang w:val="en-GB"/>
        </w:rPr>
        <w:t xml:space="preserve">found that the trustee’s denial of disclosure of information was lawful however still </w:t>
      </w:r>
      <w:r w:rsidRPr="6AF4FF10" w:rsidR="178EE6F6">
        <w:rPr>
          <w:rFonts w:ascii="Times New Roman" w:hAnsi="Times New Roman" w:eastAsia="Times New Roman" w:cs="Times New Roman"/>
          <w:noProof w:val="0"/>
          <w:sz w:val="24"/>
          <w:szCs w:val="24"/>
          <w:lang w:val="en-GB"/>
        </w:rPr>
        <w:t xml:space="preserve">ordered the trustees to divulge certain financial </w:t>
      </w:r>
      <w:r w:rsidRPr="6AF4FF10" w:rsidR="4AA54667">
        <w:rPr>
          <w:rFonts w:ascii="Times New Roman" w:hAnsi="Times New Roman" w:eastAsia="Times New Roman" w:cs="Times New Roman"/>
          <w:noProof w:val="0"/>
          <w:sz w:val="24"/>
          <w:szCs w:val="24"/>
          <w:lang w:val="en-GB"/>
        </w:rPr>
        <w:t xml:space="preserve">and administrative </w:t>
      </w:r>
      <w:r w:rsidRPr="6AF4FF10" w:rsidR="2013D65C">
        <w:rPr>
          <w:rFonts w:ascii="Times New Roman" w:hAnsi="Times New Roman" w:eastAsia="Times New Roman" w:cs="Times New Roman"/>
          <w:noProof w:val="0"/>
          <w:sz w:val="24"/>
          <w:szCs w:val="24"/>
          <w:lang w:val="en-GB"/>
        </w:rPr>
        <w:t>documents but</w:t>
      </w:r>
      <w:r w:rsidRPr="6AF4FF10" w:rsidR="4AA54667">
        <w:rPr>
          <w:rFonts w:ascii="Times New Roman" w:hAnsi="Times New Roman" w:eastAsia="Times New Roman" w:cs="Times New Roman"/>
          <w:noProof w:val="0"/>
          <w:sz w:val="24"/>
          <w:szCs w:val="24"/>
          <w:lang w:val="en-GB"/>
        </w:rPr>
        <w:t xml:space="preserve"> prohibited the disclosure of </w:t>
      </w:r>
      <w:r w:rsidRPr="6AF4FF10" w:rsidR="3B4816D4">
        <w:rPr>
          <w:rFonts w:ascii="Times New Roman" w:hAnsi="Times New Roman" w:eastAsia="Times New Roman" w:cs="Times New Roman"/>
          <w:noProof w:val="0"/>
          <w:sz w:val="24"/>
          <w:szCs w:val="24"/>
          <w:lang w:val="en-GB"/>
        </w:rPr>
        <w:t xml:space="preserve">sensitive information such as a letter of wishes. This case </w:t>
      </w:r>
      <w:r w:rsidRPr="6AF4FF10" w:rsidR="01E7571D">
        <w:rPr>
          <w:rFonts w:ascii="Times New Roman" w:hAnsi="Times New Roman" w:eastAsia="Times New Roman" w:cs="Times New Roman"/>
          <w:noProof w:val="0"/>
          <w:sz w:val="24"/>
          <w:szCs w:val="24"/>
          <w:lang w:val="en-GB"/>
        </w:rPr>
        <w:t>highlights the ambiguity and discrepancies in the current legislation.</w:t>
      </w:r>
    </w:p>
    <w:p w:rsidR="6A2E2E1E" w:rsidP="6A2E2E1E" w:rsidRDefault="6A2E2E1E" w14:paraId="56939D42" w14:textId="27FC7DA2">
      <w:pPr>
        <w:pStyle w:val="Normal"/>
        <w:spacing w:before="240" w:after="240" w:line="276" w:lineRule="auto"/>
        <w:rPr>
          <w:rFonts w:ascii="Times New Roman" w:hAnsi="Times New Roman" w:eastAsia="Times New Roman" w:cs="Times New Roman"/>
          <w:noProof w:val="0"/>
          <w:sz w:val="24"/>
          <w:szCs w:val="24"/>
          <w:lang w:val="en-GB"/>
        </w:rPr>
      </w:pPr>
      <w:r w:rsidRPr="6AF4FF10" w:rsidR="691EF442">
        <w:rPr>
          <w:rFonts w:ascii="Times New Roman" w:hAnsi="Times New Roman" w:eastAsia="Times New Roman" w:cs="Times New Roman"/>
          <w:noProof w:val="0"/>
          <w:sz w:val="24"/>
          <w:szCs w:val="24"/>
          <w:lang w:val="en-GB"/>
        </w:rPr>
        <w:t xml:space="preserve">Given that the information presented to beneficiaries from trustees is so ambiguous, as </w:t>
      </w:r>
      <w:r w:rsidRPr="6AF4FF10" w:rsidR="691EF442">
        <w:rPr>
          <w:rFonts w:ascii="Times New Roman" w:hAnsi="Times New Roman" w:eastAsia="Times New Roman" w:cs="Times New Roman"/>
          <w:noProof w:val="0"/>
          <w:sz w:val="24"/>
          <w:szCs w:val="24"/>
          <w:lang w:val="en-GB"/>
        </w:rPr>
        <w:t>demonstrated</w:t>
      </w:r>
      <w:r w:rsidRPr="6AF4FF10" w:rsidR="691EF442">
        <w:rPr>
          <w:rFonts w:ascii="Times New Roman" w:hAnsi="Times New Roman" w:eastAsia="Times New Roman" w:cs="Times New Roman"/>
          <w:noProof w:val="0"/>
          <w:sz w:val="24"/>
          <w:szCs w:val="24"/>
          <w:lang w:val="en-GB"/>
        </w:rPr>
        <w:t xml:space="preserve"> in the Lewis v Tamplin [2018] case, this legislation would have an impact on society</w:t>
      </w:r>
      <w:r w:rsidRPr="6AF4FF10" w:rsidR="3ADEA903">
        <w:rPr>
          <w:rFonts w:ascii="Times New Roman" w:hAnsi="Times New Roman" w:eastAsia="Times New Roman" w:cs="Times New Roman"/>
          <w:noProof w:val="0"/>
          <w:sz w:val="24"/>
          <w:szCs w:val="24"/>
          <w:lang w:val="en-GB"/>
        </w:rPr>
        <w:t xml:space="preserve"> due to the fact the law in this area already lacks clarity and people may not understand it or know what they are entitled to. </w:t>
      </w:r>
    </w:p>
    <w:p w:rsidR="767D073A" w:rsidP="159D74D5" w:rsidRDefault="767D073A" w14:paraId="47C93749" w14:textId="62188B7A">
      <w:pPr>
        <w:pStyle w:val="Normal"/>
        <w:spacing w:before="240" w:after="240" w:line="276" w:lineRule="auto"/>
        <w:rPr>
          <w:rFonts w:ascii="Times New Roman" w:hAnsi="Times New Roman" w:eastAsia="Times New Roman" w:cs="Times New Roman"/>
          <w:b w:val="1"/>
          <w:bCs w:val="1"/>
          <w:i w:val="0"/>
          <w:iCs w:val="0"/>
          <w:noProof w:val="0"/>
          <w:sz w:val="24"/>
          <w:szCs w:val="24"/>
          <w:u w:val="single"/>
          <w:lang w:val="en-GB"/>
        </w:rPr>
      </w:pPr>
      <w:r w:rsidRPr="6A2E2E1E" w:rsidR="767D073A">
        <w:rPr>
          <w:rFonts w:ascii="Times New Roman" w:hAnsi="Times New Roman" w:eastAsia="Times New Roman" w:cs="Times New Roman"/>
          <w:b w:val="1"/>
          <w:bCs w:val="1"/>
          <w:i w:val="0"/>
          <w:iCs w:val="0"/>
          <w:noProof w:val="0"/>
          <w:sz w:val="24"/>
          <w:szCs w:val="24"/>
          <w:u w:val="single"/>
          <w:lang w:val="en-GB"/>
        </w:rPr>
        <w:t>Proposals for reform</w:t>
      </w:r>
    </w:p>
    <w:p w:rsidR="4F6855F9" w:rsidP="691EF442" w:rsidRDefault="4F6855F9" w14:paraId="3D3619BE" w14:textId="3AB10750">
      <w:pPr>
        <w:pStyle w:val="Normal"/>
        <w:spacing w:before="240" w:after="240" w:line="276" w:lineRule="auto"/>
        <w:rPr>
          <w:rFonts w:ascii="Times New Roman" w:hAnsi="Times New Roman" w:eastAsia="Times New Roman" w:cs="Times New Roman"/>
          <w:b w:val="0"/>
          <w:bCs w:val="0"/>
          <w:i w:val="0"/>
          <w:iCs w:val="0"/>
          <w:noProof w:val="0"/>
          <w:sz w:val="24"/>
          <w:szCs w:val="24"/>
          <w:u w:val="none"/>
          <w:lang w:val="en-GB"/>
        </w:rPr>
      </w:pPr>
      <w:r w:rsidRPr="691EF442" w:rsidR="691EF442">
        <w:rPr>
          <w:rFonts w:ascii="Times New Roman" w:hAnsi="Times New Roman" w:eastAsia="Times New Roman" w:cs="Times New Roman"/>
          <w:b w:val="0"/>
          <w:bCs w:val="0"/>
          <w:i w:val="0"/>
          <w:iCs w:val="0"/>
          <w:noProof w:val="0"/>
          <w:sz w:val="24"/>
          <w:szCs w:val="24"/>
          <w:u w:val="none"/>
          <w:lang w:val="en-GB"/>
        </w:rPr>
        <w:t xml:space="preserve">The </w:t>
      </w:r>
      <w:r w:rsidRPr="691EF442" w:rsidR="691EF442">
        <w:rPr>
          <w:rFonts w:ascii="Times New Roman" w:hAnsi="Times New Roman" w:eastAsia="Times New Roman" w:cs="Times New Roman"/>
          <w:b w:val="0"/>
          <w:bCs w:val="0"/>
          <w:i w:val="0"/>
          <w:iCs w:val="0"/>
          <w:noProof w:val="0"/>
          <w:sz w:val="24"/>
          <w:szCs w:val="24"/>
          <w:u w:val="none"/>
          <w:lang w:val="en-GB"/>
        </w:rPr>
        <w:t>subsequent</w:t>
      </w:r>
      <w:r w:rsidRPr="691EF442" w:rsidR="691EF442">
        <w:rPr>
          <w:rFonts w:ascii="Times New Roman" w:hAnsi="Times New Roman" w:eastAsia="Times New Roman" w:cs="Times New Roman"/>
          <w:b w:val="0"/>
          <w:bCs w:val="0"/>
          <w:i w:val="0"/>
          <w:iCs w:val="0"/>
          <w:noProof w:val="0"/>
          <w:sz w:val="24"/>
          <w:szCs w:val="24"/>
          <w:u w:val="none"/>
          <w:lang w:val="en-GB"/>
        </w:rPr>
        <w:t xml:space="preserve"> modifications are suggested </w:t>
      </w:r>
      <w:r w:rsidRPr="691EF442" w:rsidR="691EF442">
        <w:rPr>
          <w:rFonts w:ascii="Times New Roman" w:hAnsi="Times New Roman" w:eastAsia="Times New Roman" w:cs="Times New Roman"/>
          <w:b w:val="0"/>
          <w:bCs w:val="0"/>
          <w:i w:val="0"/>
          <w:iCs w:val="0"/>
          <w:noProof w:val="0"/>
          <w:sz w:val="24"/>
          <w:szCs w:val="24"/>
          <w:u w:val="none"/>
          <w:lang w:val="en-GB"/>
        </w:rPr>
        <w:t>considering</w:t>
      </w:r>
      <w:r w:rsidRPr="691EF442" w:rsidR="691EF442">
        <w:rPr>
          <w:rFonts w:ascii="Times New Roman" w:hAnsi="Times New Roman" w:eastAsia="Times New Roman" w:cs="Times New Roman"/>
          <w:b w:val="0"/>
          <w:bCs w:val="0"/>
          <w:i w:val="0"/>
          <w:iCs w:val="0"/>
          <w:noProof w:val="0"/>
          <w:sz w:val="24"/>
          <w:szCs w:val="24"/>
          <w:u w:val="none"/>
          <w:lang w:val="en-GB"/>
        </w:rPr>
        <w:t xml:space="preserve"> the preceding and current legislation’s uncertainty concerning the information trustees deliver to beneficiaries.</w:t>
      </w:r>
    </w:p>
    <w:p w:rsidR="4E574BDF" w:rsidP="6A2E2E1E" w:rsidRDefault="4E574BDF" w14:paraId="07F0074B" w14:textId="5462742F">
      <w:pPr>
        <w:spacing w:line="276"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A2E2E1E" w:rsidR="4E574BDF">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GB"/>
        </w:rPr>
        <w:t>BILL TITLE – TRUSTEE DISCLOSURE AND BENEFICIARY INFORMATION ACT 2026.</w:t>
      </w:r>
      <w:r w:rsidRPr="6A2E2E1E" w:rsidR="4E574BD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4E574BDF" w:rsidP="6A2E2E1E" w:rsidRDefault="4E574BDF" w14:paraId="6652DD86" w14:textId="6A5A9551">
      <w:pPr>
        <w:spacing w:line="276"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A2E2E1E" w:rsidR="4E574BDF">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GB"/>
        </w:rPr>
        <w:t xml:space="preserve">Long Title &amp; Summary – </w:t>
      </w:r>
      <w:r w:rsidRPr="6A2E2E1E" w:rsidR="4E574BD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An Act to clarify and regulate trustees' duties to provide information to beneficiaries, to define categories of trust documents subject to disclosure and to establish principles governing trustee discretion and for connected purposes. </w:t>
      </w:r>
    </w:p>
    <w:p w:rsidR="4E574BDF" w:rsidP="6A2E2E1E" w:rsidRDefault="4E574BDF" w14:paraId="6BE80247" w14:textId="0FE31820">
      <w:pPr>
        <w:spacing w:line="276"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A2E2E1E" w:rsidR="4E574BDF">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GB"/>
        </w:rPr>
        <w:t>Clause 1 – Statutory Right to Core Information</w:t>
      </w:r>
      <w:r>
        <w:br/>
      </w:r>
      <w:r w:rsidRPr="6A2E2E1E" w:rsidR="4E574BD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 trustee shall, upon reasonable request, provide a beneficiary with: (a) the trust instrument; (b) annual trust accounts (c) a summary of trust assets and liabilities and (d) details of distributions made to that beneficiary. Disclosure under this section shall not require a court order unless disputed. A trustee may refuse disclosure where the request is vexatious, manifestly unreasonable, or contrary to the proper administration of the trust.</w:t>
      </w:r>
    </w:p>
    <w:p w:rsidR="4E574BDF" w:rsidP="6A2E2E1E" w:rsidRDefault="4E574BDF" w14:paraId="7AB7E275" w14:textId="4BFB9C2D">
      <w:pPr>
        <w:spacing w:line="276"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A2E2E1E" w:rsidR="4E574BDF">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GB"/>
        </w:rPr>
        <w:t>Clause 2 – Confidential and Deliberative Documents</w:t>
      </w:r>
      <w:r>
        <w:br/>
      </w:r>
      <w:r w:rsidRPr="6A2E2E1E" w:rsidR="4E574BD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Trustees shall not be required to disclose documents recording their deliberations or reasons for discretionary decisions. Letters of wishes shall be presumed confidential. The court may order disclosure where necessary to ensure proper administration and where just and equitable in the circumstances.</w:t>
      </w:r>
    </w:p>
    <w:p w:rsidR="4E574BDF" w:rsidP="6A2E2E1E" w:rsidRDefault="4E574BDF" w14:paraId="64126145" w14:textId="1509523F">
      <w:pPr>
        <w:spacing w:line="276"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A2E2E1E" w:rsidR="4E574BDF">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GB"/>
        </w:rPr>
        <w:t>Clause 3 – Alternative Dispute Resolution</w:t>
      </w:r>
      <w:r>
        <w:br/>
      </w:r>
      <w:r w:rsidRPr="6A2E2E1E" w:rsidR="4E574BD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Before </w:t>
      </w:r>
      <w:r w:rsidRPr="6A2E2E1E" w:rsidR="4E574BD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commencing</w:t>
      </w:r>
      <w:r w:rsidRPr="6A2E2E1E" w:rsidR="4E574BD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court proceedings relating to disclosure under this Act, the parties shall </w:t>
      </w:r>
      <w:r w:rsidRPr="6A2E2E1E" w:rsidR="4E574BD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attempt</w:t>
      </w:r>
      <w:r w:rsidRPr="6A2E2E1E" w:rsidR="4E574BD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resolution through mediation or another recognised form of alternative dispute resolution. The court may consider non-compliance when </w:t>
      </w:r>
      <w:r w:rsidRPr="6A2E2E1E" w:rsidR="4E574BD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determining</w:t>
      </w:r>
      <w:r w:rsidRPr="6A2E2E1E" w:rsidR="4E574BD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costs.</w:t>
      </w:r>
    </w:p>
    <w:p w:rsidR="6A2E2E1E" w:rsidP="6A2E2E1E" w:rsidRDefault="6A2E2E1E" w14:paraId="2AD7B543" w14:textId="16527998">
      <w:pPr>
        <w:pStyle w:val="Normal"/>
        <w:spacing w:before="240" w:after="240" w:line="276" w:lineRule="auto"/>
        <w:rPr>
          <w:rFonts w:ascii="Times New Roman" w:hAnsi="Times New Roman" w:eastAsia="Times New Roman" w:cs="Times New Roman"/>
          <w:b w:val="0"/>
          <w:bCs w:val="0"/>
          <w:i w:val="0"/>
          <w:iCs w:val="0"/>
          <w:noProof w:val="0"/>
          <w:sz w:val="24"/>
          <w:szCs w:val="24"/>
          <w:u w:val="none"/>
          <w:lang w:val="en-GB"/>
        </w:rPr>
      </w:pPr>
    </w:p>
    <w:p w:rsidR="469A653D" w:rsidP="159D74D5" w:rsidRDefault="469A653D" w14:paraId="0034DADF" w14:textId="189FDF55">
      <w:pPr>
        <w:pStyle w:val="Normal"/>
        <w:spacing w:before="240" w:after="240" w:line="276" w:lineRule="auto"/>
        <w:rPr>
          <w:rFonts w:ascii="Times New Roman" w:hAnsi="Times New Roman" w:eastAsia="Times New Roman" w:cs="Times New Roman"/>
          <w:b w:val="1"/>
          <w:bCs w:val="1"/>
          <w:i w:val="0"/>
          <w:iCs w:val="0"/>
          <w:noProof w:val="0"/>
          <w:sz w:val="24"/>
          <w:szCs w:val="24"/>
          <w:u w:val="single"/>
          <w:lang w:val="en-GB"/>
        </w:rPr>
      </w:pPr>
      <w:r w:rsidRPr="159D74D5" w:rsidR="469A653D">
        <w:rPr>
          <w:rFonts w:ascii="Times New Roman" w:hAnsi="Times New Roman" w:eastAsia="Times New Roman" w:cs="Times New Roman"/>
          <w:b w:val="1"/>
          <w:bCs w:val="1"/>
          <w:i w:val="0"/>
          <w:iCs w:val="0"/>
          <w:noProof w:val="0"/>
          <w:sz w:val="24"/>
          <w:szCs w:val="24"/>
          <w:u w:val="single"/>
          <w:lang w:val="en-GB"/>
        </w:rPr>
        <w:t xml:space="preserve">Evaluation of the reform proposals </w:t>
      </w:r>
    </w:p>
    <w:p w:rsidR="68E79862" w:rsidP="10A17DDE" w:rsidRDefault="68E79862" w14:paraId="66C50E00" w14:textId="3771C457">
      <w:pPr>
        <w:pStyle w:val="Normal"/>
        <w:spacing w:before="240" w:after="240" w:line="276" w:lineRule="auto"/>
        <w:rPr>
          <w:rFonts w:ascii="Times New Roman" w:hAnsi="Times New Roman" w:eastAsia="Times New Roman" w:cs="Times New Roman"/>
          <w:b w:val="0"/>
          <w:bCs w:val="0"/>
          <w:i w:val="0"/>
          <w:iCs w:val="0"/>
          <w:noProof w:val="0"/>
          <w:sz w:val="24"/>
          <w:szCs w:val="24"/>
          <w:u w:val="none"/>
          <w:lang w:val="en-GB"/>
        </w:rPr>
      </w:pPr>
      <w:r w:rsidRPr="10A17DDE" w:rsidR="691EF442">
        <w:rPr>
          <w:rFonts w:ascii="Times New Roman" w:hAnsi="Times New Roman" w:eastAsia="Times New Roman" w:cs="Times New Roman"/>
          <w:b w:val="0"/>
          <w:bCs w:val="0"/>
          <w:i w:val="0"/>
          <w:iCs w:val="0"/>
          <w:noProof w:val="0"/>
          <w:sz w:val="24"/>
          <w:szCs w:val="24"/>
          <w:u w:val="none"/>
          <w:lang w:val="en-GB"/>
        </w:rPr>
        <w:t>The suggested reform strategies deal with this provision of the law in a clear manner and do not</w:t>
      </w:r>
      <w:r w:rsidRPr="10A17DDE" w:rsidR="3F908613">
        <w:rPr>
          <w:rFonts w:ascii="Times New Roman" w:hAnsi="Times New Roman" w:eastAsia="Times New Roman" w:cs="Times New Roman"/>
          <w:b w:val="0"/>
          <w:bCs w:val="0"/>
          <w:i w:val="0"/>
          <w:iCs w:val="0"/>
          <w:noProof w:val="0"/>
          <w:sz w:val="24"/>
          <w:szCs w:val="24"/>
          <w:u w:val="none"/>
          <w:lang w:val="en-GB"/>
        </w:rPr>
        <w:t xml:space="preserve"> leave</w:t>
      </w:r>
      <w:r w:rsidRPr="10A17DDE" w:rsidR="691EF442">
        <w:rPr>
          <w:rFonts w:ascii="Times New Roman" w:hAnsi="Times New Roman" w:eastAsia="Times New Roman" w:cs="Times New Roman"/>
          <w:b w:val="0"/>
          <w:bCs w:val="0"/>
          <w:i w:val="0"/>
          <w:iCs w:val="0"/>
          <w:noProof w:val="0"/>
          <w:sz w:val="24"/>
          <w:szCs w:val="24"/>
          <w:u w:val="none"/>
          <w:lang w:val="en-GB"/>
        </w:rPr>
        <w:t xml:space="preserve"> individuals </w:t>
      </w:r>
      <w:r w:rsidRPr="10A17DDE" w:rsidR="691EF442">
        <w:rPr>
          <w:rFonts w:ascii="Times New Roman" w:hAnsi="Times New Roman" w:eastAsia="Times New Roman" w:cs="Times New Roman"/>
          <w:b w:val="0"/>
          <w:bCs w:val="0"/>
          <w:i w:val="0"/>
          <w:iCs w:val="0"/>
          <w:noProof w:val="0"/>
          <w:sz w:val="24"/>
          <w:szCs w:val="24"/>
          <w:u w:val="none"/>
          <w:lang w:val="en-GB"/>
        </w:rPr>
        <w:t>feeling</w:t>
      </w:r>
      <w:r w:rsidRPr="10A17DDE" w:rsidR="691EF442">
        <w:rPr>
          <w:rFonts w:ascii="Times New Roman" w:hAnsi="Times New Roman" w:eastAsia="Times New Roman" w:cs="Times New Roman"/>
          <w:b w:val="0"/>
          <w:bCs w:val="0"/>
          <w:i w:val="0"/>
          <w:iCs w:val="0"/>
          <w:noProof w:val="0"/>
          <w:sz w:val="24"/>
          <w:szCs w:val="24"/>
          <w:u w:val="none"/>
          <w:lang w:val="en-GB"/>
        </w:rPr>
        <w:t xml:space="preserve"> unsure of their rights under their position of a trust. Beneficiaries and trustees will </w:t>
      </w:r>
      <w:r w:rsidRPr="10A17DDE" w:rsidR="691EF442">
        <w:rPr>
          <w:rFonts w:ascii="Times New Roman" w:hAnsi="Times New Roman" w:eastAsia="Times New Roman" w:cs="Times New Roman"/>
          <w:b w:val="0"/>
          <w:bCs w:val="0"/>
          <w:i w:val="0"/>
          <w:iCs w:val="0"/>
          <w:noProof w:val="0"/>
          <w:sz w:val="24"/>
          <w:szCs w:val="24"/>
          <w:u w:val="none"/>
          <w:lang w:val="en-GB"/>
        </w:rPr>
        <w:t>benefit</w:t>
      </w:r>
      <w:r w:rsidRPr="10A17DDE" w:rsidR="691EF442">
        <w:rPr>
          <w:rFonts w:ascii="Times New Roman" w:hAnsi="Times New Roman" w:eastAsia="Times New Roman" w:cs="Times New Roman"/>
          <w:b w:val="0"/>
          <w:bCs w:val="0"/>
          <w:i w:val="0"/>
          <w:iCs w:val="0"/>
          <w:noProof w:val="0"/>
          <w:sz w:val="24"/>
          <w:szCs w:val="24"/>
          <w:u w:val="none"/>
          <w:lang w:val="en-GB"/>
        </w:rPr>
        <w:t xml:space="preserve"> from this since they will know precisely what information they are entitled to request and what information they </w:t>
      </w:r>
      <w:r w:rsidRPr="10A17DDE" w:rsidR="691EF442">
        <w:rPr>
          <w:rFonts w:ascii="Times New Roman" w:hAnsi="Times New Roman" w:eastAsia="Times New Roman" w:cs="Times New Roman"/>
          <w:b w:val="0"/>
          <w:bCs w:val="0"/>
          <w:i w:val="0"/>
          <w:iCs w:val="0"/>
          <w:noProof w:val="0"/>
          <w:sz w:val="24"/>
          <w:szCs w:val="24"/>
          <w:u w:val="none"/>
          <w:lang w:val="en-GB"/>
        </w:rPr>
        <w:t>are required to</w:t>
      </w:r>
      <w:r w:rsidRPr="10A17DDE" w:rsidR="691EF442">
        <w:rPr>
          <w:rFonts w:ascii="Times New Roman" w:hAnsi="Times New Roman" w:eastAsia="Times New Roman" w:cs="Times New Roman"/>
          <w:b w:val="0"/>
          <w:bCs w:val="0"/>
          <w:i w:val="0"/>
          <w:iCs w:val="0"/>
          <w:noProof w:val="0"/>
          <w:sz w:val="24"/>
          <w:szCs w:val="24"/>
          <w:u w:val="none"/>
          <w:lang w:val="en-GB"/>
        </w:rPr>
        <w:t xml:space="preserve"> </w:t>
      </w:r>
      <w:r w:rsidRPr="10A17DDE" w:rsidR="691EF442">
        <w:rPr>
          <w:rFonts w:ascii="Times New Roman" w:hAnsi="Times New Roman" w:eastAsia="Times New Roman" w:cs="Times New Roman"/>
          <w:b w:val="0"/>
          <w:bCs w:val="0"/>
          <w:i w:val="0"/>
          <w:iCs w:val="0"/>
          <w:noProof w:val="0"/>
          <w:sz w:val="24"/>
          <w:szCs w:val="24"/>
          <w:u w:val="none"/>
          <w:lang w:val="en-GB"/>
        </w:rPr>
        <w:t>disclose</w:t>
      </w:r>
      <w:r w:rsidRPr="10A17DDE" w:rsidR="691EF442">
        <w:rPr>
          <w:rFonts w:ascii="Times New Roman" w:hAnsi="Times New Roman" w:eastAsia="Times New Roman" w:cs="Times New Roman"/>
          <w:b w:val="0"/>
          <w:bCs w:val="0"/>
          <w:i w:val="0"/>
          <w:iCs w:val="0"/>
          <w:noProof w:val="0"/>
          <w:sz w:val="24"/>
          <w:szCs w:val="24"/>
          <w:u w:val="none"/>
          <w:lang w:val="en-GB"/>
        </w:rPr>
        <w:t xml:space="preserve"> </w:t>
      </w:r>
      <w:r w:rsidRPr="10A17DDE" w:rsidR="691EF442">
        <w:rPr>
          <w:rFonts w:ascii="Times New Roman" w:hAnsi="Times New Roman" w:eastAsia="Times New Roman" w:cs="Times New Roman"/>
          <w:b w:val="0"/>
          <w:bCs w:val="0"/>
          <w:i w:val="0"/>
          <w:iCs w:val="0"/>
          <w:noProof w:val="0"/>
          <w:sz w:val="24"/>
          <w:szCs w:val="24"/>
          <w:u w:val="none"/>
          <w:lang w:val="en-GB"/>
        </w:rPr>
        <w:t>regarding</w:t>
      </w:r>
      <w:r w:rsidRPr="10A17DDE" w:rsidR="691EF442">
        <w:rPr>
          <w:rFonts w:ascii="Times New Roman" w:hAnsi="Times New Roman" w:eastAsia="Times New Roman" w:cs="Times New Roman"/>
          <w:b w:val="0"/>
          <w:bCs w:val="0"/>
          <w:i w:val="0"/>
          <w:iCs w:val="0"/>
          <w:noProof w:val="0"/>
          <w:sz w:val="24"/>
          <w:szCs w:val="24"/>
          <w:u w:val="none"/>
          <w:lang w:val="en-GB"/>
        </w:rPr>
        <w:t xml:space="preserve"> the trust. This new</w:t>
      </w:r>
      <w:r w:rsidRPr="10A17DDE" w:rsidR="324D553F">
        <w:rPr>
          <w:rFonts w:ascii="Times New Roman" w:hAnsi="Times New Roman" w:eastAsia="Times New Roman" w:cs="Times New Roman"/>
          <w:b w:val="0"/>
          <w:bCs w:val="0"/>
          <w:i w:val="0"/>
          <w:iCs w:val="0"/>
          <w:noProof w:val="0"/>
          <w:sz w:val="24"/>
          <w:szCs w:val="24"/>
          <w:u w:val="none"/>
          <w:lang w:val="en-GB"/>
        </w:rPr>
        <w:t xml:space="preserve"> bill</w:t>
      </w:r>
      <w:r w:rsidRPr="10A17DDE" w:rsidR="691EF442">
        <w:rPr>
          <w:rFonts w:ascii="Times New Roman" w:hAnsi="Times New Roman" w:eastAsia="Times New Roman" w:cs="Times New Roman"/>
          <w:b w:val="0"/>
          <w:bCs w:val="0"/>
          <w:i w:val="0"/>
          <w:iCs w:val="0"/>
          <w:noProof w:val="0"/>
          <w:sz w:val="24"/>
          <w:szCs w:val="24"/>
          <w:u w:val="none"/>
          <w:lang w:val="en-GB"/>
        </w:rPr>
        <w:t xml:space="preserve"> will also ensure that court time is not wasted if trustee and beneficiary information is in writing. </w:t>
      </w:r>
    </w:p>
    <w:p w:rsidR="2B79B1DD" w:rsidP="691EF442" w:rsidRDefault="2B79B1DD" w14:paraId="526D2A69" w14:textId="3D6344D2">
      <w:pPr>
        <w:pStyle w:val="Normal"/>
        <w:spacing w:before="240" w:after="24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91EF442" w:rsidR="691EF442">
        <w:rPr>
          <w:rFonts w:ascii="Times New Roman" w:hAnsi="Times New Roman" w:eastAsia="Times New Roman" w:cs="Times New Roman"/>
          <w:b w:val="0"/>
          <w:bCs w:val="0"/>
          <w:i w:val="0"/>
          <w:iCs w:val="0"/>
          <w:noProof w:val="0"/>
          <w:sz w:val="24"/>
          <w:szCs w:val="24"/>
          <w:u w:val="none"/>
          <w:lang w:val="en-GB"/>
        </w:rPr>
        <w:t xml:space="preserve">Nestle v National Westminster bank Plc [1993] </w:t>
      </w:r>
      <w:r w:rsidRPr="691EF442" w:rsidR="691EF442">
        <w:rPr>
          <w:rFonts w:ascii="Times New Roman" w:hAnsi="Times New Roman" w:eastAsia="Times New Roman" w:cs="Times New Roman"/>
          <w:b w:val="0"/>
          <w:bCs w:val="0"/>
          <w:i w:val="0"/>
          <w:iCs w:val="0"/>
          <w:noProof w:val="0"/>
          <w:sz w:val="24"/>
          <w:szCs w:val="24"/>
          <w:u w:val="none"/>
          <w:lang w:val="en-GB"/>
        </w:rPr>
        <w:t>demonstrates</w:t>
      </w:r>
      <w:r w:rsidRPr="691EF442" w:rsidR="691EF442">
        <w:rPr>
          <w:rFonts w:ascii="Times New Roman" w:hAnsi="Times New Roman" w:eastAsia="Times New Roman" w:cs="Times New Roman"/>
          <w:b w:val="0"/>
          <w:bCs w:val="0"/>
          <w:i w:val="0"/>
          <w:iCs w:val="0"/>
          <w:noProof w:val="0"/>
          <w:sz w:val="24"/>
          <w:szCs w:val="24"/>
          <w:u w:val="none"/>
          <w:lang w:val="en-GB"/>
        </w:rPr>
        <w:t xml:space="preserve"> further inefficiencies in the current law surrounding information provided to beneficiaries by trustees. In this case, the trustee was in control of a £53,000 trust fund in 1922. By the time the last tenant passed away, the fund had grown </w:t>
      </w:r>
      <w:r w:rsidRPr="691EF442" w:rsidR="691EF442">
        <w:rPr>
          <w:rFonts w:ascii="Times New Roman" w:hAnsi="Times New Roman" w:eastAsia="Times New Roman" w:cs="Times New Roman"/>
          <w:noProof w:val="0"/>
          <w:sz w:val="24"/>
          <w:szCs w:val="24"/>
          <w:lang w:val="en-GB"/>
        </w:rPr>
        <w:t>less</w:t>
      </w:r>
      <w:r w:rsidRPr="691EF442" w:rsidR="691EF442">
        <w:rPr>
          <w:rFonts w:ascii="Times New Roman" w:hAnsi="Times New Roman" w:eastAsia="Times New Roman" w:cs="Times New Roman"/>
          <w:noProof w:val="0"/>
          <w:sz w:val="24"/>
          <w:szCs w:val="24"/>
          <w:lang w:val="en-GB"/>
        </w:rPr>
        <w:t xml:space="preserve"> since the trustees had neglected to </w:t>
      </w:r>
      <w:r w:rsidRPr="691EF442" w:rsidR="691EF442">
        <w:rPr>
          <w:rFonts w:ascii="Times New Roman" w:hAnsi="Times New Roman" w:eastAsia="Times New Roman" w:cs="Times New Roman"/>
          <w:noProof w:val="0"/>
          <w:sz w:val="24"/>
          <w:szCs w:val="24"/>
          <w:lang w:val="en-GB"/>
        </w:rPr>
        <w:t>monitor</w:t>
      </w:r>
      <w:r w:rsidRPr="691EF442" w:rsidR="691EF442">
        <w:rPr>
          <w:rFonts w:ascii="Times New Roman" w:hAnsi="Times New Roman" w:eastAsia="Times New Roman" w:cs="Times New Roman"/>
          <w:noProof w:val="0"/>
          <w:sz w:val="24"/>
          <w:szCs w:val="24"/>
          <w:lang w:val="en-GB"/>
        </w:rPr>
        <w:t xml:space="preserve"> the investments for several years. The beneficiaries claimed that by not making wise investments, the trustee had violated their obligation. The trustee's inadequate actions were acknowledged by the court. However, because the loss had to be </w:t>
      </w:r>
      <w:r w:rsidRPr="691EF442" w:rsidR="691EF442">
        <w:rPr>
          <w:rFonts w:ascii="Times New Roman" w:hAnsi="Times New Roman" w:eastAsia="Times New Roman" w:cs="Times New Roman"/>
          <w:noProof w:val="0"/>
          <w:sz w:val="24"/>
          <w:szCs w:val="24"/>
          <w:lang w:val="en-GB"/>
        </w:rPr>
        <w:t>demonstrated</w:t>
      </w:r>
      <w:r w:rsidRPr="691EF442" w:rsidR="691EF442">
        <w:rPr>
          <w:rFonts w:ascii="Times New Roman" w:hAnsi="Times New Roman" w:eastAsia="Times New Roman" w:cs="Times New Roman"/>
          <w:noProof w:val="0"/>
          <w:sz w:val="24"/>
          <w:szCs w:val="24"/>
          <w:lang w:val="en-GB"/>
        </w:rPr>
        <w:t xml:space="preserve">, the beneficiaries were unable to obtain the compensation. This highlights the limitations placed on beneficiaries and their lack of protection. This aligns well with clause one because had the beneficiaries known that the investments had been neglected something could have been done sooner to prevent such a loss. This provision strikes a balance between rights and obligations by ensuring that the trustee fulfils their duties and enabling the beneficiaries of a trust to stay informed about certain aspects of the trust. Target Holdings Ltd v </w:t>
      </w:r>
      <w:r w:rsidRPr="691EF442" w:rsidR="691EF442">
        <w:rPr>
          <w:rFonts w:ascii="Times New Roman" w:hAnsi="Times New Roman" w:eastAsia="Times New Roman" w:cs="Times New Roman"/>
          <w:noProof w:val="0"/>
          <w:sz w:val="24"/>
          <w:szCs w:val="24"/>
          <w:lang w:val="en-GB"/>
        </w:rPr>
        <w:t>Redferns</w:t>
      </w:r>
      <w:r w:rsidRPr="691EF442" w:rsidR="691EF442">
        <w:rPr>
          <w:rFonts w:ascii="Times New Roman" w:hAnsi="Times New Roman" w:eastAsia="Times New Roman" w:cs="Times New Roman"/>
          <w:noProof w:val="0"/>
          <w:sz w:val="24"/>
          <w:szCs w:val="24"/>
          <w:lang w:val="en-GB"/>
        </w:rPr>
        <w:t xml:space="preserve"> [1996] ties in with the case mentioned above. Target Holdings consented to lend Redfern 1.5 million pounds for the purchase of a property, with the condition that the funds would be disbursed after the transaction was finalised. Target suffered a loss when the borrower defaulted due to </w:t>
      </w:r>
      <w:r w:rsidRPr="691EF442" w:rsidR="691EF442">
        <w:rPr>
          <w:rFonts w:ascii="Times New Roman" w:hAnsi="Times New Roman" w:eastAsia="Times New Roman" w:cs="Times New Roman"/>
          <w:noProof w:val="0"/>
          <w:sz w:val="24"/>
          <w:szCs w:val="24"/>
          <w:lang w:val="en-GB"/>
        </w:rPr>
        <w:t>Redferns</w:t>
      </w:r>
      <w:r w:rsidRPr="691EF442" w:rsidR="691EF442">
        <w:rPr>
          <w:rFonts w:ascii="Times New Roman" w:hAnsi="Times New Roman" w:eastAsia="Times New Roman" w:cs="Times New Roman"/>
          <w:noProof w:val="0"/>
          <w:sz w:val="24"/>
          <w:szCs w:val="24"/>
          <w:lang w:val="en-GB"/>
        </w:rPr>
        <w:t xml:space="preserve"> breaching the terms. This case shows that beneficiary rights need to be </w:t>
      </w:r>
      <w:r w:rsidRPr="691EF442" w:rsidR="691EF442">
        <w:rPr>
          <w:rFonts w:ascii="Times New Roman" w:hAnsi="Times New Roman" w:eastAsia="Times New Roman" w:cs="Times New Roman"/>
          <w:noProof w:val="0"/>
          <w:sz w:val="24"/>
          <w:szCs w:val="24"/>
          <w:lang w:val="en-GB"/>
        </w:rPr>
        <w:t>modified</w:t>
      </w:r>
      <w:r w:rsidRPr="691EF442" w:rsidR="691EF442">
        <w:rPr>
          <w:rFonts w:ascii="Times New Roman" w:hAnsi="Times New Roman" w:eastAsia="Times New Roman" w:cs="Times New Roman"/>
          <w:noProof w:val="0"/>
          <w:sz w:val="24"/>
          <w:szCs w:val="24"/>
          <w:lang w:val="en-GB"/>
        </w:rPr>
        <w:t xml:space="preserve"> since, even when a trustee violates the terms of the trust, beneficiaries are only entitled to reimbursement for the losses incurred, the trust is not automatically restored. The principle derived from </w:t>
      </w:r>
      <w:r w:rsidRPr="691EF442" w:rsidR="691EF44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Rouse v IOOF Australia Ltd [1999] is that beneficiaries should have access to information that affect the trust as seen in clause one. They should also be informed of decisions made by trustees that affect their interests in the trust.</w:t>
      </w:r>
    </w:p>
    <w:p w:rsidR="5B11FE40" w:rsidP="6A2E2E1E" w:rsidRDefault="5B11FE40" w14:paraId="1710CBB4" w14:textId="24EC4F0F">
      <w:pPr>
        <w:pStyle w:val="Normal"/>
        <w:spacing w:before="240" w:after="240" w:line="276" w:lineRule="auto"/>
        <w:rPr>
          <w:rFonts w:ascii="Times New Roman" w:hAnsi="Times New Roman" w:eastAsia="Times New Roman" w:cs="Times New Roman"/>
          <w:noProof w:val="0"/>
          <w:sz w:val="24"/>
          <w:szCs w:val="24"/>
          <w:lang w:val="en-GB"/>
        </w:rPr>
      </w:pPr>
      <w:r w:rsidRPr="691EF442" w:rsidR="691EF442">
        <w:rPr>
          <w:rFonts w:ascii="Times New Roman" w:hAnsi="Times New Roman" w:eastAsia="Times New Roman" w:cs="Times New Roman"/>
          <w:noProof w:val="0"/>
          <w:sz w:val="24"/>
          <w:szCs w:val="24"/>
          <w:lang w:val="en-GB"/>
        </w:rPr>
        <w:t>Lewis v Tamplin [2018]</w:t>
      </w:r>
      <w:r w:rsidRPr="691EF442" w:rsidR="691EF442">
        <w:rPr>
          <w:rFonts w:ascii="Times New Roman" w:hAnsi="Times New Roman" w:eastAsia="Times New Roman" w:cs="Times New Roman"/>
          <w:noProof w:val="0"/>
          <w:sz w:val="24"/>
          <w:szCs w:val="24"/>
          <w:lang w:val="en-GB"/>
        </w:rPr>
        <w:t xml:space="preserve"> </w:t>
      </w:r>
      <w:r w:rsidRPr="691EF442" w:rsidR="691EF442">
        <w:rPr>
          <w:rFonts w:ascii="Times New Roman" w:hAnsi="Times New Roman" w:eastAsia="Times New Roman" w:cs="Times New Roman"/>
          <w:noProof w:val="0"/>
          <w:sz w:val="24"/>
          <w:szCs w:val="24"/>
          <w:lang w:val="en-GB"/>
        </w:rPr>
        <w:t>reflects the importance of clause two when it comes to confidentiality</w:t>
      </w:r>
      <w:r w:rsidRPr="691EF442" w:rsidR="691EF442">
        <w:rPr>
          <w:rFonts w:ascii="Times New Roman" w:hAnsi="Times New Roman" w:eastAsia="Times New Roman" w:cs="Times New Roman"/>
          <w:noProof w:val="0"/>
          <w:sz w:val="24"/>
          <w:szCs w:val="24"/>
          <w:lang w:val="en-GB"/>
        </w:rPr>
        <w:t xml:space="preserve"> especially when it comes to letters of wishes. </w:t>
      </w:r>
      <w:r w:rsidRPr="691EF442" w:rsidR="691EF442">
        <w:rPr>
          <w:rFonts w:ascii="Times New Roman" w:hAnsi="Times New Roman" w:eastAsia="Times New Roman" w:cs="Times New Roman"/>
          <w:noProof w:val="0"/>
          <w:sz w:val="24"/>
          <w:szCs w:val="24"/>
          <w:lang w:val="en-GB"/>
        </w:rPr>
        <w:t>However,</w:t>
      </w:r>
      <w:r w:rsidRPr="691EF442" w:rsidR="691EF442">
        <w:rPr>
          <w:rFonts w:ascii="Times New Roman" w:hAnsi="Times New Roman" w:eastAsia="Times New Roman" w:cs="Times New Roman"/>
          <w:noProof w:val="0"/>
          <w:sz w:val="24"/>
          <w:szCs w:val="24"/>
          <w:lang w:val="en-GB"/>
        </w:rPr>
        <w:t xml:space="preserve"> it is up to the </w:t>
      </w:r>
      <w:r w:rsidRPr="691EF442" w:rsidR="691EF442">
        <w:rPr>
          <w:rFonts w:ascii="Times New Roman" w:hAnsi="Times New Roman" w:eastAsia="Times New Roman" w:cs="Times New Roman"/>
          <w:noProof w:val="0"/>
          <w:sz w:val="24"/>
          <w:szCs w:val="24"/>
          <w:lang w:val="en-GB"/>
        </w:rPr>
        <w:t>court's</w:t>
      </w:r>
      <w:r w:rsidRPr="691EF442" w:rsidR="691EF442">
        <w:rPr>
          <w:rFonts w:ascii="Times New Roman" w:hAnsi="Times New Roman" w:eastAsia="Times New Roman" w:cs="Times New Roman"/>
          <w:noProof w:val="0"/>
          <w:sz w:val="24"/>
          <w:szCs w:val="24"/>
          <w:lang w:val="en-GB"/>
        </w:rPr>
        <w:t xml:space="preserve"> discretion </w:t>
      </w:r>
      <w:r w:rsidRPr="691EF442" w:rsidR="691EF442">
        <w:rPr>
          <w:rFonts w:ascii="Times New Roman" w:hAnsi="Times New Roman" w:eastAsia="Times New Roman" w:cs="Times New Roman"/>
          <w:noProof w:val="0"/>
          <w:sz w:val="24"/>
          <w:szCs w:val="24"/>
          <w:lang w:val="en-GB"/>
        </w:rPr>
        <w:t>on whether certain aspects of the trust are released to beneficiaries.</w:t>
      </w:r>
      <w:r w:rsidRPr="691EF442" w:rsidR="691EF442">
        <w:rPr>
          <w:rFonts w:ascii="Times New Roman" w:hAnsi="Times New Roman" w:eastAsia="Times New Roman" w:cs="Times New Roman"/>
          <w:noProof w:val="0"/>
          <w:sz w:val="24"/>
          <w:szCs w:val="24"/>
          <w:lang w:val="en-GB"/>
        </w:rPr>
        <w:t xml:space="preserve"> Clause three is necessary because </w:t>
      </w:r>
      <w:r w:rsidRPr="691EF442" w:rsidR="691EF442">
        <w:rPr>
          <w:rFonts w:ascii="Times New Roman" w:hAnsi="Times New Roman" w:eastAsia="Times New Roman" w:cs="Times New Roman"/>
          <w:noProof w:val="0"/>
          <w:sz w:val="24"/>
          <w:szCs w:val="24"/>
          <w:lang w:val="en-GB"/>
        </w:rPr>
        <w:t>it</w:t>
      </w:r>
      <w:r w:rsidRPr="691EF442" w:rsidR="691EF442">
        <w:rPr>
          <w:rFonts w:ascii="Times New Roman" w:hAnsi="Times New Roman" w:eastAsia="Times New Roman" w:cs="Times New Roman"/>
          <w:noProof w:val="0"/>
          <w:sz w:val="24"/>
          <w:szCs w:val="24"/>
          <w:lang w:val="en-GB"/>
        </w:rPr>
        <w:t xml:space="preserve"> allows the parties to </w:t>
      </w:r>
      <w:r w:rsidRPr="691EF442" w:rsidR="691EF442">
        <w:rPr>
          <w:rFonts w:ascii="Times New Roman" w:hAnsi="Times New Roman" w:eastAsia="Times New Roman" w:cs="Times New Roman"/>
          <w:noProof w:val="0"/>
          <w:sz w:val="24"/>
          <w:szCs w:val="24"/>
          <w:lang w:val="en-GB"/>
        </w:rPr>
        <w:t>attempt</w:t>
      </w:r>
      <w:r w:rsidRPr="691EF442" w:rsidR="691EF442">
        <w:rPr>
          <w:rFonts w:ascii="Times New Roman" w:hAnsi="Times New Roman" w:eastAsia="Times New Roman" w:cs="Times New Roman"/>
          <w:noProof w:val="0"/>
          <w:sz w:val="24"/>
          <w:szCs w:val="24"/>
          <w:lang w:val="en-GB"/>
        </w:rPr>
        <w:t xml:space="preserve"> alternative </w:t>
      </w:r>
      <w:r w:rsidRPr="691EF442" w:rsidR="691EF442">
        <w:rPr>
          <w:rFonts w:ascii="Times New Roman" w:hAnsi="Times New Roman" w:eastAsia="Times New Roman" w:cs="Times New Roman"/>
          <w:noProof w:val="0"/>
          <w:sz w:val="24"/>
          <w:szCs w:val="24"/>
          <w:lang w:val="en-GB"/>
        </w:rPr>
        <w:t xml:space="preserve">resolutions under this Act before the commencement of court proceedings. </w:t>
      </w:r>
      <w:r w:rsidRPr="691EF442" w:rsidR="691EF442">
        <w:rPr>
          <w:rFonts w:ascii="Times New Roman" w:hAnsi="Times New Roman" w:eastAsia="Times New Roman" w:cs="Times New Roman"/>
          <w:noProof w:val="0"/>
          <w:sz w:val="24"/>
          <w:szCs w:val="24"/>
          <w:lang w:val="en-GB"/>
        </w:rPr>
        <w:t>This clause aims to reduce wasted court time and conflict between stakeholders of a trust maki</w:t>
      </w:r>
      <w:r w:rsidRPr="691EF442" w:rsidR="691EF442">
        <w:rPr>
          <w:rFonts w:ascii="Times New Roman" w:hAnsi="Times New Roman" w:eastAsia="Times New Roman" w:cs="Times New Roman"/>
          <w:noProof w:val="0"/>
          <w:sz w:val="24"/>
          <w:szCs w:val="24"/>
          <w:lang w:val="en-GB"/>
        </w:rPr>
        <w:t xml:space="preserve">ng this aspect of the law </w:t>
      </w:r>
      <w:r w:rsidRPr="691EF442" w:rsidR="691EF442">
        <w:rPr>
          <w:rFonts w:ascii="Times New Roman" w:hAnsi="Times New Roman" w:eastAsia="Times New Roman" w:cs="Times New Roman"/>
          <w:noProof w:val="0"/>
          <w:sz w:val="24"/>
          <w:szCs w:val="24"/>
          <w:lang w:val="en-GB"/>
        </w:rPr>
        <w:t>less vague.</w:t>
      </w:r>
    </w:p>
    <w:p w:rsidR="787431DC" w:rsidP="6AF4FF10" w:rsidRDefault="787431DC" w14:paraId="46D470BB" w14:textId="62215BD2">
      <w:pPr>
        <w:pStyle w:val="Normal"/>
        <w:spacing w:before="240" w:after="240" w:line="276"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AF4FF10" w:rsidR="691EF442">
        <w:rPr>
          <w:rFonts w:ascii="Times New Roman" w:hAnsi="Times New Roman" w:eastAsia="Times New Roman" w:cs="Times New Roman"/>
          <w:noProof w:val="0"/>
          <w:sz w:val="24"/>
          <w:szCs w:val="24"/>
          <w:lang w:val="en-US"/>
        </w:rPr>
        <w:t xml:space="preserve">As much as being a beneficiary comes with its challenges, there are some benefits as seen in White </w:t>
      </w:r>
      <w:bookmarkStart w:name="_Int_ciO3cZJ3" w:id="1824599461"/>
      <w:r w:rsidRPr="6AF4FF10" w:rsidR="691EF442">
        <w:rPr>
          <w:rFonts w:ascii="Times New Roman" w:hAnsi="Times New Roman" w:eastAsia="Times New Roman" w:cs="Times New Roman"/>
          <w:noProof w:val="0"/>
          <w:sz w:val="24"/>
          <w:szCs w:val="24"/>
          <w:lang w:val="en-US"/>
        </w:rPr>
        <w:t>v</w:t>
      </w:r>
      <w:bookmarkEnd w:id="1824599461"/>
      <w:r w:rsidRPr="6AF4FF10" w:rsidR="691EF442">
        <w:rPr>
          <w:rFonts w:ascii="Times New Roman" w:hAnsi="Times New Roman" w:eastAsia="Times New Roman" w:cs="Times New Roman"/>
          <w:noProof w:val="0"/>
          <w:sz w:val="24"/>
          <w:szCs w:val="24"/>
          <w:lang w:val="en-US"/>
        </w:rPr>
        <w:t xml:space="preserve"> Jones [1995]. In this instance, a father was seeking to compose a will with his two daughters. However, Mr. White passed away prior to the solicitor’s implementation of the will, which took a considerable period. It was held that the daughters of Mr. White were able to sue Mr. Jones for professional negligence. This shows that beneficiaries in some instances can sue under negligence where there is clear liability for the loss caused. The new piece of proposed legislation could be broader </w:t>
      </w:r>
      <w:r w:rsidRPr="6AF4FF10" w:rsidR="691EF442">
        <w:rPr>
          <w:rFonts w:ascii="Times New Roman" w:hAnsi="Times New Roman" w:eastAsia="Times New Roman" w:cs="Times New Roman"/>
          <w:noProof w:val="0"/>
          <w:sz w:val="24"/>
          <w:szCs w:val="24"/>
          <w:lang w:val="en-US"/>
        </w:rPr>
        <w:t>to</w:t>
      </w:r>
      <w:r w:rsidRPr="6AF4FF10" w:rsidR="691EF442">
        <w:rPr>
          <w:rFonts w:ascii="Times New Roman" w:hAnsi="Times New Roman" w:eastAsia="Times New Roman" w:cs="Times New Roman"/>
          <w:noProof w:val="0"/>
          <w:sz w:val="24"/>
          <w:szCs w:val="24"/>
          <w:lang w:val="en-US"/>
        </w:rPr>
        <w:t xml:space="preserve"> display this to ensure this aspect of the law is clear. </w:t>
      </w:r>
      <w:r w:rsidRPr="6AF4FF10" w:rsidR="0A4BEF8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According to Legislation UK Government (2022), the Trust of Land and Appointment of Trustees Act 1996 set out the rights of </w:t>
      </w:r>
      <w:r w:rsidRPr="6AF4FF10" w:rsidR="01DB12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beneficiaries'</w:t>
      </w:r>
      <w:r w:rsidRPr="6AF4FF10" w:rsidR="0A4BEF8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when it comes to trusts. However, this is not specific to the information </w:t>
      </w:r>
      <w:r w:rsidRPr="6AF4FF10" w:rsidR="54E813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beneficiaries</w:t>
      </w:r>
      <w:r w:rsidRPr="6AF4FF10" w:rsidR="0A4BEF8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are entitled to</w:t>
      </w:r>
      <w:r w:rsidRPr="6AF4FF10" w:rsidR="455147B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With the proposed Trustee Disclosure and Beneficiary Information Act 2026 </w:t>
      </w:r>
      <w:r w:rsidRPr="6AF4FF10" w:rsidR="281C842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these two legislations would work well together when </w:t>
      </w:r>
      <w:r w:rsidRPr="6AF4FF10" w:rsidR="281C842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establishing</w:t>
      </w:r>
      <w:r w:rsidRPr="6AF4FF10" w:rsidR="281C842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exactly what information beneficiaries of a trust are entitled to.</w:t>
      </w:r>
    </w:p>
    <w:p w:rsidR="469A653D" w:rsidP="159D74D5" w:rsidRDefault="469A653D" w14:paraId="7DA51AE9" w14:textId="3158F3C6">
      <w:pPr>
        <w:pStyle w:val="Normal"/>
        <w:spacing w:before="240" w:after="240" w:line="276" w:lineRule="auto"/>
        <w:rPr>
          <w:rFonts w:ascii="Times New Roman" w:hAnsi="Times New Roman" w:eastAsia="Times New Roman" w:cs="Times New Roman"/>
          <w:b w:val="1"/>
          <w:bCs w:val="1"/>
          <w:i w:val="0"/>
          <w:iCs w:val="0"/>
          <w:noProof w:val="0"/>
          <w:sz w:val="24"/>
          <w:szCs w:val="24"/>
          <w:u w:val="single"/>
          <w:lang w:val="en-GB"/>
        </w:rPr>
      </w:pPr>
      <w:r w:rsidRPr="159D74D5" w:rsidR="469A653D">
        <w:rPr>
          <w:rFonts w:ascii="Times New Roman" w:hAnsi="Times New Roman" w:eastAsia="Times New Roman" w:cs="Times New Roman"/>
          <w:b w:val="1"/>
          <w:bCs w:val="1"/>
          <w:i w:val="0"/>
          <w:iCs w:val="0"/>
          <w:noProof w:val="0"/>
          <w:sz w:val="24"/>
          <w:szCs w:val="24"/>
          <w:u w:val="single"/>
          <w:lang w:val="en-GB"/>
        </w:rPr>
        <w:t xml:space="preserve">Conclusion </w:t>
      </w:r>
    </w:p>
    <w:p w:rsidR="4D7FB765" w:rsidP="1FB90BA8" w:rsidRDefault="4D7FB765" w14:paraId="226B4A1A" w14:textId="6BC9F288">
      <w:pPr>
        <w:pStyle w:val="Normal"/>
        <w:spacing w:before="240" w:after="240" w:line="276"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FB90BA8" w:rsidR="096A76C5">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Overall, the aim of this new proposed legislation</w:t>
      </w:r>
      <w:r w:rsidRPr="1FB90BA8" w:rsidR="249A54D0">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 is to provide clarity for inefficiencies in the information provided to beneficiaries by trustees. </w:t>
      </w:r>
      <w:r w:rsidRPr="1FB90BA8" w:rsidR="7126A95F">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There is not much reason for a person to be a beneficiary </w:t>
      </w:r>
      <w:r w:rsidRPr="1FB90BA8" w:rsidR="7C392A8E">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if they do not have access to information of the trust that </w:t>
      </w:r>
      <w:r w:rsidRPr="1FB90BA8" w:rsidR="7C392A8E">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impact</w:t>
      </w:r>
      <w:r w:rsidRPr="1FB90BA8" w:rsidR="7C392A8E">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 their position as </w:t>
      </w:r>
      <w:r w:rsidRPr="1FB90BA8" w:rsidR="7C392A8E">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established</w:t>
      </w:r>
      <w:r w:rsidRPr="1FB90BA8" w:rsidR="7C392A8E">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 in </w:t>
      </w:r>
      <w:r w:rsidRPr="1FB90BA8" w:rsidR="7DB1AE1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Schmidt v Rosewood Trust Ltd [2003].</w:t>
      </w:r>
      <w:r w:rsidRPr="1FB90BA8" w:rsidR="5DE3E9B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FB90BA8" w:rsidR="5DE3E9B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 Londonderry’s Settlement [1965] along with other case law shows more inefficiencies in this aspect of the law. It shows</w:t>
      </w:r>
      <w:r w:rsidRPr="1FB90BA8" w:rsidR="34933F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that beneficiaries are not </w:t>
      </w:r>
      <w:r w:rsidRPr="1FB90BA8" w:rsidR="34933F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permitted</w:t>
      </w:r>
      <w:r w:rsidRPr="1FB90BA8" w:rsidR="34933F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to question trustees on their decisions for exercising their power. This means that </w:t>
      </w:r>
      <w:r w:rsidRPr="1FB90BA8" w:rsidR="69CD8FD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if there was to be a breach of trust by a trustee the beneficiary/beneficiaries would not have the ability to provide this evidence to the court. </w:t>
      </w:r>
      <w:r w:rsidRPr="1FB90BA8" w:rsidR="5352A14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Beneficiaries do not need to be exposed to confidential </w:t>
      </w:r>
      <w:r w:rsidRPr="1FB90BA8" w:rsidR="0D6CBEC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information</w:t>
      </w:r>
      <w:r w:rsidRPr="1FB90BA8" w:rsidR="0223127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as displayed in Lewis v Tamplin [2018]</w:t>
      </w:r>
      <w:r w:rsidRPr="1FB90BA8" w:rsidR="0D6CBEC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1FB90BA8" w:rsidR="5352A14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but they should have the ability to access information that has an impact on their </w:t>
      </w:r>
      <w:r w:rsidRPr="1FB90BA8" w:rsidR="6129AE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place in the trust</w:t>
      </w:r>
      <w:r w:rsidRPr="1FB90BA8" w:rsidR="5242562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FB90BA8" w:rsidR="1A3EE4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As much as White v Jones [1995] displays that beneficiaries have the ability in some circumstances to sue for </w:t>
      </w:r>
      <w:r w:rsidRPr="1FB90BA8" w:rsidR="1E9E3B5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professional negligence this does not excuse the many discrepancies in this area of the law. </w:t>
      </w:r>
      <w:r w:rsidRPr="1FB90BA8" w:rsidR="29C3254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Trustee Disclosure and Beneficiary Information Act 2026 will amend these </w:t>
      </w:r>
      <w:r w:rsidRPr="1FB90BA8" w:rsidR="5972A38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inefficiencies and provide this part of the law with more clarity for both beneficiaries and trustees</w:t>
      </w:r>
      <w:r w:rsidRPr="1FB90BA8" w:rsidR="30B01B1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15B7D692" w:rsidP="4D7FB765" w:rsidRDefault="15B7D692" w14:paraId="418E31E1" w14:textId="299C2EB7">
      <w:pPr>
        <w:pStyle w:val="Normal"/>
        <w:spacing w:line="276" w:lineRule="auto"/>
        <w:jc w:val="both"/>
        <w:rPr>
          <w:rFonts w:ascii="Times New Roman" w:hAnsi="Times New Roman" w:eastAsia="Times New Roman" w:cs="Times New Roman"/>
          <w:b w:val="1"/>
          <w:bCs w:val="1"/>
          <w:noProof w:val="0"/>
          <w:sz w:val="24"/>
          <w:szCs w:val="24"/>
          <w:u w:val="single"/>
          <w:lang w:val="en-GB"/>
        </w:rPr>
      </w:pPr>
      <w:r w:rsidRPr="6AF4FF10" w:rsidR="691EF442">
        <w:rPr>
          <w:rFonts w:ascii="Times New Roman" w:hAnsi="Times New Roman" w:eastAsia="Times New Roman" w:cs="Times New Roman"/>
          <w:b w:val="1"/>
          <w:bCs w:val="1"/>
          <w:noProof w:val="0"/>
          <w:sz w:val="24"/>
          <w:szCs w:val="24"/>
          <w:u w:val="single"/>
          <w:lang w:val="en-GB"/>
        </w:rPr>
        <w:t xml:space="preserve">Case law </w:t>
      </w:r>
    </w:p>
    <w:p w:rsidR="5ADFEFFA" w:rsidP="6AF4FF10" w:rsidRDefault="5ADFEFFA" w14:paraId="6158E35C" w14:textId="493A54C7">
      <w:pPr>
        <w:spacing w:before="0" w:beforeAutospacing="off" w:after="160" w:afterAutospacing="off" w:line="276" w:lineRule="auto"/>
        <w:rPr>
          <w:rFonts w:ascii="Times New Roman" w:hAnsi="Times New Roman" w:eastAsia="Times New Roman" w:cs="Times New Roman"/>
          <w:noProof w:val="0"/>
          <w:sz w:val="24"/>
          <w:szCs w:val="24"/>
          <w:lang w:val="en-GB"/>
        </w:rPr>
      </w:pPr>
      <w:r w:rsidRPr="10A17DDE" w:rsidR="691EF442">
        <w:rPr>
          <w:rFonts w:ascii="Times New Roman" w:hAnsi="Times New Roman" w:eastAsia="Times New Roman" w:cs="Times New Roman"/>
          <w:i w:val="1"/>
          <w:iCs w:val="1"/>
          <w:noProof w:val="0"/>
          <w:sz w:val="24"/>
          <w:szCs w:val="24"/>
          <w:lang w:val="en-GB"/>
        </w:rPr>
        <w:t>Armitage v Nurse</w:t>
      </w:r>
      <w:r w:rsidRPr="10A17DDE" w:rsidR="691EF442">
        <w:rPr>
          <w:rFonts w:ascii="Times New Roman" w:hAnsi="Times New Roman" w:eastAsia="Times New Roman" w:cs="Times New Roman"/>
          <w:noProof w:val="0"/>
          <w:sz w:val="24"/>
          <w:szCs w:val="24"/>
          <w:lang w:val="en-GB"/>
        </w:rPr>
        <w:t xml:space="preserve"> [1998] Ch 241. </w:t>
      </w:r>
    </w:p>
    <w:p w:rsidR="5ADFEFFA" w:rsidP="6AF4FF10" w:rsidRDefault="5ADFEFFA" w14:paraId="6D06EC87" w14:textId="3668A705">
      <w:pPr>
        <w:spacing w:before="0" w:beforeAutospacing="off" w:after="160" w:afterAutospacing="off" w:line="276" w:lineRule="auto"/>
        <w:rPr>
          <w:rFonts w:ascii="Times New Roman" w:hAnsi="Times New Roman" w:eastAsia="Times New Roman" w:cs="Times New Roman"/>
          <w:noProof w:val="0"/>
          <w:sz w:val="24"/>
          <w:szCs w:val="24"/>
          <w:lang w:val="en-GB"/>
        </w:rPr>
      </w:pPr>
      <w:r w:rsidRPr="10A17DDE" w:rsidR="691EF442">
        <w:rPr>
          <w:rFonts w:ascii="Times New Roman" w:hAnsi="Times New Roman" w:eastAsia="Times New Roman" w:cs="Times New Roman"/>
          <w:i w:val="1"/>
          <w:iCs w:val="1"/>
          <w:noProof w:val="0"/>
          <w:sz w:val="24"/>
          <w:szCs w:val="24"/>
          <w:lang w:val="en-GB"/>
        </w:rPr>
        <w:t>Boardman v Phipps</w:t>
      </w:r>
      <w:r w:rsidRPr="10A17DDE" w:rsidR="691EF442">
        <w:rPr>
          <w:rFonts w:ascii="Times New Roman" w:hAnsi="Times New Roman" w:eastAsia="Times New Roman" w:cs="Times New Roman"/>
          <w:noProof w:val="0"/>
          <w:sz w:val="24"/>
          <w:szCs w:val="24"/>
          <w:lang w:val="en-GB"/>
        </w:rPr>
        <w:t xml:space="preserve"> [1967] 2 A.C. 46. </w:t>
      </w:r>
    </w:p>
    <w:p w:rsidR="5ADFEFFA" w:rsidP="6AF4FF10" w:rsidRDefault="5ADFEFFA" w14:paraId="2BA59F78" w14:textId="6A980E57">
      <w:pPr>
        <w:spacing w:before="0" w:beforeAutospacing="off" w:after="160" w:afterAutospacing="off" w:line="276" w:lineRule="auto"/>
        <w:rPr>
          <w:rFonts w:ascii="Times New Roman" w:hAnsi="Times New Roman" w:eastAsia="Times New Roman" w:cs="Times New Roman"/>
          <w:noProof w:val="0"/>
          <w:sz w:val="24"/>
          <w:szCs w:val="24"/>
          <w:lang w:val="en-GB"/>
        </w:rPr>
      </w:pPr>
      <w:r w:rsidRPr="10A17DDE" w:rsidR="691EF442">
        <w:rPr>
          <w:rFonts w:ascii="Times New Roman" w:hAnsi="Times New Roman" w:eastAsia="Times New Roman" w:cs="Times New Roman"/>
          <w:i w:val="1"/>
          <w:iCs w:val="1"/>
          <w:noProof w:val="0"/>
          <w:sz w:val="24"/>
          <w:szCs w:val="24"/>
          <w:lang w:val="en-GB"/>
        </w:rPr>
        <w:t>Breakspear v Ackland</w:t>
      </w:r>
      <w:r w:rsidRPr="10A17DDE" w:rsidR="691EF442">
        <w:rPr>
          <w:rFonts w:ascii="Times New Roman" w:hAnsi="Times New Roman" w:eastAsia="Times New Roman" w:cs="Times New Roman"/>
          <w:noProof w:val="0"/>
          <w:sz w:val="24"/>
          <w:szCs w:val="24"/>
          <w:lang w:val="en-GB"/>
        </w:rPr>
        <w:t xml:space="preserve"> [2008] EWHC 220 (Ch). </w:t>
      </w:r>
    </w:p>
    <w:p w:rsidR="5ADFEFFA" w:rsidP="6AF4FF10" w:rsidRDefault="5ADFEFFA" w14:paraId="22C23EE9" w14:textId="22F2EF2B">
      <w:pPr>
        <w:spacing w:before="0" w:beforeAutospacing="off" w:after="160" w:afterAutospacing="off" w:line="276" w:lineRule="auto"/>
        <w:rPr>
          <w:rFonts w:ascii="Times New Roman" w:hAnsi="Times New Roman" w:eastAsia="Times New Roman" w:cs="Times New Roman"/>
          <w:noProof w:val="0"/>
          <w:sz w:val="24"/>
          <w:szCs w:val="24"/>
          <w:lang w:val="en-GB"/>
        </w:rPr>
      </w:pPr>
      <w:r w:rsidRPr="10A17DDE" w:rsidR="691EF442">
        <w:rPr>
          <w:rFonts w:ascii="Times New Roman" w:hAnsi="Times New Roman" w:eastAsia="Times New Roman" w:cs="Times New Roman"/>
          <w:i w:val="1"/>
          <w:iCs w:val="1"/>
          <w:noProof w:val="0"/>
          <w:sz w:val="24"/>
          <w:szCs w:val="24"/>
          <w:lang w:val="en-GB"/>
        </w:rPr>
        <w:t>Lewis v Tamplin</w:t>
      </w:r>
      <w:r w:rsidRPr="10A17DDE" w:rsidR="691EF442">
        <w:rPr>
          <w:rFonts w:ascii="Times New Roman" w:hAnsi="Times New Roman" w:eastAsia="Times New Roman" w:cs="Times New Roman"/>
          <w:noProof w:val="0"/>
          <w:sz w:val="24"/>
          <w:szCs w:val="24"/>
          <w:lang w:val="en-GB"/>
        </w:rPr>
        <w:t xml:space="preserve"> [2018] EWHC 777 (Ch). </w:t>
      </w:r>
    </w:p>
    <w:p w:rsidR="5ADFEFFA" w:rsidP="6AF4FF10" w:rsidRDefault="5ADFEFFA" w14:paraId="665EEB55" w14:textId="607714D3">
      <w:pPr>
        <w:spacing w:before="0" w:beforeAutospacing="off" w:after="160" w:afterAutospacing="off" w:line="276" w:lineRule="auto"/>
        <w:rPr>
          <w:rFonts w:ascii="Times New Roman" w:hAnsi="Times New Roman" w:eastAsia="Times New Roman" w:cs="Times New Roman"/>
          <w:noProof w:val="0"/>
          <w:sz w:val="24"/>
          <w:szCs w:val="24"/>
          <w:lang w:val="en-GB"/>
        </w:rPr>
      </w:pPr>
      <w:r w:rsidRPr="10A17DDE" w:rsidR="691EF442">
        <w:rPr>
          <w:rFonts w:ascii="Times New Roman" w:hAnsi="Times New Roman" w:eastAsia="Times New Roman" w:cs="Times New Roman"/>
          <w:i w:val="1"/>
          <w:iCs w:val="1"/>
          <w:noProof w:val="0"/>
          <w:sz w:val="24"/>
          <w:szCs w:val="24"/>
          <w:lang w:val="en-GB"/>
        </w:rPr>
        <w:t>Nestle v National Westminster bank Plc</w:t>
      </w:r>
      <w:r w:rsidRPr="10A17DDE" w:rsidR="691EF442">
        <w:rPr>
          <w:rFonts w:ascii="Times New Roman" w:hAnsi="Times New Roman" w:eastAsia="Times New Roman" w:cs="Times New Roman"/>
          <w:noProof w:val="0"/>
          <w:sz w:val="24"/>
          <w:szCs w:val="24"/>
          <w:lang w:val="en-GB"/>
        </w:rPr>
        <w:t xml:space="preserve"> [1993] 1 WLR 1260. </w:t>
      </w:r>
    </w:p>
    <w:p w:rsidR="5ADFEFFA" w:rsidP="6AF4FF10" w:rsidRDefault="5ADFEFFA" w14:paraId="0A28C9E4" w14:textId="474FCE11">
      <w:pPr>
        <w:spacing w:before="0" w:beforeAutospacing="off" w:after="160" w:afterAutospacing="off" w:line="276" w:lineRule="auto"/>
        <w:rPr>
          <w:rFonts w:ascii="Times New Roman" w:hAnsi="Times New Roman" w:eastAsia="Times New Roman" w:cs="Times New Roman"/>
          <w:noProof w:val="0"/>
          <w:sz w:val="24"/>
          <w:szCs w:val="24"/>
          <w:lang w:val="en-GB"/>
        </w:rPr>
      </w:pPr>
      <w:r w:rsidRPr="10A17DDE" w:rsidR="691EF442">
        <w:rPr>
          <w:rFonts w:ascii="Times New Roman" w:hAnsi="Times New Roman" w:eastAsia="Times New Roman" w:cs="Times New Roman"/>
          <w:i w:val="1"/>
          <w:iCs w:val="1"/>
          <w:noProof w:val="0"/>
          <w:sz w:val="24"/>
          <w:szCs w:val="24"/>
          <w:lang w:val="en-GB"/>
        </w:rPr>
        <w:t xml:space="preserve">O’Rourke v </w:t>
      </w:r>
      <w:r w:rsidRPr="10A17DDE" w:rsidR="691EF442">
        <w:rPr>
          <w:rFonts w:ascii="Times New Roman" w:hAnsi="Times New Roman" w:eastAsia="Times New Roman" w:cs="Times New Roman"/>
          <w:i w:val="1"/>
          <w:iCs w:val="1"/>
          <w:noProof w:val="0"/>
          <w:sz w:val="24"/>
          <w:szCs w:val="24"/>
          <w:lang w:val="en-GB"/>
        </w:rPr>
        <w:t>Darbishire</w:t>
      </w:r>
      <w:r w:rsidRPr="10A17DDE" w:rsidR="691EF442">
        <w:rPr>
          <w:rFonts w:ascii="Times New Roman" w:hAnsi="Times New Roman" w:eastAsia="Times New Roman" w:cs="Times New Roman"/>
          <w:noProof w:val="0"/>
          <w:sz w:val="24"/>
          <w:szCs w:val="24"/>
          <w:lang w:val="en-GB"/>
        </w:rPr>
        <w:t xml:space="preserve"> [1920] AC 581</w:t>
      </w:r>
      <w:r w:rsidRPr="10A17DDE" w:rsidR="691EF442">
        <w:rPr>
          <w:rFonts w:ascii="Times New Roman" w:hAnsi="Times New Roman" w:eastAsia="Times New Roman" w:cs="Times New Roman"/>
          <w:noProof w:val="0"/>
          <w:sz w:val="24"/>
          <w:szCs w:val="24"/>
          <w:lang w:val="en-GB"/>
        </w:rPr>
        <w:t xml:space="preserve">. </w:t>
      </w:r>
    </w:p>
    <w:p w:rsidR="5ADFEFFA" w:rsidP="6AF4FF10" w:rsidRDefault="5ADFEFFA" w14:paraId="4FB31635" w14:textId="3B376E02">
      <w:pPr>
        <w:spacing w:before="0" w:beforeAutospacing="off" w:after="160" w:afterAutospacing="off" w:line="276" w:lineRule="auto"/>
        <w:rPr>
          <w:rFonts w:ascii="Times New Roman" w:hAnsi="Times New Roman" w:eastAsia="Times New Roman" w:cs="Times New Roman"/>
          <w:noProof w:val="0"/>
          <w:sz w:val="24"/>
          <w:szCs w:val="24"/>
          <w:lang w:val="en-GB"/>
        </w:rPr>
      </w:pPr>
      <w:r w:rsidRPr="10A17DDE" w:rsidR="691EF442">
        <w:rPr>
          <w:rFonts w:ascii="Times New Roman" w:hAnsi="Times New Roman" w:eastAsia="Times New Roman" w:cs="Times New Roman"/>
          <w:i w:val="1"/>
          <w:iCs w:val="1"/>
          <w:noProof w:val="0"/>
          <w:sz w:val="24"/>
          <w:szCs w:val="24"/>
          <w:lang w:val="en-GB"/>
        </w:rPr>
        <w:t>Re Beloved Wilkes’s Charity</w:t>
      </w:r>
      <w:r w:rsidRPr="10A17DDE" w:rsidR="691EF442">
        <w:rPr>
          <w:rFonts w:ascii="Times New Roman" w:hAnsi="Times New Roman" w:eastAsia="Times New Roman" w:cs="Times New Roman"/>
          <w:noProof w:val="0"/>
          <w:sz w:val="24"/>
          <w:szCs w:val="24"/>
          <w:lang w:val="en-GB"/>
        </w:rPr>
        <w:t xml:space="preserve"> [1851] 3 MAC &amp; G 440. </w:t>
      </w:r>
    </w:p>
    <w:p w:rsidR="5ADFEFFA" w:rsidP="6AF4FF10" w:rsidRDefault="5ADFEFFA" w14:paraId="0104E38C" w14:textId="1515A9F3">
      <w:pPr>
        <w:spacing w:before="0" w:beforeAutospacing="off" w:after="160" w:afterAutospacing="off" w:line="276" w:lineRule="auto"/>
        <w:rPr>
          <w:rFonts w:ascii="Times New Roman" w:hAnsi="Times New Roman" w:eastAsia="Times New Roman" w:cs="Times New Roman"/>
          <w:noProof w:val="0"/>
          <w:sz w:val="24"/>
          <w:szCs w:val="24"/>
          <w:lang w:val="en-GB"/>
        </w:rPr>
      </w:pPr>
      <w:r w:rsidRPr="10A17DDE" w:rsidR="691EF442">
        <w:rPr>
          <w:rFonts w:ascii="Times New Roman" w:hAnsi="Times New Roman" w:eastAsia="Times New Roman" w:cs="Times New Roman"/>
          <w:i w:val="1"/>
          <w:iCs w:val="1"/>
          <w:noProof w:val="0"/>
          <w:sz w:val="24"/>
          <w:szCs w:val="24"/>
          <w:lang w:val="en-GB"/>
        </w:rPr>
        <w:t>Re Londonderry’s Settlement</w:t>
      </w:r>
      <w:r w:rsidRPr="10A17DDE" w:rsidR="691EF442">
        <w:rPr>
          <w:rFonts w:ascii="Times New Roman" w:hAnsi="Times New Roman" w:eastAsia="Times New Roman" w:cs="Times New Roman"/>
          <w:noProof w:val="0"/>
          <w:sz w:val="24"/>
          <w:szCs w:val="24"/>
          <w:lang w:val="en-GB"/>
        </w:rPr>
        <w:t xml:space="preserve"> [1965] Ch 918. </w:t>
      </w:r>
    </w:p>
    <w:p w:rsidR="5ADFEFFA" w:rsidP="6AF4FF10" w:rsidRDefault="5ADFEFFA" w14:paraId="41BD5CDA" w14:textId="152896A8">
      <w:pPr>
        <w:spacing w:before="0" w:beforeAutospacing="off" w:after="160" w:afterAutospacing="off" w:line="276" w:lineRule="auto"/>
        <w:rPr>
          <w:rFonts w:ascii="Times New Roman" w:hAnsi="Times New Roman" w:eastAsia="Times New Roman" w:cs="Times New Roman"/>
          <w:noProof w:val="0"/>
          <w:sz w:val="24"/>
          <w:szCs w:val="24"/>
          <w:lang w:val="en-GB"/>
        </w:rPr>
      </w:pPr>
      <w:r w:rsidRPr="10A17DDE" w:rsidR="691EF442">
        <w:rPr>
          <w:rFonts w:ascii="Times New Roman" w:hAnsi="Times New Roman" w:eastAsia="Times New Roman" w:cs="Times New Roman"/>
          <w:i w:val="1"/>
          <w:iCs w:val="1"/>
          <w:noProof w:val="0"/>
          <w:sz w:val="24"/>
          <w:szCs w:val="24"/>
          <w:lang w:val="en-GB"/>
        </w:rPr>
        <w:t xml:space="preserve">Rouse v IOOF Australia Ltd </w:t>
      </w:r>
      <w:r w:rsidRPr="10A17DDE" w:rsidR="691EF442">
        <w:rPr>
          <w:rFonts w:ascii="Times New Roman" w:hAnsi="Times New Roman" w:eastAsia="Times New Roman" w:cs="Times New Roman"/>
          <w:noProof w:val="0"/>
          <w:sz w:val="24"/>
          <w:szCs w:val="24"/>
          <w:lang w:val="en-GB"/>
        </w:rPr>
        <w:t>[1999] 2 ITELR 289.</w:t>
      </w:r>
    </w:p>
    <w:p w:rsidR="5ADFEFFA" w:rsidP="6AF4FF10" w:rsidRDefault="5ADFEFFA" w14:paraId="721181B3" w14:textId="6017D7A0">
      <w:pPr>
        <w:spacing w:before="0" w:beforeAutospacing="off" w:after="160" w:afterAutospacing="off" w:line="276" w:lineRule="auto"/>
        <w:rPr>
          <w:rFonts w:ascii="Times New Roman" w:hAnsi="Times New Roman" w:eastAsia="Times New Roman" w:cs="Times New Roman"/>
          <w:noProof w:val="0"/>
          <w:sz w:val="24"/>
          <w:szCs w:val="24"/>
          <w:lang w:val="en-GB"/>
        </w:rPr>
      </w:pPr>
      <w:r w:rsidRPr="10A17DDE" w:rsidR="691EF442">
        <w:rPr>
          <w:rFonts w:ascii="Times New Roman" w:hAnsi="Times New Roman" w:eastAsia="Times New Roman" w:cs="Times New Roman"/>
          <w:i w:val="1"/>
          <w:iCs w:val="1"/>
          <w:noProof w:val="0"/>
          <w:sz w:val="24"/>
          <w:szCs w:val="24"/>
          <w:lang w:val="en-GB"/>
        </w:rPr>
        <w:t>Schmidt v Rosewood Trust Ltd</w:t>
      </w:r>
      <w:r w:rsidRPr="10A17DDE" w:rsidR="691EF442">
        <w:rPr>
          <w:rFonts w:ascii="Times New Roman" w:hAnsi="Times New Roman" w:eastAsia="Times New Roman" w:cs="Times New Roman"/>
          <w:noProof w:val="0"/>
          <w:sz w:val="24"/>
          <w:szCs w:val="24"/>
          <w:lang w:val="en-GB"/>
        </w:rPr>
        <w:t xml:space="preserve"> [2003] UKPC 26, [2003] 2 AC 709. </w:t>
      </w:r>
    </w:p>
    <w:p w:rsidR="5ADFEFFA" w:rsidP="6AF4FF10" w:rsidRDefault="5ADFEFFA" w14:paraId="1EEFC839" w14:textId="71CAC129">
      <w:pPr>
        <w:spacing w:before="0" w:beforeAutospacing="off" w:after="160" w:afterAutospacing="off" w:line="276" w:lineRule="auto"/>
        <w:rPr>
          <w:rFonts w:ascii="Times New Roman" w:hAnsi="Times New Roman" w:eastAsia="Times New Roman" w:cs="Times New Roman"/>
          <w:noProof w:val="0"/>
          <w:sz w:val="24"/>
          <w:szCs w:val="24"/>
          <w:lang w:val="en-GB"/>
        </w:rPr>
      </w:pPr>
      <w:r w:rsidRPr="10A17DDE" w:rsidR="691EF442">
        <w:rPr>
          <w:rFonts w:ascii="Times New Roman" w:hAnsi="Times New Roman" w:eastAsia="Times New Roman" w:cs="Times New Roman"/>
          <w:i w:val="1"/>
          <w:iCs w:val="1"/>
          <w:noProof w:val="0"/>
          <w:sz w:val="24"/>
          <w:szCs w:val="24"/>
          <w:lang w:val="en-GB"/>
        </w:rPr>
        <w:t xml:space="preserve">Target Holdings Ltd v </w:t>
      </w:r>
      <w:r w:rsidRPr="10A17DDE" w:rsidR="691EF442">
        <w:rPr>
          <w:rFonts w:ascii="Times New Roman" w:hAnsi="Times New Roman" w:eastAsia="Times New Roman" w:cs="Times New Roman"/>
          <w:i w:val="1"/>
          <w:iCs w:val="1"/>
          <w:noProof w:val="0"/>
          <w:sz w:val="24"/>
          <w:szCs w:val="24"/>
          <w:lang w:val="en-GB"/>
        </w:rPr>
        <w:t>Redferns</w:t>
      </w:r>
      <w:r w:rsidRPr="10A17DDE" w:rsidR="691EF442">
        <w:rPr>
          <w:rFonts w:ascii="Times New Roman" w:hAnsi="Times New Roman" w:eastAsia="Times New Roman" w:cs="Times New Roman"/>
          <w:noProof w:val="0"/>
          <w:sz w:val="24"/>
          <w:szCs w:val="24"/>
          <w:lang w:val="en-GB"/>
        </w:rPr>
        <w:t xml:space="preserve"> [1996] UKHL 10</w:t>
      </w:r>
      <w:r w:rsidRPr="10A17DDE" w:rsidR="691EF442">
        <w:rPr>
          <w:rFonts w:ascii="Times New Roman" w:hAnsi="Times New Roman" w:eastAsia="Times New Roman" w:cs="Times New Roman"/>
          <w:noProof w:val="0"/>
          <w:sz w:val="24"/>
          <w:szCs w:val="24"/>
          <w:lang w:val="en-GB"/>
        </w:rPr>
        <w:t xml:space="preserve">. </w:t>
      </w:r>
    </w:p>
    <w:p w:rsidR="691EF442" w:rsidP="6AF4FF10" w:rsidRDefault="691EF442" w14:paraId="76709C1D" w14:textId="3C590B82">
      <w:pPr>
        <w:spacing w:before="0" w:beforeAutospacing="off" w:after="160" w:afterAutospacing="off" w:line="276" w:lineRule="auto"/>
        <w:rPr>
          <w:rFonts w:ascii="Times New Roman" w:hAnsi="Times New Roman" w:eastAsia="Times New Roman" w:cs="Times New Roman"/>
          <w:noProof w:val="0"/>
          <w:sz w:val="24"/>
          <w:szCs w:val="24"/>
          <w:lang w:val="en-GB"/>
        </w:rPr>
      </w:pPr>
      <w:r w:rsidRPr="10A17DDE" w:rsidR="691EF442">
        <w:rPr>
          <w:rFonts w:ascii="Times New Roman" w:hAnsi="Times New Roman" w:eastAsia="Times New Roman" w:cs="Times New Roman"/>
          <w:i w:val="1"/>
          <w:iCs w:val="1"/>
          <w:noProof w:val="0"/>
          <w:sz w:val="24"/>
          <w:szCs w:val="24"/>
          <w:lang w:val="en-GB"/>
        </w:rPr>
        <w:t xml:space="preserve">White v Jones </w:t>
      </w:r>
      <w:r w:rsidRPr="10A17DDE" w:rsidR="691EF442">
        <w:rPr>
          <w:rFonts w:ascii="Times New Roman" w:hAnsi="Times New Roman" w:eastAsia="Times New Roman" w:cs="Times New Roman"/>
          <w:noProof w:val="0"/>
          <w:sz w:val="24"/>
          <w:szCs w:val="24"/>
          <w:lang w:val="en-GB"/>
        </w:rPr>
        <w:t>[1995] 2 A.C. 207.</w:t>
      </w:r>
    </w:p>
    <w:p w:rsidR="6AF4FF10" w:rsidP="6AF4FF10" w:rsidRDefault="6AF4FF10" w14:paraId="35EE7A50" w14:textId="4014771C">
      <w:pPr>
        <w:spacing w:before="0" w:beforeAutospacing="off" w:after="160" w:afterAutospacing="off" w:line="276" w:lineRule="auto"/>
        <w:rPr>
          <w:rFonts w:ascii="Times New Roman" w:hAnsi="Times New Roman" w:eastAsia="Times New Roman" w:cs="Times New Roman"/>
          <w:noProof w:val="0"/>
          <w:sz w:val="24"/>
          <w:szCs w:val="24"/>
          <w:lang w:val="en-GB"/>
        </w:rPr>
      </w:pPr>
    </w:p>
    <w:p w:rsidR="09B86347" w:rsidP="4D7FB765" w:rsidRDefault="09B86347" w14:paraId="19CA0673" w14:textId="183AE884">
      <w:pPr>
        <w:pStyle w:val="Normal"/>
        <w:spacing w:line="276" w:lineRule="auto"/>
        <w:jc w:val="both"/>
        <w:rPr>
          <w:rFonts w:ascii="Times New Roman" w:hAnsi="Times New Roman" w:eastAsia="Times New Roman" w:cs="Times New Roman"/>
          <w:b w:val="1"/>
          <w:bCs w:val="1"/>
          <w:noProof w:val="0"/>
          <w:sz w:val="24"/>
          <w:szCs w:val="24"/>
          <w:u w:val="single"/>
          <w:lang w:val="en-GB"/>
        </w:rPr>
      </w:pPr>
      <w:r w:rsidRPr="6AF4FF10" w:rsidR="691EF442">
        <w:rPr>
          <w:rFonts w:ascii="Times New Roman" w:hAnsi="Times New Roman" w:eastAsia="Times New Roman" w:cs="Times New Roman"/>
          <w:b w:val="1"/>
          <w:bCs w:val="1"/>
          <w:noProof w:val="0"/>
          <w:sz w:val="24"/>
          <w:szCs w:val="24"/>
          <w:u w:val="single"/>
          <w:lang w:val="en-GB"/>
        </w:rPr>
        <w:t>References</w:t>
      </w:r>
    </w:p>
    <w:p w:rsidR="691EF442" w:rsidP="6AF4FF10" w:rsidRDefault="691EF442" w14:paraId="07E05C4F" w14:textId="14E2A54D">
      <w:pPr>
        <w:spacing w:before="0" w:beforeAutospacing="off" w:after="160" w:afterAutospacing="off" w:line="276" w:lineRule="auto"/>
        <w:jc w:val="both"/>
        <w:rPr>
          <w:rFonts w:ascii="Times New Roman" w:hAnsi="Times New Roman" w:eastAsia="Times New Roman" w:cs="Times New Roman"/>
          <w:noProof w:val="0"/>
          <w:sz w:val="24"/>
          <w:szCs w:val="24"/>
          <w:lang w:val="en-GB"/>
        </w:rPr>
      </w:pPr>
      <w:r w:rsidRPr="6AF4FF10" w:rsidR="5F43839E">
        <w:rPr>
          <w:rFonts w:ascii="Times New Roman" w:hAnsi="Times New Roman" w:eastAsia="Times New Roman" w:cs="Times New Roman"/>
          <w:noProof w:val="0"/>
          <w:sz w:val="24"/>
          <w:szCs w:val="24"/>
          <w:lang w:val="en-GB"/>
        </w:rPr>
        <w:t xml:space="preserve">Gardener, B. (2022). </w:t>
      </w:r>
      <w:r w:rsidRPr="6AF4FF10" w:rsidR="5F43839E">
        <w:rPr>
          <w:rFonts w:ascii="Times New Roman" w:hAnsi="Times New Roman" w:eastAsia="Times New Roman" w:cs="Times New Roman"/>
          <w:i w:val="1"/>
          <w:iCs w:val="1"/>
          <w:noProof w:val="0"/>
          <w:sz w:val="24"/>
          <w:szCs w:val="24"/>
          <w:lang w:val="en-GB"/>
        </w:rPr>
        <w:t>Trustees’ duties and beneficiaries’ rights under trusts</w:t>
      </w:r>
      <w:r w:rsidRPr="6AF4FF10" w:rsidR="5F43839E">
        <w:rPr>
          <w:rFonts w:ascii="Times New Roman" w:hAnsi="Times New Roman" w:eastAsia="Times New Roman" w:cs="Times New Roman"/>
          <w:noProof w:val="0"/>
          <w:sz w:val="24"/>
          <w:szCs w:val="24"/>
          <w:lang w:val="en-GB"/>
        </w:rPr>
        <w:t xml:space="preserve">. [online] Personal Finance Society. Available at: </w:t>
      </w:r>
      <w:hyperlink r:id="R947224f275194a90">
        <w:r w:rsidRPr="6AF4FF10" w:rsidR="5F43839E">
          <w:rPr>
            <w:rStyle w:val="Hyperlink"/>
            <w:rFonts w:ascii="Times New Roman" w:hAnsi="Times New Roman" w:eastAsia="Times New Roman" w:cs="Times New Roman"/>
            <w:strike w:val="0"/>
            <w:dstrike w:val="0"/>
            <w:noProof w:val="0"/>
            <w:color w:val="0563C1"/>
            <w:sz w:val="24"/>
            <w:szCs w:val="24"/>
            <w:u w:val="single"/>
            <w:lang w:val="en-GB"/>
          </w:rPr>
          <w:t>https://www.thepfs.org/news-insight/news/articles/trustees-duties-and-beneficiaries-rights-under-trusts/01db6bfc-9b2e-4105-b071-9905a3142654</w:t>
        </w:r>
      </w:hyperlink>
      <w:r w:rsidRPr="6AF4FF10" w:rsidR="5F43839E">
        <w:rPr>
          <w:rFonts w:ascii="Times New Roman" w:hAnsi="Times New Roman" w:eastAsia="Times New Roman" w:cs="Times New Roman"/>
          <w:noProof w:val="0"/>
          <w:sz w:val="24"/>
          <w:szCs w:val="24"/>
          <w:lang w:val="en-GB"/>
        </w:rPr>
        <w:t>. Accessed: (01/03/2026)</w:t>
      </w:r>
      <w:r w:rsidRPr="6AF4FF10" w:rsidR="21296619">
        <w:rPr>
          <w:rFonts w:ascii="Times New Roman" w:hAnsi="Times New Roman" w:eastAsia="Times New Roman" w:cs="Times New Roman"/>
          <w:noProof w:val="0"/>
          <w:sz w:val="24"/>
          <w:szCs w:val="24"/>
          <w:lang w:val="en-GB"/>
        </w:rPr>
        <w:t xml:space="preserve">. </w:t>
      </w:r>
    </w:p>
    <w:p w:rsidR="691EF442" w:rsidP="6AF4FF10" w:rsidRDefault="691EF442" w14:paraId="777B9DA2" w14:textId="176B1906">
      <w:pPr>
        <w:spacing w:before="0" w:beforeAutospacing="off" w:after="160" w:afterAutospacing="off" w:line="276" w:lineRule="auto"/>
        <w:jc w:val="both"/>
      </w:pPr>
      <w:r w:rsidRPr="6AF4FF10" w:rsidR="5F43839E">
        <w:rPr>
          <w:rFonts w:ascii="Times New Roman" w:hAnsi="Times New Roman" w:eastAsia="Times New Roman" w:cs="Times New Roman"/>
          <w:noProof w:val="0"/>
          <w:sz w:val="24"/>
          <w:szCs w:val="24"/>
          <w:lang w:val="en-GB"/>
        </w:rPr>
        <w:t xml:space="preserve">Legislation.gov.uk. (2022). </w:t>
      </w:r>
      <w:r w:rsidRPr="6AF4FF10" w:rsidR="5F43839E">
        <w:rPr>
          <w:rFonts w:ascii="Times New Roman" w:hAnsi="Times New Roman" w:eastAsia="Times New Roman" w:cs="Times New Roman"/>
          <w:i w:val="1"/>
          <w:iCs w:val="1"/>
          <w:noProof w:val="0"/>
          <w:sz w:val="24"/>
          <w:szCs w:val="24"/>
          <w:lang w:val="en-GB"/>
        </w:rPr>
        <w:t>Trusts of Land and Appointment of Trustees Act 1996</w:t>
      </w:r>
      <w:r w:rsidRPr="6AF4FF10" w:rsidR="5F43839E">
        <w:rPr>
          <w:rFonts w:ascii="Times New Roman" w:hAnsi="Times New Roman" w:eastAsia="Times New Roman" w:cs="Times New Roman"/>
          <w:noProof w:val="0"/>
          <w:sz w:val="24"/>
          <w:szCs w:val="24"/>
          <w:lang w:val="en-GB"/>
        </w:rPr>
        <w:t xml:space="preserve">. [online] Available at: </w:t>
      </w:r>
      <w:hyperlink r:id="Ra01c9d62bd0d45c9">
        <w:r w:rsidRPr="6AF4FF10" w:rsidR="5F43839E">
          <w:rPr>
            <w:rStyle w:val="Hyperlink"/>
            <w:rFonts w:ascii="Times New Roman" w:hAnsi="Times New Roman" w:eastAsia="Times New Roman" w:cs="Times New Roman"/>
            <w:strike w:val="0"/>
            <w:dstrike w:val="0"/>
            <w:noProof w:val="0"/>
            <w:color w:val="0563C1"/>
            <w:sz w:val="24"/>
            <w:szCs w:val="24"/>
            <w:u w:val="single"/>
            <w:lang w:val="en-GB"/>
          </w:rPr>
          <w:t>https://www.legislation.gov.uk/ukpga/1996/47/part/I/crossheading/right-of-beneficiaries-to-occupy-trust-land</w:t>
        </w:r>
      </w:hyperlink>
      <w:r w:rsidRPr="6AF4FF10" w:rsidR="5F43839E">
        <w:rPr>
          <w:rFonts w:ascii="Times New Roman" w:hAnsi="Times New Roman" w:eastAsia="Times New Roman" w:cs="Times New Roman"/>
          <w:noProof w:val="0"/>
          <w:sz w:val="24"/>
          <w:szCs w:val="24"/>
          <w:lang w:val="en-GB"/>
        </w:rPr>
        <w:t xml:space="preserve">. Accessed: (10/03/2026). </w:t>
      </w:r>
    </w:p>
    <w:p w:rsidR="691EF442" w:rsidP="6AF4FF10" w:rsidRDefault="691EF442" w14:paraId="2C048B8A" w14:textId="2A1B1148">
      <w:pPr>
        <w:spacing w:before="0" w:beforeAutospacing="off" w:after="160" w:afterAutospacing="off" w:line="276" w:lineRule="auto"/>
        <w:jc w:val="both"/>
        <w:rPr>
          <w:rFonts w:ascii="Times New Roman" w:hAnsi="Times New Roman" w:eastAsia="Times New Roman" w:cs="Times New Roman"/>
          <w:noProof w:val="0"/>
          <w:sz w:val="24"/>
          <w:szCs w:val="24"/>
          <w:lang w:val="en-GB"/>
        </w:rPr>
      </w:pPr>
      <w:r w:rsidRPr="6AF4FF10" w:rsidR="5F43839E">
        <w:rPr>
          <w:rFonts w:ascii="Times New Roman" w:hAnsi="Times New Roman" w:eastAsia="Times New Roman" w:cs="Times New Roman"/>
          <w:noProof w:val="0"/>
          <w:sz w:val="24"/>
          <w:szCs w:val="24"/>
          <w:lang w:val="en-GB"/>
        </w:rPr>
        <w:t xml:space="preserve">Ruston, S., and Moore, S. (2024). </w:t>
      </w:r>
      <w:r w:rsidRPr="6AF4FF10" w:rsidR="5F43839E">
        <w:rPr>
          <w:rFonts w:ascii="Times New Roman" w:hAnsi="Times New Roman" w:eastAsia="Times New Roman" w:cs="Times New Roman"/>
          <w:i w:val="1"/>
          <w:iCs w:val="1"/>
          <w:noProof w:val="0"/>
          <w:sz w:val="24"/>
          <w:szCs w:val="24"/>
          <w:lang w:val="en-GB"/>
        </w:rPr>
        <w:t>The Rights of Beneficiaries: Access to Trust Information</w:t>
      </w:r>
      <w:r w:rsidRPr="6AF4FF10" w:rsidR="5F43839E">
        <w:rPr>
          <w:rFonts w:ascii="Times New Roman" w:hAnsi="Times New Roman" w:eastAsia="Times New Roman" w:cs="Times New Roman"/>
          <w:noProof w:val="0"/>
          <w:sz w:val="24"/>
          <w:szCs w:val="24"/>
          <w:lang w:val="en-GB"/>
        </w:rPr>
        <w:t xml:space="preserve">. [online] </w:t>
      </w:r>
      <w:r w:rsidRPr="6AF4FF10" w:rsidR="5F43839E">
        <w:rPr>
          <w:rFonts w:ascii="Times New Roman" w:hAnsi="Times New Roman" w:eastAsia="Times New Roman" w:cs="Times New Roman"/>
          <w:noProof w:val="0"/>
          <w:sz w:val="24"/>
          <w:szCs w:val="24"/>
          <w:lang w:val="en-GB"/>
        </w:rPr>
        <w:t>Lexology</w:t>
      </w:r>
      <w:r w:rsidRPr="6AF4FF10" w:rsidR="5F43839E">
        <w:rPr>
          <w:rFonts w:ascii="Times New Roman" w:hAnsi="Times New Roman" w:eastAsia="Times New Roman" w:cs="Times New Roman"/>
          <w:noProof w:val="0"/>
          <w:sz w:val="24"/>
          <w:szCs w:val="24"/>
          <w:lang w:val="en-GB"/>
        </w:rPr>
        <w:t xml:space="preserve">. Available at: </w:t>
      </w:r>
      <w:hyperlink r:id="R377102ddab674a84">
        <w:r w:rsidRPr="6AF4FF10" w:rsidR="5F43839E">
          <w:rPr>
            <w:rStyle w:val="Hyperlink"/>
            <w:rFonts w:ascii="Times New Roman" w:hAnsi="Times New Roman" w:eastAsia="Times New Roman" w:cs="Times New Roman"/>
            <w:strike w:val="0"/>
            <w:dstrike w:val="0"/>
            <w:noProof w:val="0"/>
            <w:color w:val="0563C1"/>
            <w:sz w:val="24"/>
            <w:szCs w:val="24"/>
            <w:u w:val="single"/>
            <w:lang w:val="en-GB"/>
          </w:rPr>
          <w:t>https://www.lexology.com/library/detail.aspx?g=3bac2062-152b-4285-9afc-696d785cbb22</w:t>
        </w:r>
      </w:hyperlink>
      <w:r w:rsidRPr="6AF4FF10" w:rsidR="5F43839E">
        <w:rPr>
          <w:rFonts w:ascii="Times New Roman" w:hAnsi="Times New Roman" w:eastAsia="Times New Roman" w:cs="Times New Roman"/>
          <w:noProof w:val="0"/>
          <w:sz w:val="24"/>
          <w:szCs w:val="24"/>
          <w:lang w:val="en-GB"/>
        </w:rPr>
        <w:t xml:space="preserve"> Accessed: (05/03/2026)</w:t>
      </w:r>
      <w:r w:rsidRPr="6AF4FF10" w:rsidR="5CF50665">
        <w:rPr>
          <w:rFonts w:ascii="Times New Roman" w:hAnsi="Times New Roman" w:eastAsia="Times New Roman" w:cs="Times New Roman"/>
          <w:noProof w:val="0"/>
          <w:sz w:val="24"/>
          <w:szCs w:val="24"/>
          <w:lang w:val="en-GB"/>
        </w:rPr>
        <w:t xml:space="preserve">. </w:t>
      </w:r>
    </w:p>
    <w:p w:rsidR="691EF442" w:rsidP="6AF4FF10" w:rsidRDefault="691EF442" w14:paraId="0483AA43" w14:textId="5804C816">
      <w:pPr>
        <w:spacing w:before="0" w:beforeAutospacing="off" w:after="160" w:afterAutospacing="off" w:line="276" w:lineRule="auto"/>
        <w:jc w:val="both"/>
        <w:rPr>
          <w:rFonts w:ascii="Times New Roman" w:hAnsi="Times New Roman" w:eastAsia="Times New Roman" w:cs="Times New Roman"/>
          <w:noProof w:val="0"/>
          <w:sz w:val="24"/>
          <w:szCs w:val="24"/>
          <w:lang w:val="en-GB"/>
        </w:rPr>
      </w:pPr>
      <w:r w:rsidRPr="6AF4FF10" w:rsidR="5F43839E">
        <w:rPr>
          <w:rFonts w:ascii="Times New Roman" w:hAnsi="Times New Roman" w:eastAsia="Times New Roman" w:cs="Times New Roman"/>
          <w:noProof w:val="0"/>
          <w:sz w:val="24"/>
          <w:szCs w:val="24"/>
          <w:lang w:val="en-GB"/>
        </w:rPr>
        <w:t xml:space="preserve">Schnoor, A. (2024). </w:t>
      </w:r>
      <w:r w:rsidRPr="6AF4FF10" w:rsidR="5F43839E">
        <w:rPr>
          <w:rFonts w:ascii="Times New Roman" w:hAnsi="Times New Roman" w:eastAsia="Times New Roman" w:cs="Times New Roman"/>
          <w:i w:val="1"/>
          <w:iCs w:val="1"/>
          <w:noProof w:val="0"/>
          <w:sz w:val="24"/>
          <w:szCs w:val="24"/>
          <w:lang w:val="en-GB"/>
        </w:rPr>
        <w:t>11 Things Every Trust Beneficiary Should Know</w:t>
      </w:r>
      <w:r w:rsidRPr="6AF4FF10" w:rsidR="5F43839E">
        <w:rPr>
          <w:rFonts w:ascii="Times New Roman" w:hAnsi="Times New Roman" w:eastAsia="Times New Roman" w:cs="Times New Roman"/>
          <w:noProof w:val="0"/>
          <w:sz w:val="24"/>
          <w:szCs w:val="24"/>
          <w:lang w:val="en-GB"/>
        </w:rPr>
        <w:t xml:space="preserve">. [online] Weareatticus.com. Available at: </w:t>
      </w:r>
      <w:hyperlink r:id="R8603064541454df0">
        <w:r w:rsidRPr="6AF4FF10" w:rsidR="5F43839E">
          <w:rPr>
            <w:rStyle w:val="Hyperlink"/>
            <w:rFonts w:ascii="Times New Roman" w:hAnsi="Times New Roman" w:eastAsia="Times New Roman" w:cs="Times New Roman"/>
            <w:strike w:val="0"/>
            <w:dstrike w:val="0"/>
            <w:noProof w:val="0"/>
            <w:color w:val="0563C1"/>
            <w:sz w:val="24"/>
            <w:szCs w:val="24"/>
            <w:u w:val="single"/>
            <w:lang w:val="en-GB"/>
          </w:rPr>
          <w:t>https://www.weareatticus.com/articles/11-things-every-trust-beneficiary-should-know</w:t>
        </w:r>
      </w:hyperlink>
      <w:r w:rsidRPr="6AF4FF10" w:rsidR="5F43839E">
        <w:rPr>
          <w:rFonts w:ascii="Times New Roman" w:hAnsi="Times New Roman" w:eastAsia="Times New Roman" w:cs="Times New Roman"/>
          <w:noProof w:val="0"/>
          <w:sz w:val="24"/>
          <w:szCs w:val="24"/>
          <w:lang w:val="en-GB"/>
        </w:rPr>
        <w:t xml:space="preserve"> Accessed: (06/03/2026)</w:t>
      </w:r>
      <w:r w:rsidRPr="6AF4FF10" w:rsidR="2F563C73">
        <w:rPr>
          <w:rFonts w:ascii="Times New Roman" w:hAnsi="Times New Roman" w:eastAsia="Times New Roman" w:cs="Times New Roman"/>
          <w:noProof w:val="0"/>
          <w:sz w:val="24"/>
          <w:szCs w:val="24"/>
          <w:lang w:val="en-GB"/>
        </w:rPr>
        <w:t xml:space="preserve">. </w:t>
      </w:r>
    </w:p>
    <w:p w:rsidR="691EF442" w:rsidP="6AF4FF10" w:rsidRDefault="691EF442" w14:paraId="3544D577" w14:textId="784C2B6D">
      <w:pPr>
        <w:spacing w:before="0" w:beforeAutospacing="off" w:after="160" w:afterAutospacing="off" w:line="276" w:lineRule="auto"/>
        <w:jc w:val="both"/>
        <w:rPr>
          <w:rFonts w:ascii="Times New Roman" w:hAnsi="Times New Roman" w:eastAsia="Times New Roman" w:cs="Times New Roman"/>
          <w:noProof w:val="0"/>
          <w:sz w:val="24"/>
          <w:szCs w:val="24"/>
          <w:lang w:val="en-GB"/>
        </w:rPr>
      </w:pPr>
      <w:r w:rsidRPr="6AF4FF10" w:rsidR="5F43839E">
        <w:rPr>
          <w:rFonts w:ascii="Times New Roman" w:hAnsi="Times New Roman" w:eastAsia="Times New Roman" w:cs="Times New Roman"/>
          <w:noProof w:val="0"/>
          <w:sz w:val="24"/>
          <w:szCs w:val="24"/>
          <w:lang w:val="en-GB"/>
        </w:rPr>
        <w:t xml:space="preserve">Watt, G. (2021). </w:t>
      </w:r>
      <w:r w:rsidRPr="6AF4FF10" w:rsidR="5F43839E">
        <w:rPr>
          <w:rFonts w:ascii="Times New Roman" w:hAnsi="Times New Roman" w:eastAsia="Times New Roman" w:cs="Times New Roman"/>
          <w:i w:val="1"/>
          <w:iCs w:val="1"/>
          <w:noProof w:val="0"/>
          <w:sz w:val="24"/>
          <w:szCs w:val="24"/>
          <w:lang w:val="en-GB"/>
        </w:rPr>
        <w:t>Equity &amp; trusts law</w:t>
      </w:r>
      <w:r w:rsidRPr="6AF4FF10" w:rsidR="5F43839E">
        <w:rPr>
          <w:rFonts w:ascii="Times New Roman" w:hAnsi="Times New Roman" w:eastAsia="Times New Roman" w:cs="Times New Roman"/>
          <w:noProof w:val="0"/>
          <w:sz w:val="24"/>
          <w:szCs w:val="24"/>
          <w:lang w:val="en-GB"/>
        </w:rPr>
        <w:t>. 7th ed. Oxford: Oxford University Press. Accessed: (06/03/2026)</w:t>
      </w:r>
      <w:r w:rsidRPr="6AF4FF10" w:rsidR="7C444949">
        <w:rPr>
          <w:rFonts w:ascii="Times New Roman" w:hAnsi="Times New Roman" w:eastAsia="Times New Roman" w:cs="Times New Roman"/>
          <w:noProof w:val="0"/>
          <w:sz w:val="24"/>
          <w:szCs w:val="24"/>
          <w:lang w:val="en-GB"/>
        </w:rPr>
        <w:t xml:space="preserve">. </w:t>
      </w:r>
    </w:p>
    <w:p w:rsidR="691EF442" w:rsidP="6AF4FF10" w:rsidRDefault="691EF442" w14:paraId="0D06972D" w14:textId="1BC6E6DA">
      <w:pPr>
        <w:spacing w:before="0" w:beforeAutospacing="off" w:after="160" w:afterAutospacing="off" w:line="276" w:lineRule="auto"/>
        <w:jc w:val="both"/>
      </w:pPr>
      <w:r w:rsidRPr="6AF4FF10" w:rsidR="5F43839E">
        <w:rPr>
          <w:rFonts w:ascii="Times New Roman" w:hAnsi="Times New Roman" w:eastAsia="Times New Roman" w:cs="Times New Roman"/>
          <w:noProof w:val="0"/>
          <w:sz w:val="24"/>
          <w:szCs w:val="24"/>
          <w:lang w:val="en-GB"/>
        </w:rPr>
        <w:t xml:space="preserve">Watt, G. (2023). </w:t>
      </w:r>
      <w:r w:rsidRPr="6AF4FF10" w:rsidR="5F43839E">
        <w:rPr>
          <w:rFonts w:ascii="Times New Roman" w:hAnsi="Times New Roman" w:eastAsia="Times New Roman" w:cs="Times New Roman"/>
          <w:i w:val="1"/>
          <w:iCs w:val="1"/>
          <w:noProof w:val="0"/>
          <w:sz w:val="24"/>
          <w:szCs w:val="24"/>
          <w:lang w:val="en-GB"/>
        </w:rPr>
        <w:t>Trusts and equity</w:t>
      </w:r>
      <w:r w:rsidRPr="6AF4FF10" w:rsidR="5F43839E">
        <w:rPr>
          <w:rFonts w:ascii="Times New Roman" w:hAnsi="Times New Roman" w:eastAsia="Times New Roman" w:cs="Times New Roman"/>
          <w:noProof w:val="0"/>
          <w:sz w:val="24"/>
          <w:szCs w:val="24"/>
          <w:lang w:val="en-GB"/>
        </w:rPr>
        <w:t xml:space="preserve">. 10th ed. Oxford; New York: Oxford University Press. Accessed: (12/03/2026). </w:t>
      </w:r>
    </w:p>
    <w:p w:rsidR="691EF442" w:rsidP="6AF4FF10" w:rsidRDefault="691EF442" w14:paraId="7703FD32" w14:textId="1ED24423">
      <w:pPr>
        <w:spacing w:before="0" w:beforeAutospacing="off" w:after="160" w:afterAutospacing="off" w:line="276" w:lineRule="auto"/>
        <w:jc w:val="both"/>
      </w:pPr>
      <w:r w:rsidRPr="6AF4FF10" w:rsidR="5F43839E">
        <w:rPr>
          <w:rFonts w:ascii="Times New Roman" w:hAnsi="Times New Roman" w:eastAsia="Times New Roman" w:cs="Times New Roman"/>
          <w:noProof w:val="0"/>
          <w:sz w:val="24"/>
          <w:szCs w:val="24"/>
          <w:lang w:val="en-US"/>
        </w:rPr>
        <w:t xml:space="preserve">Wilson, S., and Todd, P. (2015). </w:t>
      </w:r>
      <w:r w:rsidRPr="6AF4FF10" w:rsidR="5F43839E">
        <w:rPr>
          <w:rFonts w:ascii="Times New Roman" w:hAnsi="Times New Roman" w:eastAsia="Times New Roman" w:cs="Times New Roman"/>
          <w:i w:val="1"/>
          <w:iCs w:val="1"/>
          <w:noProof w:val="0"/>
          <w:sz w:val="24"/>
          <w:szCs w:val="24"/>
          <w:lang w:val="en-US"/>
        </w:rPr>
        <w:t xml:space="preserve">Todd &amp; Wilson’s textbook on </w:t>
      </w:r>
      <w:bookmarkStart w:name="_Int_703UnfCy" w:id="608829563"/>
      <w:r w:rsidRPr="6AF4FF10" w:rsidR="5F43839E">
        <w:rPr>
          <w:rFonts w:ascii="Times New Roman" w:hAnsi="Times New Roman" w:eastAsia="Times New Roman" w:cs="Times New Roman"/>
          <w:i w:val="1"/>
          <w:iCs w:val="1"/>
          <w:noProof w:val="0"/>
          <w:sz w:val="24"/>
          <w:szCs w:val="24"/>
          <w:lang w:val="en-US"/>
        </w:rPr>
        <w:t>trusts</w:t>
      </w:r>
      <w:bookmarkEnd w:id="608829563"/>
      <w:r w:rsidRPr="6AF4FF10" w:rsidR="5F43839E">
        <w:rPr>
          <w:rFonts w:ascii="Times New Roman" w:hAnsi="Times New Roman" w:eastAsia="Times New Roman" w:cs="Times New Roman"/>
          <w:i w:val="1"/>
          <w:iCs w:val="1"/>
          <w:noProof w:val="0"/>
          <w:sz w:val="24"/>
          <w:szCs w:val="24"/>
          <w:lang w:val="en-US"/>
        </w:rPr>
        <w:t xml:space="preserve"> &amp; equity.</w:t>
      </w:r>
      <w:r w:rsidRPr="6AF4FF10" w:rsidR="5F43839E">
        <w:rPr>
          <w:rFonts w:ascii="Times New Roman" w:hAnsi="Times New Roman" w:eastAsia="Times New Roman" w:cs="Times New Roman"/>
          <w:noProof w:val="0"/>
          <w:sz w:val="24"/>
          <w:szCs w:val="24"/>
          <w:lang w:val="en-US"/>
        </w:rPr>
        <w:t xml:space="preserve"> Oxford: Oxford University Press. Accessed: (06/03/2026)</w:t>
      </w:r>
      <w:r w:rsidRPr="6AF4FF10" w:rsidR="1A780851">
        <w:rPr>
          <w:rFonts w:ascii="Times New Roman" w:hAnsi="Times New Roman" w:eastAsia="Times New Roman" w:cs="Times New Roman"/>
          <w:noProof w:val="0"/>
          <w:sz w:val="24"/>
          <w:szCs w:val="24"/>
          <w:lang w:val="en-US"/>
        </w:rPr>
        <w:t xml:space="preserve">. </w:t>
      </w:r>
      <w:r w:rsidRPr="6AF4FF10" w:rsidR="5F43839E">
        <w:rPr>
          <w:rFonts w:ascii="Times New Roman" w:hAnsi="Times New Roman" w:eastAsia="Times New Roman" w:cs="Times New Roman"/>
          <w:noProof w:val="0"/>
          <w:sz w:val="24"/>
          <w:szCs w:val="24"/>
          <w:lang w:val="en-GB"/>
        </w:rPr>
        <w:t xml:space="preserve"> </w:t>
      </w:r>
    </w:p>
    <w:p w:rsidR="691EF442" w:rsidP="6AF4FF10" w:rsidRDefault="691EF442" w14:paraId="796D2DD3" w14:textId="77854BB4">
      <w:pPr>
        <w:pStyle w:val="Normal"/>
        <w:spacing w:before="0" w:beforeAutospacing="off" w:after="240" w:afterAutospacing="off" w:line="276" w:lineRule="auto"/>
        <w:jc w:val="both"/>
        <w:rPr>
          <w:rFonts w:ascii="Times New Roman" w:hAnsi="Times New Roman" w:eastAsia="Times New Roman" w:cs="Times New Roman"/>
          <w:b w:val="0"/>
          <w:bCs w:val="0"/>
          <w:noProof w:val="0"/>
          <w:sz w:val="24"/>
          <w:szCs w:val="24"/>
          <w:u w:val="none"/>
          <w:lang w:val="en-GB"/>
        </w:rPr>
      </w:pPr>
    </w:p>
    <w:p w:rsidR="691EF442" w:rsidP="6AF4FF10" w:rsidRDefault="691EF442" w14:paraId="3FF31FF2" w14:textId="7A9D157F">
      <w:pPr>
        <w:pStyle w:val="Normal"/>
        <w:spacing w:before="0" w:beforeAutospacing="off" w:after="240" w:afterAutospacing="off" w:line="276" w:lineRule="auto"/>
        <w:jc w:val="both"/>
        <w:rPr>
          <w:rFonts w:ascii="Times New Roman" w:hAnsi="Times New Roman" w:eastAsia="Times New Roman" w:cs="Times New Roman"/>
          <w:noProof w:val="0"/>
          <w:sz w:val="24"/>
          <w:szCs w:val="24"/>
          <w:lang w:val="en-GB"/>
        </w:rPr>
      </w:pPr>
      <w:r w:rsidRPr="6AF4FF10" w:rsidR="691EF442">
        <w:rPr>
          <w:rFonts w:ascii="Times New Roman" w:hAnsi="Times New Roman" w:eastAsia="Times New Roman" w:cs="Times New Roman"/>
          <w:noProof w:val="0"/>
          <w:sz w:val="24"/>
          <w:szCs w:val="24"/>
          <w:lang w:val="en-GB"/>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rsidR="159D74D5" w:rsidP="159D74D5" w:rsidRDefault="159D74D5" w14:paraId="616EB817" w14:textId="461DDC78">
      <w:pPr>
        <w:spacing w:before="0" w:beforeAutospacing="off" w:after="240" w:afterAutospacing="off" w:line="360" w:lineRule="auto"/>
        <w:jc w:val="both"/>
        <w:rPr>
          <w:rFonts w:ascii="Times New Roman" w:hAnsi="Times New Roman" w:eastAsia="Times New Roman" w:cs="Times New Roman"/>
          <w:noProof w:val="0"/>
          <w:sz w:val="24"/>
          <w:szCs w:val="24"/>
          <w:lang w:val="en-GB"/>
        </w:rPr>
      </w:pPr>
    </w:p>
    <w:p w:rsidR="159D74D5" w:rsidP="159D74D5" w:rsidRDefault="159D74D5" w14:paraId="58E00995" w14:textId="4F0C9E50">
      <w:pPr>
        <w:spacing w:before="0" w:beforeAutospacing="off" w:after="240" w:afterAutospacing="off" w:line="360" w:lineRule="auto"/>
        <w:jc w:val="both"/>
        <w:rPr>
          <w:rFonts w:ascii="Times New Roman" w:hAnsi="Times New Roman" w:eastAsia="Times New Roman" w:cs="Times New Roman"/>
          <w:noProof w:val="0"/>
          <w:sz w:val="24"/>
          <w:szCs w:val="24"/>
          <w:lang w:val="en-GB"/>
        </w:rPr>
      </w:pPr>
    </w:p>
    <w:p w:rsidR="159D74D5" w:rsidP="159D74D5" w:rsidRDefault="159D74D5" w14:paraId="308EC759" w14:textId="738E914D">
      <w:pPr>
        <w:spacing w:before="0" w:beforeAutospacing="off" w:after="240" w:afterAutospacing="off" w:line="360" w:lineRule="auto"/>
        <w:jc w:val="both"/>
        <w:rPr>
          <w:rFonts w:ascii="Times New Roman" w:hAnsi="Times New Roman" w:eastAsia="Times New Roman" w:cs="Times New Roman"/>
          <w:noProof w:val="0"/>
          <w:sz w:val="24"/>
          <w:szCs w:val="24"/>
          <w:lang w:val="en-GB"/>
        </w:rPr>
      </w:pPr>
    </w:p>
    <w:p w:rsidR="6357549E" w:rsidP="6357549E" w:rsidRDefault="6357549E" w14:paraId="78C9E727" w14:textId="6205B93F">
      <w:pPr>
        <w:spacing w:before="0" w:beforeAutospacing="off" w:after="240" w:afterAutospacing="off" w:line="360" w:lineRule="auto"/>
        <w:jc w:val="both"/>
        <w:rPr>
          <w:rFonts w:ascii="Times New Roman" w:hAnsi="Times New Roman" w:eastAsia="Times New Roman" w:cs="Times New Roman"/>
          <w:noProof w:val="0"/>
          <w:sz w:val="24"/>
          <w:szCs w:val="24"/>
          <w:lang w:val="en-GB"/>
        </w:rPr>
      </w:pPr>
    </w:p>
    <w:p w:rsidR="4D7FB765" w:rsidP="4D7FB765" w:rsidRDefault="4D7FB765" w14:paraId="6C0CBE82" w14:textId="1DA9DAC9">
      <w:pPr>
        <w:pStyle w:val="Normal"/>
        <w:spacing w:line="276" w:lineRule="auto"/>
        <w:jc w:val="both"/>
        <w:rPr>
          <w:rFonts w:ascii="Times New Roman" w:hAnsi="Times New Roman" w:eastAsia="Times New Roman" w:cs="Times New Roman"/>
          <w:b w:val="0"/>
          <w:bCs w:val="0"/>
          <w:noProof w:val="0"/>
          <w:sz w:val="24"/>
          <w:szCs w:val="24"/>
          <w:u w:val="none"/>
          <w:lang w:val="en-GB"/>
        </w:rPr>
      </w:pPr>
    </w:p>
    <w:p xmlns:wp14="http://schemas.microsoft.com/office/word/2010/wordml" w:rsidP="17EAB9BC" wp14:paraId="3EE21430" wp14:textId="4AB6F78D">
      <w:pPr>
        <w:spacing w:line="276"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17EAB9BC" wp14:paraId="7239DC29" wp14:textId="7DA94D7B">
      <w:pPr>
        <w:spacing w:line="276"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17EAB9BC" wp14:paraId="132D7567" wp14:textId="10023C86">
      <w:pPr>
        <w:spacing w:line="276"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17EAB9BC" wp14:paraId="6A23D535" wp14:textId="244DA4B9">
      <w:pPr>
        <w:spacing w:line="276"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17EAB9BC" wp14:paraId="4327B4FD" wp14:textId="2836CE73">
      <w:pPr>
        <w:spacing w:line="276"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17EAB9BC" wp14:paraId="41607771" wp14:textId="2D11D25A">
      <w:pPr>
        <w:spacing w:line="276"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17EAB9BC" wp14:paraId="1D008E83" wp14:textId="40A806E9">
      <w:pPr>
        <w:spacing w:line="276"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17EAB9BC" wp14:paraId="66E4BD06" wp14:textId="14E78F2D">
      <w:pPr>
        <w:spacing w:line="276"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17EAB9BC" wp14:paraId="5854C61D" wp14:textId="48F4D549">
      <w:pPr>
        <w:spacing w:line="276"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17EAB9BC" wp14:paraId="0C0962BC" wp14:textId="14A484EE">
      <w:pPr>
        <w:spacing w:line="276"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17EAB9BC" wp14:paraId="054BC345" wp14:textId="0AEBAEDD">
      <w:pPr>
        <w:spacing w:line="276"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17EAB9BC" wp14:paraId="47E12A34" wp14:textId="654AE3EF">
      <w:pPr>
        <w:spacing w:line="276"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17EAB9BC" wp14:paraId="073605B5" wp14:textId="664D53FB">
      <w:pPr>
        <w:spacing w:line="276"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17EAB9BC" wp14:paraId="6DC3DDE3" wp14:textId="1D1F57FC">
      <w:pPr>
        <w:spacing w:line="276"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17EAB9BC" wp14:paraId="4778C5DA" wp14:textId="1CA6B4F2">
      <w:pPr>
        <w:spacing w:line="276"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17EAB9BC" wp14:paraId="0B5DAAFF" wp14:textId="21EACAEE">
      <w:pPr>
        <w:spacing w:line="276"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17EAB9BC" wp14:paraId="4B404446" wp14:textId="6396D4E6">
      <w:pPr>
        <w:spacing w:line="276"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17EAB9BC" wp14:paraId="7F00981F" wp14:textId="63912AEF">
      <w:pPr>
        <w:spacing w:line="276"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17EAB9BC" wp14:paraId="662FF7B0" wp14:textId="3AD0AEEA">
      <w:pPr>
        <w:spacing w:line="276"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17EAB9BC" wp14:paraId="04372BDF" wp14:textId="3AA3A1DA">
      <w:pPr>
        <w:spacing w:line="276"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17EAB9BC" wp14:paraId="32E6D071" wp14:textId="35166E4F">
      <w:pPr>
        <w:spacing w:line="276"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17EAB9BC" wp14:paraId="2BA06D43" wp14:textId="17724D56">
      <w:pPr>
        <w:spacing w:line="276"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17EAB9BC" wp14:paraId="6D20F174" wp14:textId="4243773E">
      <w:pPr>
        <w:spacing w:line="276"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17EAB9BC" wp14:paraId="2AA6D92B" wp14:textId="597989C6">
      <w:pPr>
        <w:spacing w:line="276"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17EAB9BC" wp14:paraId="49E4A21F" wp14:textId="789297B4">
      <w:pPr>
        <w:spacing w:line="276"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17EAB9BC" wp14:paraId="4EEBB859" wp14:textId="0D2BFF13">
      <w:pPr>
        <w:spacing w:line="276"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17EAB9BC" wp14:paraId="57C283BF" wp14:textId="0F9EEAD2">
      <w:pPr>
        <w:spacing w:line="276"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17EAB9BC" wp14:paraId="1C0B7650" wp14:textId="45F517F0">
      <w:pPr>
        <w:spacing w:line="276"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17EAB9BC" wp14:paraId="29773647" wp14:textId="569D310E">
      <w:pPr>
        <w:spacing w:before="240" w:after="240"/>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p14:paraId="2C078E63" wp14:textId="15B3617B"/>
    <w:sectPr>
      <w:pgSz w:w="12240" w:h="15840" w:orient="portrait"/>
      <w:pgMar w:top="1440" w:right="1440" w:bottom="1440" w:left="1440" w:header="720" w:footer="720" w:gutter="0"/>
      <w:cols w:space="720"/>
      <w:docGrid w:linePitch="360"/>
      <w:footerReference w:type="default" r:id="R43ad36f5959e43b5"/>
      <w:footerReference w:type="even" r:id="R52e4374f65bc44f8"/>
      <w:footerReference w:type="first" r:id="R7d62f6ed13374b5e"/>
      <w:headerReference w:type="default" r:id="Rd2b9975a809b443a"/>
      <w:headerReference w:type="even" r:id="R9d2bb7ef2e9b4bff"/>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17EAB9BC" w:rsidTr="17EAB9BC" w14:paraId="7C249933">
      <w:trPr>
        <w:trHeight w:val="300"/>
      </w:trPr>
      <w:tc>
        <w:tcPr>
          <w:tcW w:w="3120" w:type="dxa"/>
          <w:tcMar/>
        </w:tcPr>
        <w:p w:rsidR="17EAB9BC" w:rsidP="17EAB9BC" w:rsidRDefault="17EAB9BC" w14:paraId="55854848" w14:textId="2DE993F9">
          <w:pPr>
            <w:pStyle w:val="Header"/>
            <w:bidi w:val="0"/>
            <w:ind w:left="-115"/>
            <w:jc w:val="left"/>
          </w:pPr>
        </w:p>
      </w:tc>
      <w:tc>
        <w:tcPr>
          <w:tcW w:w="3120" w:type="dxa"/>
          <w:tcMar/>
        </w:tcPr>
        <w:p w:rsidR="17EAB9BC" w:rsidP="17EAB9BC" w:rsidRDefault="17EAB9BC" w14:paraId="2E5EF12D" w14:textId="586C9AAB">
          <w:pPr>
            <w:pStyle w:val="Header"/>
            <w:bidi w:val="0"/>
            <w:jc w:val="center"/>
          </w:pPr>
        </w:p>
      </w:tc>
      <w:tc>
        <w:tcPr>
          <w:tcW w:w="3120" w:type="dxa"/>
          <w:tcMar/>
        </w:tcPr>
        <w:p w:rsidR="17EAB9BC" w:rsidP="17EAB9BC" w:rsidRDefault="17EAB9BC" w14:paraId="371248A1" w14:textId="37A96CFD">
          <w:pPr>
            <w:pStyle w:val="Header"/>
            <w:bidi w:val="0"/>
            <w:ind w:right="-115"/>
            <w:jc w:val="right"/>
            <w:rPr>
              <w:rFonts w:ascii="Times New Roman" w:hAnsi="Times New Roman" w:eastAsia="Times New Roman" w:cs="Times New Roman"/>
            </w:rPr>
          </w:pPr>
          <w:r w:rsidRPr="17EAB9BC" w:rsidR="17EAB9BC">
            <w:rPr>
              <w:rFonts w:ascii="Times New Roman" w:hAnsi="Times New Roman" w:eastAsia="Times New Roman" w:cs="Times New Roman"/>
            </w:rPr>
            <w:t xml:space="preserve">Chloe Foulis </w:t>
          </w:r>
        </w:p>
        <w:p w:rsidR="17EAB9BC" w:rsidP="17EAB9BC" w:rsidRDefault="17EAB9BC" w14:paraId="066C1958" w14:textId="65EA87A7">
          <w:pPr>
            <w:pStyle w:val="Header"/>
            <w:bidi w:val="0"/>
            <w:ind w:right="-115"/>
            <w:jc w:val="right"/>
            <w:rPr>
              <w:rFonts w:ascii="Times New Roman" w:hAnsi="Times New Roman" w:eastAsia="Times New Roman" w:cs="Times New Roman"/>
            </w:rPr>
          </w:pPr>
          <w:r w:rsidRPr="17EAB9BC" w:rsidR="17EAB9BC">
            <w:rPr>
              <w:rFonts w:ascii="Times New Roman" w:hAnsi="Times New Roman" w:eastAsia="Times New Roman" w:cs="Times New Roman"/>
            </w:rPr>
            <w:t>2204897</w:t>
          </w:r>
        </w:p>
      </w:tc>
    </w:tr>
  </w:tbl>
  <w:p w:rsidR="17EAB9BC" w:rsidP="17EAB9BC" w:rsidRDefault="17EAB9BC" w14:paraId="01F3C50F" w14:textId="7772A60B">
    <w:pPr>
      <w:pStyle w:val="Footer"/>
      <w:bidi w:val="0"/>
    </w:pPr>
  </w:p>
</w:ftr>
</file>

<file path=word/footer2.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17EAB9BC" w:rsidTr="17EAB9BC" w14:paraId="60E63814">
      <w:trPr>
        <w:trHeight w:val="300"/>
      </w:trPr>
      <w:tc>
        <w:tcPr>
          <w:tcW w:w="3120" w:type="dxa"/>
          <w:tcMar/>
        </w:tcPr>
        <w:p w:rsidR="17EAB9BC" w:rsidP="17EAB9BC" w:rsidRDefault="17EAB9BC" w14:paraId="69CD36B8" w14:textId="4BD4009A">
          <w:pPr>
            <w:pStyle w:val="Header"/>
            <w:bidi w:val="0"/>
            <w:ind w:left="-115"/>
            <w:jc w:val="left"/>
          </w:pPr>
        </w:p>
      </w:tc>
      <w:tc>
        <w:tcPr>
          <w:tcW w:w="3120" w:type="dxa"/>
          <w:tcMar/>
        </w:tcPr>
        <w:p w:rsidR="17EAB9BC" w:rsidP="17EAB9BC" w:rsidRDefault="17EAB9BC" w14:paraId="10806445" w14:textId="5EEAFE9A">
          <w:pPr>
            <w:pStyle w:val="Header"/>
            <w:bidi w:val="0"/>
            <w:jc w:val="center"/>
          </w:pPr>
        </w:p>
      </w:tc>
      <w:tc>
        <w:tcPr>
          <w:tcW w:w="3120" w:type="dxa"/>
          <w:tcMar/>
        </w:tcPr>
        <w:p w:rsidR="17EAB9BC" w:rsidP="17EAB9BC" w:rsidRDefault="17EAB9BC" w14:paraId="32A3BAE1" w14:textId="7419BE86">
          <w:pPr>
            <w:pStyle w:val="Header"/>
            <w:bidi w:val="0"/>
            <w:ind w:right="-115"/>
            <w:jc w:val="right"/>
          </w:pPr>
        </w:p>
      </w:tc>
    </w:tr>
  </w:tbl>
  <w:p w:rsidR="17EAB9BC" w:rsidP="17EAB9BC" w:rsidRDefault="17EAB9BC" w14:paraId="411B27BB" w14:textId="07615CD2">
    <w:pPr>
      <w:pStyle w:val="Footer"/>
      <w:bidi w:val="0"/>
    </w:pPr>
  </w:p>
</w:ftr>
</file>

<file path=word/footer3.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17EAB9BC" w:rsidTr="17EAB9BC" w14:paraId="1F5E89C0">
      <w:trPr>
        <w:trHeight w:val="300"/>
      </w:trPr>
      <w:tc>
        <w:tcPr>
          <w:tcW w:w="3120" w:type="dxa"/>
          <w:tcMar/>
        </w:tcPr>
        <w:p w:rsidR="17EAB9BC" w:rsidP="17EAB9BC" w:rsidRDefault="17EAB9BC" w14:paraId="0658F41D" w14:textId="493565C4">
          <w:pPr>
            <w:pStyle w:val="Header"/>
            <w:bidi w:val="0"/>
            <w:ind w:left="-115"/>
            <w:jc w:val="left"/>
          </w:pPr>
        </w:p>
      </w:tc>
      <w:tc>
        <w:tcPr>
          <w:tcW w:w="3120" w:type="dxa"/>
          <w:tcMar/>
        </w:tcPr>
        <w:p w:rsidR="17EAB9BC" w:rsidP="17EAB9BC" w:rsidRDefault="17EAB9BC" w14:paraId="484A3BAF" w14:textId="40A97FDE">
          <w:pPr>
            <w:pStyle w:val="Header"/>
            <w:bidi w:val="0"/>
            <w:jc w:val="center"/>
          </w:pPr>
        </w:p>
      </w:tc>
      <w:tc>
        <w:tcPr>
          <w:tcW w:w="3120" w:type="dxa"/>
          <w:tcMar/>
        </w:tcPr>
        <w:p w:rsidR="17EAB9BC" w:rsidP="17EAB9BC" w:rsidRDefault="17EAB9BC" w14:paraId="702EB449" w14:textId="575C1C38">
          <w:pPr>
            <w:pStyle w:val="Header"/>
            <w:bidi w:val="0"/>
            <w:ind w:right="-115"/>
            <w:jc w:val="right"/>
          </w:pPr>
        </w:p>
      </w:tc>
    </w:tr>
  </w:tbl>
  <w:p w:rsidR="17EAB9BC" w:rsidP="17EAB9BC" w:rsidRDefault="17EAB9BC" w14:paraId="48C7A7A0" w14:textId="21347254">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691EF442" w:rsidTr="691EF442" w14:paraId="153A2CAF">
      <w:trPr>
        <w:trHeight w:val="300"/>
      </w:trPr>
      <w:tc>
        <w:tcPr>
          <w:tcW w:w="3120" w:type="dxa"/>
          <w:tcMar/>
        </w:tcPr>
        <w:p w:rsidR="691EF442" w:rsidP="691EF442" w:rsidRDefault="691EF442" w14:paraId="20441F4B" w14:textId="6AE2A9C1">
          <w:pPr>
            <w:pStyle w:val="Header"/>
            <w:bidi w:val="0"/>
            <w:ind w:left="-115"/>
            <w:jc w:val="left"/>
          </w:pPr>
        </w:p>
      </w:tc>
      <w:tc>
        <w:tcPr>
          <w:tcW w:w="3120" w:type="dxa"/>
          <w:tcMar/>
        </w:tcPr>
        <w:p w:rsidR="691EF442" w:rsidP="691EF442" w:rsidRDefault="691EF442" w14:paraId="2AC76B7D" w14:textId="7174084C">
          <w:pPr>
            <w:pStyle w:val="Header"/>
            <w:bidi w:val="0"/>
            <w:jc w:val="center"/>
          </w:pPr>
        </w:p>
      </w:tc>
      <w:tc>
        <w:tcPr>
          <w:tcW w:w="3120" w:type="dxa"/>
          <w:tcMar/>
        </w:tcPr>
        <w:p w:rsidR="691EF442" w:rsidP="691EF442" w:rsidRDefault="691EF442" w14:paraId="06BDA5F3" w14:textId="75D4EECA">
          <w:pPr>
            <w:pStyle w:val="Header"/>
            <w:bidi w:val="0"/>
            <w:ind w:right="-115"/>
            <w:jc w:val="right"/>
          </w:pPr>
        </w:p>
      </w:tc>
    </w:tr>
  </w:tbl>
  <w:p w:rsidR="691EF442" w:rsidP="691EF442" w:rsidRDefault="691EF442" w14:paraId="4F0D180A" w14:textId="55525041">
    <w:pPr>
      <w:pStyle w:val="Header"/>
      <w:bidi w:val="0"/>
    </w:pPr>
  </w:p>
</w:hdr>
</file>

<file path=word/header2.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691EF442" w:rsidTr="691EF442" w14:paraId="3A100561">
      <w:trPr>
        <w:trHeight w:val="300"/>
      </w:trPr>
      <w:tc>
        <w:tcPr>
          <w:tcW w:w="3120" w:type="dxa"/>
          <w:tcMar/>
        </w:tcPr>
        <w:p w:rsidR="691EF442" w:rsidP="691EF442" w:rsidRDefault="691EF442" w14:paraId="199267BC" w14:textId="14AFB892">
          <w:pPr>
            <w:pStyle w:val="Header"/>
            <w:bidi w:val="0"/>
            <w:ind w:left="-115"/>
            <w:jc w:val="left"/>
          </w:pPr>
        </w:p>
      </w:tc>
      <w:tc>
        <w:tcPr>
          <w:tcW w:w="3120" w:type="dxa"/>
          <w:tcMar/>
        </w:tcPr>
        <w:p w:rsidR="691EF442" w:rsidP="691EF442" w:rsidRDefault="691EF442" w14:paraId="62608E34" w14:textId="2E86672A">
          <w:pPr>
            <w:pStyle w:val="Header"/>
            <w:bidi w:val="0"/>
            <w:jc w:val="center"/>
          </w:pPr>
        </w:p>
      </w:tc>
      <w:tc>
        <w:tcPr>
          <w:tcW w:w="3120" w:type="dxa"/>
          <w:tcMar/>
        </w:tcPr>
        <w:p w:rsidR="691EF442" w:rsidP="691EF442" w:rsidRDefault="691EF442" w14:paraId="7A23AD8C" w14:textId="07BE6D00">
          <w:pPr>
            <w:pStyle w:val="Header"/>
            <w:bidi w:val="0"/>
            <w:ind w:right="-115"/>
            <w:jc w:val="right"/>
          </w:pPr>
        </w:p>
      </w:tc>
    </w:tr>
  </w:tbl>
  <w:p w:rsidR="691EF442" w:rsidP="691EF442" w:rsidRDefault="691EF442" w14:paraId="650ECDE3" w14:textId="20E53BC6">
    <w:pPr>
      <w:pStyle w:val="Header"/>
      <w:bidi w:val="0"/>
    </w:pPr>
  </w:p>
</w:hdr>
</file>

<file path=word/intelligence2.xml><?xml version="1.0" encoding="utf-8"?>
<int2:intelligence xmlns:int2="http://schemas.microsoft.com/office/intelligence/2020/intelligence" xmlns:oel="http://schemas.microsoft.com/office/2019/extlst">
  <int2:observations>
    <int2:textHash int2:hashCode="7uJhBNEaUzuDze" int2:id="I481Hh1C">
      <int2:state int2:type="spell" int2:value="Rejected"/>
    </int2:textHash>
    <int2:textHash int2:hashCode="l5ISK4FHBlFG3E" int2:id="bn6RKmrW">
      <int2:state int2:type="spell" int2:value="Rejected"/>
    </int2:textHash>
    <int2:textHash int2:hashCode="dfcZQYS+LvP0Gx" int2:id="eZtOdVh4">
      <int2:state int2:type="spell" int2:value="Rejected"/>
    </int2:textHash>
    <int2:textHash int2:hashCode="wVt7c1yXIVzh0q" int2:id="91B8DxlR">
      <int2:state int2:type="spell" int2:value="Rejected"/>
    </int2:textHash>
    <int2:textHash int2:hashCode="z3S1LUyHYonYbd" int2:id="g8EjUwby">
      <int2:state int2:type="spell" int2:value="Rejected"/>
    </int2:textHash>
    <int2:bookmark int2:bookmarkName="_Int_703UnfCy" int2:invalidationBookmarkName="" int2:hashCode="YGqCJ0ADb7BMJ2" int2:id="4nuCxOH1">
      <int2:state int2:type="gram" int2:value="Rejected"/>
    </int2:bookmark>
    <int2:bookmark int2:bookmarkName="_Int_ciO3cZJ3" int2:invalidationBookmarkName="" int2:hashCode="ejjYy9INmTK6lI" int2:id="6r943GRS">
      <int2:state int2:type="gram" int2:value="Rejected"/>
    </int2:bookmark>
    <int2:bookmark int2:bookmarkName="_Int_2be8dyau" int2:invalidationBookmarkName="" int2:hashCode="YGqCJ0ADb7BMJ2" int2:id="3aq10tsd">
      <int2:state int2:type="gram" int2:value="Rejected"/>
    </int2:bookmark>
    <int2:entireDocument int2:id="O0gQedsB">
      <int2:extLst>
        <oel:ext uri="E302BA01-7950-474C-9AD3-286E660C40A8">
          <int2:similaritySummary int2:version="1" int2:runId="1773149825424" int2:tilesCheckedInThisRun="49" int2:totalNumOfTiles="49" int2:similarityAnnotationCount="0" int2:numWords="2355" int2:numFlaggedWords="0"/>
        </oel:ext>
      </int2:extLst>
    </int2:entireDocument>
  </int2:observations>
  <int2:intelligenceSettings/>
  <int2:onDemandWorkflows>
    <int2:onDemandWorkflow int2:type="SimilarityCheck" int2:paragraphVersions="797FB7AE-06EED065 56F7E222-1DAE4706 097D6776-4FA70C01 151F7CDC-5D96B784 1CFFE085-5E510FE1 11841374-0E15094C 3C653274-3EB72F4B 7FFC524C-6A9EC9FD 21696C6E-564A01F9 4123F7EE-27A3E939 62E611F3-10DCE344 1CFC04C1-7A9C2445 76F2E45B-0FB249FA 4354153A-77C967D1 1E94BF6C-39906CF0 6FD45139-0E7274F2 635B455E-75EC757D 309D20FF-4E4D9B38 72AD01AB-37FF1C0C 42DA2AC8-0D35E002 1102400B-69F585A7 3570603D-2C64C56E 325E8F3C-7232DA91 6B14786C-6B44C9F9 7F50F743-47E2247F 56939D42-5889BC84 47C93749-62188B7A 3D3619BE-3AB10750 07F0074B-5462742F 6652DD86-6A5A9551 6BE80247-0FE31820 7AB7E275-4BFB9C2D 64126145-1509523F 2AD7B543-16527998 0034DADF-189FDF55 66C50E00-7EDB018D 526D2A69-3D6344D2 1710CBB4-24EC4F0F 46D470BB-58B6ABB6 7DA51AE9-3158F3C6 226B4A1A-3F748BE4 418E31E1-299C2EB7 6158E35C-493A54C7 6D06EC87-3668A705 2BA59F78-6A980E57 22C23EE9-22F2EF2B 665EEB55-607714D3 0A28C9E4-2CE13111 4FB31635-3B376E02 0104E38C-1515A9F3 41BD5CDA-152896A8 721181B3-6017D7A0 1EEFC839-794691B8 4904DD8B-5C74D692 3F7F9D9D-20CF7407 06B4EE3D-71394775 7F131DA4-7BF6A0A6 76709C1D-27D53DCE 19CA0673-183AE884 00A441A3-16043D8E 4DF850A6-79E03FAD 402A9412-78945E2D 1DAAE7DF-5251823B 5A7D10AF-2B47E0ED 2252A2A4-32768595 0E5D0D23-3AB6D200 3FF31FF2-50BF5721 021B5950-3C89862F 616EB817-461DDC78 58E00995-4F0C9E50 308EC759-738E914D 78C9E727-6205B93F 6C0CBE82-1DA9DAC9 3EE21430-4AB6F78D 7239DC29-7DA94D7B 132D7567-10023C86 6A23D535-244DA4B9 4327B4FD-2836CE73 41607771-2D11D25A 1D008E83-40A806E9 66E4BD06-14E78F2D 5854C61D-48F4D549 0C0962BC-14A484EE 054BC345-0AEBAEDD 47E12A34-654AE3EF 073605B5-664D53FB 6DC3DDE3-1D1F57FC 4778C5DA-1CA6B4F2 0B5DAAFF-21EACAEE 4B404446-6396D4E6 7F00981F-63912AEF 662FF7B0-3AD0AEEA 04372BDF-3AA3A1DA 32E6D071-35166E4F 2BA06D43-17724D56 6D20F174-4243773E 2AA6D92B-597989C6 49E4A21F-789297B4 4EEBB859-0D2BFF13 57C283BF-0F9EEAD2 1C0B7650-45F517F0 29773647-569D310E 2C078E63-15B3617B 20441F4B-6AE2A9C1 2AC76B7D-7174084C 06BDA5F3-75D4EECA 4F0D180A-55525041 199267BC-14AFB892 62608E34-2E86672A 7A23AD8C-07BE6D00 650ECDE3-20E53BC6 55854848-2DE993F9 2E5EF12D-586C9AAB 371248A1-37A96CFD 066C1958-65EA87A7 01F3C50F-7772A60B 0658F41D-493565C4 484A3BAF-40A97FDE 702EB449-575C1C38 48C7A7A0-21347254 69CD36B8-4BD4009A 10806445-5EEAFE9A 32A3BAE1-7419BE86 411B27BB-07615CD2"/>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evenAndOddHeaders w:val="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B2405BB"/>
    <w:rsid w:val="00108B72"/>
    <w:rsid w:val="005201DD"/>
    <w:rsid w:val="006EB5D4"/>
    <w:rsid w:val="01483EB3"/>
    <w:rsid w:val="0197EA90"/>
    <w:rsid w:val="01DB12D0"/>
    <w:rsid w:val="01E7571D"/>
    <w:rsid w:val="021044F7"/>
    <w:rsid w:val="02231272"/>
    <w:rsid w:val="0280C99B"/>
    <w:rsid w:val="02870C89"/>
    <w:rsid w:val="0313A732"/>
    <w:rsid w:val="035D2CDD"/>
    <w:rsid w:val="03E7B483"/>
    <w:rsid w:val="04528EE9"/>
    <w:rsid w:val="04831D30"/>
    <w:rsid w:val="04835719"/>
    <w:rsid w:val="048EC358"/>
    <w:rsid w:val="048F1E6B"/>
    <w:rsid w:val="04E27453"/>
    <w:rsid w:val="054236AB"/>
    <w:rsid w:val="05E21F7D"/>
    <w:rsid w:val="06673EDC"/>
    <w:rsid w:val="06B8F32B"/>
    <w:rsid w:val="06BD6B17"/>
    <w:rsid w:val="06BDC7D9"/>
    <w:rsid w:val="0734D862"/>
    <w:rsid w:val="0740C189"/>
    <w:rsid w:val="074C23F9"/>
    <w:rsid w:val="07671EE2"/>
    <w:rsid w:val="0792ED1A"/>
    <w:rsid w:val="07A7ABEA"/>
    <w:rsid w:val="07C7CAFC"/>
    <w:rsid w:val="07DC8C5D"/>
    <w:rsid w:val="0801F8CA"/>
    <w:rsid w:val="08197BD3"/>
    <w:rsid w:val="085A6758"/>
    <w:rsid w:val="085AFC0F"/>
    <w:rsid w:val="086325D1"/>
    <w:rsid w:val="08EAB895"/>
    <w:rsid w:val="0945947B"/>
    <w:rsid w:val="096A76C5"/>
    <w:rsid w:val="09900074"/>
    <w:rsid w:val="09A0A823"/>
    <w:rsid w:val="09B86347"/>
    <w:rsid w:val="0A4BEF8F"/>
    <w:rsid w:val="0A5D3507"/>
    <w:rsid w:val="0A72111E"/>
    <w:rsid w:val="0ADCFFC9"/>
    <w:rsid w:val="0B238C19"/>
    <w:rsid w:val="0B25ABFF"/>
    <w:rsid w:val="0BE1F1AF"/>
    <w:rsid w:val="0BF6CF55"/>
    <w:rsid w:val="0C211761"/>
    <w:rsid w:val="0C23B104"/>
    <w:rsid w:val="0C44C2DC"/>
    <w:rsid w:val="0C61AC47"/>
    <w:rsid w:val="0C76611B"/>
    <w:rsid w:val="0CB4927B"/>
    <w:rsid w:val="0D24569B"/>
    <w:rsid w:val="0D44095F"/>
    <w:rsid w:val="0D6CBEC9"/>
    <w:rsid w:val="0D6E4C67"/>
    <w:rsid w:val="0D80F55F"/>
    <w:rsid w:val="0DC4AD9E"/>
    <w:rsid w:val="0E21C5A7"/>
    <w:rsid w:val="0E895ACF"/>
    <w:rsid w:val="0E89F942"/>
    <w:rsid w:val="0EEE6A5B"/>
    <w:rsid w:val="0F19D048"/>
    <w:rsid w:val="0F2A0480"/>
    <w:rsid w:val="0F41DC21"/>
    <w:rsid w:val="0F7B8FC0"/>
    <w:rsid w:val="0F7F6028"/>
    <w:rsid w:val="0F8DF1E2"/>
    <w:rsid w:val="0F939C7F"/>
    <w:rsid w:val="1002843C"/>
    <w:rsid w:val="10227CBB"/>
    <w:rsid w:val="10398249"/>
    <w:rsid w:val="1059A2FF"/>
    <w:rsid w:val="1074FC77"/>
    <w:rsid w:val="10A17DDE"/>
    <w:rsid w:val="10A533A4"/>
    <w:rsid w:val="10C99D45"/>
    <w:rsid w:val="10DACF45"/>
    <w:rsid w:val="1145E8AE"/>
    <w:rsid w:val="11997FF8"/>
    <w:rsid w:val="119D7883"/>
    <w:rsid w:val="122F2D16"/>
    <w:rsid w:val="12401873"/>
    <w:rsid w:val="12A4538B"/>
    <w:rsid w:val="12E0F4DA"/>
    <w:rsid w:val="12EAAC5D"/>
    <w:rsid w:val="13110CBA"/>
    <w:rsid w:val="1394FC9E"/>
    <w:rsid w:val="13B497A2"/>
    <w:rsid w:val="14070736"/>
    <w:rsid w:val="142F06CB"/>
    <w:rsid w:val="14564FEF"/>
    <w:rsid w:val="148C4B4E"/>
    <w:rsid w:val="15076129"/>
    <w:rsid w:val="150A7471"/>
    <w:rsid w:val="152A9CB3"/>
    <w:rsid w:val="15405417"/>
    <w:rsid w:val="1545E012"/>
    <w:rsid w:val="159D74D5"/>
    <w:rsid w:val="15B7D692"/>
    <w:rsid w:val="165801F0"/>
    <w:rsid w:val="1670BD19"/>
    <w:rsid w:val="1683C9B3"/>
    <w:rsid w:val="1686AA10"/>
    <w:rsid w:val="1770E8AF"/>
    <w:rsid w:val="178DB015"/>
    <w:rsid w:val="178EE6F6"/>
    <w:rsid w:val="17BC4407"/>
    <w:rsid w:val="17EAB9BC"/>
    <w:rsid w:val="180A78E0"/>
    <w:rsid w:val="188FB649"/>
    <w:rsid w:val="18F1C5DA"/>
    <w:rsid w:val="190DAAE5"/>
    <w:rsid w:val="1945AE65"/>
    <w:rsid w:val="19BD11CA"/>
    <w:rsid w:val="19C21C2F"/>
    <w:rsid w:val="19D74E4F"/>
    <w:rsid w:val="1A109275"/>
    <w:rsid w:val="1A1A83DD"/>
    <w:rsid w:val="1A368D9C"/>
    <w:rsid w:val="1A3EE490"/>
    <w:rsid w:val="1A780851"/>
    <w:rsid w:val="1A8FFA0E"/>
    <w:rsid w:val="1B332E7A"/>
    <w:rsid w:val="1B335F00"/>
    <w:rsid w:val="1B4C47C6"/>
    <w:rsid w:val="1B4EFA96"/>
    <w:rsid w:val="1B6361FE"/>
    <w:rsid w:val="1BB7B1B6"/>
    <w:rsid w:val="1BBE1AD3"/>
    <w:rsid w:val="1BFA66F3"/>
    <w:rsid w:val="1C256BB3"/>
    <w:rsid w:val="1C7A15C3"/>
    <w:rsid w:val="1C81CCA5"/>
    <w:rsid w:val="1C9F68BF"/>
    <w:rsid w:val="1D65322C"/>
    <w:rsid w:val="1D999F6E"/>
    <w:rsid w:val="1E1183D3"/>
    <w:rsid w:val="1E2D11CB"/>
    <w:rsid w:val="1E514F2F"/>
    <w:rsid w:val="1E569575"/>
    <w:rsid w:val="1E62D186"/>
    <w:rsid w:val="1E7E7C66"/>
    <w:rsid w:val="1E9E3B52"/>
    <w:rsid w:val="1EB8C046"/>
    <w:rsid w:val="1ED9B16B"/>
    <w:rsid w:val="1F18C620"/>
    <w:rsid w:val="1F2E8730"/>
    <w:rsid w:val="1F561972"/>
    <w:rsid w:val="1F86EBE1"/>
    <w:rsid w:val="1FB90BA8"/>
    <w:rsid w:val="2013D65C"/>
    <w:rsid w:val="203999B4"/>
    <w:rsid w:val="20565CC2"/>
    <w:rsid w:val="2058744A"/>
    <w:rsid w:val="2078A779"/>
    <w:rsid w:val="20BA9BBA"/>
    <w:rsid w:val="20D0CF57"/>
    <w:rsid w:val="211DD9AF"/>
    <w:rsid w:val="21296619"/>
    <w:rsid w:val="2145AE8A"/>
    <w:rsid w:val="21812443"/>
    <w:rsid w:val="21B36AA0"/>
    <w:rsid w:val="21EDCD1E"/>
    <w:rsid w:val="21EF3827"/>
    <w:rsid w:val="21FE4B10"/>
    <w:rsid w:val="221D82F1"/>
    <w:rsid w:val="2227C4E6"/>
    <w:rsid w:val="2244DB95"/>
    <w:rsid w:val="224FF449"/>
    <w:rsid w:val="22515420"/>
    <w:rsid w:val="229658C9"/>
    <w:rsid w:val="22D09A0B"/>
    <w:rsid w:val="22FF080B"/>
    <w:rsid w:val="2337C571"/>
    <w:rsid w:val="23524BDD"/>
    <w:rsid w:val="239DD179"/>
    <w:rsid w:val="23F6E051"/>
    <w:rsid w:val="2402412B"/>
    <w:rsid w:val="240A6068"/>
    <w:rsid w:val="244E3D48"/>
    <w:rsid w:val="2472E8E3"/>
    <w:rsid w:val="248FEA80"/>
    <w:rsid w:val="2490760F"/>
    <w:rsid w:val="249602A1"/>
    <w:rsid w:val="249A54D0"/>
    <w:rsid w:val="24BDF2EA"/>
    <w:rsid w:val="24D6FF98"/>
    <w:rsid w:val="255BD481"/>
    <w:rsid w:val="25AD82D0"/>
    <w:rsid w:val="25E311EB"/>
    <w:rsid w:val="25ED6509"/>
    <w:rsid w:val="262BA710"/>
    <w:rsid w:val="2669A28C"/>
    <w:rsid w:val="267A646B"/>
    <w:rsid w:val="2697E4DB"/>
    <w:rsid w:val="26F4594F"/>
    <w:rsid w:val="270A6FCF"/>
    <w:rsid w:val="274D3F59"/>
    <w:rsid w:val="2761FDFD"/>
    <w:rsid w:val="277DCA8B"/>
    <w:rsid w:val="278CB11E"/>
    <w:rsid w:val="27CA8056"/>
    <w:rsid w:val="27D4CAD4"/>
    <w:rsid w:val="27E94899"/>
    <w:rsid w:val="280B6ABB"/>
    <w:rsid w:val="28130A7B"/>
    <w:rsid w:val="281C8429"/>
    <w:rsid w:val="28459170"/>
    <w:rsid w:val="284FCD9C"/>
    <w:rsid w:val="288F997B"/>
    <w:rsid w:val="28F0D63D"/>
    <w:rsid w:val="298E696C"/>
    <w:rsid w:val="299AE906"/>
    <w:rsid w:val="29AB5928"/>
    <w:rsid w:val="29AF98DA"/>
    <w:rsid w:val="29B7452D"/>
    <w:rsid w:val="29BE1132"/>
    <w:rsid w:val="29C32548"/>
    <w:rsid w:val="29D5B773"/>
    <w:rsid w:val="29EF7EA5"/>
    <w:rsid w:val="29F0C8EA"/>
    <w:rsid w:val="2A0E1968"/>
    <w:rsid w:val="2AEFBBAA"/>
    <w:rsid w:val="2AFB223B"/>
    <w:rsid w:val="2B2405BB"/>
    <w:rsid w:val="2B746DA2"/>
    <w:rsid w:val="2B79B1DD"/>
    <w:rsid w:val="2C135316"/>
    <w:rsid w:val="2C34AD3B"/>
    <w:rsid w:val="2C59CFE6"/>
    <w:rsid w:val="2C64228A"/>
    <w:rsid w:val="2C91EDE1"/>
    <w:rsid w:val="2D204FD3"/>
    <w:rsid w:val="2D35F439"/>
    <w:rsid w:val="2D3900E6"/>
    <w:rsid w:val="2DC370AB"/>
    <w:rsid w:val="2E16AE70"/>
    <w:rsid w:val="2E2CA334"/>
    <w:rsid w:val="2E2D5639"/>
    <w:rsid w:val="2E525678"/>
    <w:rsid w:val="2EB179B8"/>
    <w:rsid w:val="2EF677F8"/>
    <w:rsid w:val="2F09C31B"/>
    <w:rsid w:val="2F10862D"/>
    <w:rsid w:val="2F1C4F3E"/>
    <w:rsid w:val="2F477F50"/>
    <w:rsid w:val="2F563C73"/>
    <w:rsid w:val="2F60039A"/>
    <w:rsid w:val="2F77993C"/>
    <w:rsid w:val="2FAC51C0"/>
    <w:rsid w:val="2FE632E7"/>
    <w:rsid w:val="2FEF14A5"/>
    <w:rsid w:val="2FF96BC1"/>
    <w:rsid w:val="2FFC4037"/>
    <w:rsid w:val="30054B05"/>
    <w:rsid w:val="30B01B12"/>
    <w:rsid w:val="30D4F9A3"/>
    <w:rsid w:val="30DAB6C2"/>
    <w:rsid w:val="30DCC33C"/>
    <w:rsid w:val="30E880F1"/>
    <w:rsid w:val="30EC5D51"/>
    <w:rsid w:val="310AE5C0"/>
    <w:rsid w:val="31346B66"/>
    <w:rsid w:val="317BBBB0"/>
    <w:rsid w:val="31C220AF"/>
    <w:rsid w:val="31D6A841"/>
    <w:rsid w:val="31DF0474"/>
    <w:rsid w:val="31EA65A7"/>
    <w:rsid w:val="324D553F"/>
    <w:rsid w:val="324F34E7"/>
    <w:rsid w:val="327C2186"/>
    <w:rsid w:val="32A95122"/>
    <w:rsid w:val="32B534C7"/>
    <w:rsid w:val="32CFBB10"/>
    <w:rsid w:val="333C85C9"/>
    <w:rsid w:val="338F59A4"/>
    <w:rsid w:val="33C615E6"/>
    <w:rsid w:val="33DF2940"/>
    <w:rsid w:val="33F01607"/>
    <w:rsid w:val="343C23B5"/>
    <w:rsid w:val="3451109A"/>
    <w:rsid w:val="34933F4D"/>
    <w:rsid w:val="34BB4415"/>
    <w:rsid w:val="3531AC6A"/>
    <w:rsid w:val="357C0BB9"/>
    <w:rsid w:val="35E646AA"/>
    <w:rsid w:val="3628129D"/>
    <w:rsid w:val="36A4FF10"/>
    <w:rsid w:val="36D1DB0D"/>
    <w:rsid w:val="36FCA177"/>
    <w:rsid w:val="37042000"/>
    <w:rsid w:val="372C8CC2"/>
    <w:rsid w:val="3738391A"/>
    <w:rsid w:val="37582396"/>
    <w:rsid w:val="3776A301"/>
    <w:rsid w:val="37780E2D"/>
    <w:rsid w:val="379EFC57"/>
    <w:rsid w:val="37BCF9E7"/>
    <w:rsid w:val="37C7D76D"/>
    <w:rsid w:val="37D4270B"/>
    <w:rsid w:val="3834833B"/>
    <w:rsid w:val="38ADA593"/>
    <w:rsid w:val="38B62BA9"/>
    <w:rsid w:val="39220EF9"/>
    <w:rsid w:val="39428571"/>
    <w:rsid w:val="396B2A9C"/>
    <w:rsid w:val="398760E4"/>
    <w:rsid w:val="39934F0E"/>
    <w:rsid w:val="39D63EC5"/>
    <w:rsid w:val="39FC901E"/>
    <w:rsid w:val="3A8E7B03"/>
    <w:rsid w:val="3ADEA903"/>
    <w:rsid w:val="3B0418C8"/>
    <w:rsid w:val="3B4232EC"/>
    <w:rsid w:val="3B4816D4"/>
    <w:rsid w:val="3B6EC60D"/>
    <w:rsid w:val="3BAA0C94"/>
    <w:rsid w:val="3BDD0334"/>
    <w:rsid w:val="3BF8E153"/>
    <w:rsid w:val="3BFA1811"/>
    <w:rsid w:val="3C0EA6AB"/>
    <w:rsid w:val="3C1F1AE0"/>
    <w:rsid w:val="3CD4090F"/>
    <w:rsid w:val="3D8152A3"/>
    <w:rsid w:val="3E03D282"/>
    <w:rsid w:val="3E233DE4"/>
    <w:rsid w:val="3E56C5A9"/>
    <w:rsid w:val="3E72E5BD"/>
    <w:rsid w:val="3E7DD578"/>
    <w:rsid w:val="3EEF44EE"/>
    <w:rsid w:val="3EF14BA0"/>
    <w:rsid w:val="3EF481D8"/>
    <w:rsid w:val="3F077894"/>
    <w:rsid w:val="3F0A2DDA"/>
    <w:rsid w:val="3F0DAD42"/>
    <w:rsid w:val="3F16207F"/>
    <w:rsid w:val="3F658512"/>
    <w:rsid w:val="3F71ECB0"/>
    <w:rsid w:val="3F908613"/>
    <w:rsid w:val="3FB8AB43"/>
    <w:rsid w:val="3FD06FD8"/>
    <w:rsid w:val="3FD0AAB3"/>
    <w:rsid w:val="400E135F"/>
    <w:rsid w:val="402EE76D"/>
    <w:rsid w:val="40DD1A19"/>
    <w:rsid w:val="41A1CA09"/>
    <w:rsid w:val="4221BB88"/>
    <w:rsid w:val="42862A57"/>
    <w:rsid w:val="42CBDBE7"/>
    <w:rsid w:val="42FF9A2F"/>
    <w:rsid w:val="431201EC"/>
    <w:rsid w:val="431DFB3F"/>
    <w:rsid w:val="432EAD31"/>
    <w:rsid w:val="4381309C"/>
    <w:rsid w:val="4436EE7A"/>
    <w:rsid w:val="44539DB6"/>
    <w:rsid w:val="4479123B"/>
    <w:rsid w:val="44BF0EEF"/>
    <w:rsid w:val="44F2FAFD"/>
    <w:rsid w:val="45051BFC"/>
    <w:rsid w:val="455147B9"/>
    <w:rsid w:val="457492BE"/>
    <w:rsid w:val="459BE4B7"/>
    <w:rsid w:val="4617C6C3"/>
    <w:rsid w:val="4629C797"/>
    <w:rsid w:val="4669E347"/>
    <w:rsid w:val="467B6579"/>
    <w:rsid w:val="469A653D"/>
    <w:rsid w:val="470DE46C"/>
    <w:rsid w:val="471325D4"/>
    <w:rsid w:val="4725D6F7"/>
    <w:rsid w:val="479A179C"/>
    <w:rsid w:val="47DB3E78"/>
    <w:rsid w:val="47DE1BC5"/>
    <w:rsid w:val="47EE75E0"/>
    <w:rsid w:val="4833B179"/>
    <w:rsid w:val="4869E0F7"/>
    <w:rsid w:val="48A4A8EB"/>
    <w:rsid w:val="490B42F7"/>
    <w:rsid w:val="493CABB4"/>
    <w:rsid w:val="493E3531"/>
    <w:rsid w:val="495D996A"/>
    <w:rsid w:val="4982C8D5"/>
    <w:rsid w:val="49E1D776"/>
    <w:rsid w:val="4A2E5F88"/>
    <w:rsid w:val="4A47205B"/>
    <w:rsid w:val="4AA54667"/>
    <w:rsid w:val="4AB5AF7D"/>
    <w:rsid w:val="4AE48670"/>
    <w:rsid w:val="4B2A1DAB"/>
    <w:rsid w:val="4B786FD7"/>
    <w:rsid w:val="4BA3B8A9"/>
    <w:rsid w:val="4C1926C8"/>
    <w:rsid w:val="4C83B62B"/>
    <w:rsid w:val="4CDFC5BC"/>
    <w:rsid w:val="4CE34C73"/>
    <w:rsid w:val="4D058E31"/>
    <w:rsid w:val="4D7FB765"/>
    <w:rsid w:val="4E213DCD"/>
    <w:rsid w:val="4E330CE6"/>
    <w:rsid w:val="4E4C9F7C"/>
    <w:rsid w:val="4E574BDF"/>
    <w:rsid w:val="4ECB80B4"/>
    <w:rsid w:val="4F02034B"/>
    <w:rsid w:val="4F44C0D5"/>
    <w:rsid w:val="4F6855F9"/>
    <w:rsid w:val="4FCF4254"/>
    <w:rsid w:val="4FDF9E38"/>
    <w:rsid w:val="5003A787"/>
    <w:rsid w:val="5009CBE7"/>
    <w:rsid w:val="501623FC"/>
    <w:rsid w:val="50C3AAB7"/>
    <w:rsid w:val="514DBF79"/>
    <w:rsid w:val="51AD495D"/>
    <w:rsid w:val="52319E81"/>
    <w:rsid w:val="5242562F"/>
    <w:rsid w:val="5243CE2E"/>
    <w:rsid w:val="52B76329"/>
    <w:rsid w:val="5337E614"/>
    <w:rsid w:val="5352A14F"/>
    <w:rsid w:val="536788B7"/>
    <w:rsid w:val="536BB9B5"/>
    <w:rsid w:val="544A3B03"/>
    <w:rsid w:val="5471560E"/>
    <w:rsid w:val="54E47D16"/>
    <w:rsid w:val="54E81335"/>
    <w:rsid w:val="54F75DE1"/>
    <w:rsid w:val="555BC798"/>
    <w:rsid w:val="557C1831"/>
    <w:rsid w:val="55EB6297"/>
    <w:rsid w:val="5663FBA2"/>
    <w:rsid w:val="56B63522"/>
    <w:rsid w:val="57215E90"/>
    <w:rsid w:val="5731FBEF"/>
    <w:rsid w:val="57D3C1FC"/>
    <w:rsid w:val="58453A3A"/>
    <w:rsid w:val="58A950C0"/>
    <w:rsid w:val="58AE1094"/>
    <w:rsid w:val="58BA7694"/>
    <w:rsid w:val="5907F9CA"/>
    <w:rsid w:val="59126C33"/>
    <w:rsid w:val="592BE500"/>
    <w:rsid w:val="592F8478"/>
    <w:rsid w:val="5941AE89"/>
    <w:rsid w:val="5972345B"/>
    <w:rsid w:val="5972A38E"/>
    <w:rsid w:val="59F128D9"/>
    <w:rsid w:val="5A0FD5C3"/>
    <w:rsid w:val="5A21F27A"/>
    <w:rsid w:val="5A7B764D"/>
    <w:rsid w:val="5A948C71"/>
    <w:rsid w:val="5AD6619D"/>
    <w:rsid w:val="5ADFEFFA"/>
    <w:rsid w:val="5B11FE40"/>
    <w:rsid w:val="5B5FFA62"/>
    <w:rsid w:val="5B6BFB05"/>
    <w:rsid w:val="5B8F2899"/>
    <w:rsid w:val="5BC10834"/>
    <w:rsid w:val="5BC24091"/>
    <w:rsid w:val="5C1C9BC8"/>
    <w:rsid w:val="5C4A0814"/>
    <w:rsid w:val="5C63AB0A"/>
    <w:rsid w:val="5CD864BD"/>
    <w:rsid w:val="5CF50665"/>
    <w:rsid w:val="5D19EB72"/>
    <w:rsid w:val="5D889A67"/>
    <w:rsid w:val="5DA7C74C"/>
    <w:rsid w:val="5DE3E9B9"/>
    <w:rsid w:val="5DFFB219"/>
    <w:rsid w:val="5E5380F9"/>
    <w:rsid w:val="5EB684E6"/>
    <w:rsid w:val="5EBCB81E"/>
    <w:rsid w:val="5ECC0129"/>
    <w:rsid w:val="5F41423C"/>
    <w:rsid w:val="5F43839E"/>
    <w:rsid w:val="5F77AD73"/>
    <w:rsid w:val="5FC21737"/>
    <w:rsid w:val="5FC24CA7"/>
    <w:rsid w:val="60332C5E"/>
    <w:rsid w:val="6048B06B"/>
    <w:rsid w:val="604EDED9"/>
    <w:rsid w:val="608A1307"/>
    <w:rsid w:val="60E0CACA"/>
    <w:rsid w:val="6129AE24"/>
    <w:rsid w:val="613178F6"/>
    <w:rsid w:val="61332E12"/>
    <w:rsid w:val="6143190A"/>
    <w:rsid w:val="61491DED"/>
    <w:rsid w:val="6179CAF5"/>
    <w:rsid w:val="61B267BE"/>
    <w:rsid w:val="61D45A50"/>
    <w:rsid w:val="61E06914"/>
    <w:rsid w:val="61E88C0F"/>
    <w:rsid w:val="621F0CF0"/>
    <w:rsid w:val="6265550F"/>
    <w:rsid w:val="6272AC50"/>
    <w:rsid w:val="628DAFDE"/>
    <w:rsid w:val="62939121"/>
    <w:rsid w:val="62E081F3"/>
    <w:rsid w:val="630F8F79"/>
    <w:rsid w:val="63297E46"/>
    <w:rsid w:val="632D1174"/>
    <w:rsid w:val="6345AE2E"/>
    <w:rsid w:val="6357549E"/>
    <w:rsid w:val="6373258F"/>
    <w:rsid w:val="64D294E9"/>
    <w:rsid w:val="64E0DD3C"/>
    <w:rsid w:val="653A0701"/>
    <w:rsid w:val="658B184D"/>
    <w:rsid w:val="6590F3D0"/>
    <w:rsid w:val="659511DE"/>
    <w:rsid w:val="65F6FDDD"/>
    <w:rsid w:val="6620E42A"/>
    <w:rsid w:val="6659B76E"/>
    <w:rsid w:val="665BB34B"/>
    <w:rsid w:val="666B820F"/>
    <w:rsid w:val="66EC22B4"/>
    <w:rsid w:val="66FFC950"/>
    <w:rsid w:val="6700CA09"/>
    <w:rsid w:val="670460BC"/>
    <w:rsid w:val="6743F53B"/>
    <w:rsid w:val="676DEA47"/>
    <w:rsid w:val="676EE3FD"/>
    <w:rsid w:val="67936841"/>
    <w:rsid w:val="67BC0822"/>
    <w:rsid w:val="67CFCCFD"/>
    <w:rsid w:val="67F1B48A"/>
    <w:rsid w:val="6818CAC3"/>
    <w:rsid w:val="68999D25"/>
    <w:rsid w:val="68E43C2B"/>
    <w:rsid w:val="68E79862"/>
    <w:rsid w:val="691EF442"/>
    <w:rsid w:val="692D5C80"/>
    <w:rsid w:val="696532CF"/>
    <w:rsid w:val="69CD8FDE"/>
    <w:rsid w:val="69E1F61F"/>
    <w:rsid w:val="69FBCACB"/>
    <w:rsid w:val="6A2E00C8"/>
    <w:rsid w:val="6A2E2E1E"/>
    <w:rsid w:val="6A3D318F"/>
    <w:rsid w:val="6A42C884"/>
    <w:rsid w:val="6AF4FF10"/>
    <w:rsid w:val="6B61F10A"/>
    <w:rsid w:val="6B77DD0C"/>
    <w:rsid w:val="6B7A6BDF"/>
    <w:rsid w:val="6BAB2B5B"/>
    <w:rsid w:val="6BC20DFE"/>
    <w:rsid w:val="6BE35CCA"/>
    <w:rsid w:val="6C031F6E"/>
    <w:rsid w:val="6C0C68BF"/>
    <w:rsid w:val="6C0EDCC4"/>
    <w:rsid w:val="6C339E10"/>
    <w:rsid w:val="6C80BB7C"/>
    <w:rsid w:val="6C8C7D6D"/>
    <w:rsid w:val="6CC28F61"/>
    <w:rsid w:val="6D18D460"/>
    <w:rsid w:val="6DD4354D"/>
    <w:rsid w:val="6DFE7B70"/>
    <w:rsid w:val="6E6AA22A"/>
    <w:rsid w:val="6E8BD0D2"/>
    <w:rsid w:val="6EA9F4BF"/>
    <w:rsid w:val="6EDDE6C8"/>
    <w:rsid w:val="6EF63E04"/>
    <w:rsid w:val="6EFF9461"/>
    <w:rsid w:val="6F547D13"/>
    <w:rsid w:val="6FE6D8E3"/>
    <w:rsid w:val="70D50DC9"/>
    <w:rsid w:val="70DAB3B8"/>
    <w:rsid w:val="70DED1BE"/>
    <w:rsid w:val="70E3543A"/>
    <w:rsid w:val="710028C2"/>
    <w:rsid w:val="710870D6"/>
    <w:rsid w:val="712112DD"/>
    <w:rsid w:val="7123B970"/>
    <w:rsid w:val="7126A95F"/>
    <w:rsid w:val="713D597F"/>
    <w:rsid w:val="716FEF41"/>
    <w:rsid w:val="71A8E4AF"/>
    <w:rsid w:val="71F2DD39"/>
    <w:rsid w:val="720BA775"/>
    <w:rsid w:val="722E8073"/>
    <w:rsid w:val="7251E666"/>
    <w:rsid w:val="72BE8A65"/>
    <w:rsid w:val="732621BC"/>
    <w:rsid w:val="735EC3C7"/>
    <w:rsid w:val="73658443"/>
    <w:rsid w:val="73AAC7CA"/>
    <w:rsid w:val="74124BC6"/>
    <w:rsid w:val="744D513D"/>
    <w:rsid w:val="7483E8EA"/>
    <w:rsid w:val="7497E4E1"/>
    <w:rsid w:val="74A2CDED"/>
    <w:rsid w:val="7535A8C5"/>
    <w:rsid w:val="755A9DEB"/>
    <w:rsid w:val="755D1BEB"/>
    <w:rsid w:val="75A2643A"/>
    <w:rsid w:val="75DBC040"/>
    <w:rsid w:val="76531CD9"/>
    <w:rsid w:val="76753B34"/>
    <w:rsid w:val="767D073A"/>
    <w:rsid w:val="76AF9CD7"/>
    <w:rsid w:val="76CC8BDD"/>
    <w:rsid w:val="76EAA1FA"/>
    <w:rsid w:val="772132F9"/>
    <w:rsid w:val="7763CB1C"/>
    <w:rsid w:val="77A2BDD2"/>
    <w:rsid w:val="77CDB606"/>
    <w:rsid w:val="781F3473"/>
    <w:rsid w:val="782BFDFC"/>
    <w:rsid w:val="787431DC"/>
    <w:rsid w:val="78966422"/>
    <w:rsid w:val="79475B6B"/>
    <w:rsid w:val="79604C0E"/>
    <w:rsid w:val="796DAF09"/>
    <w:rsid w:val="79A1C30E"/>
    <w:rsid w:val="7A35DDE8"/>
    <w:rsid w:val="7A60D5F7"/>
    <w:rsid w:val="7AB1FCA7"/>
    <w:rsid w:val="7B0C5BE7"/>
    <w:rsid w:val="7B24FCA3"/>
    <w:rsid w:val="7B34C233"/>
    <w:rsid w:val="7B928D7E"/>
    <w:rsid w:val="7BDADB37"/>
    <w:rsid w:val="7C124F4A"/>
    <w:rsid w:val="7C392A8E"/>
    <w:rsid w:val="7C444949"/>
    <w:rsid w:val="7C475A94"/>
    <w:rsid w:val="7C78DF8C"/>
    <w:rsid w:val="7C95BDA8"/>
    <w:rsid w:val="7CA078DB"/>
    <w:rsid w:val="7CD81E2E"/>
    <w:rsid w:val="7CF6B0B1"/>
    <w:rsid w:val="7D1D7B5F"/>
    <w:rsid w:val="7D3FBE39"/>
    <w:rsid w:val="7D4C76AB"/>
    <w:rsid w:val="7D50061F"/>
    <w:rsid w:val="7D5CB882"/>
    <w:rsid w:val="7DB1AE1B"/>
    <w:rsid w:val="7DD86810"/>
    <w:rsid w:val="7E64E764"/>
    <w:rsid w:val="7EBA6313"/>
    <w:rsid w:val="7ED7DDC7"/>
    <w:rsid w:val="7EF49E7D"/>
    <w:rsid w:val="7EFD102F"/>
    <w:rsid w:val="7F349197"/>
    <w:rsid w:val="7FCC8B34"/>
    <w:rsid w:val="7FDEEDC7"/>
    <w:rsid w:val="7FFA76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367808"/>
  <w15:chartTrackingRefBased/>
  <w15:docId w15:val="{7DE68333-0450-4B51-8C3D-1FF14E314CF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17EAB9BC"/>
    <w:pPr>
      <w:tabs>
        <w:tab w:val="center" w:leader="none" w:pos="4680"/>
        <w:tab w:val="right" w:leader="none" w:pos="9360"/>
      </w:tabs>
      <w:spacing w:after="0" w:line="240" w:lineRule="auto"/>
    </w:pPr>
  </w:style>
  <w:style w:type="paragraph" w:styleId="Footer">
    <w:uiPriority w:val="99"/>
    <w:name w:val="footer"/>
    <w:basedOn w:val="Normal"/>
    <w:unhideWhenUsed/>
    <w:rsid w:val="17EAB9BC"/>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yperlink">
    <w:uiPriority w:val="99"/>
    <w:name w:val="Hyperlink"/>
    <w:basedOn w:val="DefaultParagraphFont"/>
    <w:unhideWhenUsed/>
    <w:rsid w:val="4D7FB765"/>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footer" Target="footer.xml" Id="R43ad36f5959e43b5" /><Relationship Type="http://schemas.openxmlformats.org/officeDocument/2006/relationships/footer" Target="footer2.xml" Id="R52e4374f65bc44f8" /><Relationship Type="http://schemas.openxmlformats.org/officeDocument/2006/relationships/footer" Target="footer3.xml" Id="R7d62f6ed13374b5e" /><Relationship Type="http://schemas.microsoft.com/office/2020/10/relationships/intelligence" Target="intelligence2.xml" Id="Rca0d4b01269d4ecc" /><Relationship Type="http://schemas.openxmlformats.org/officeDocument/2006/relationships/header" Target="header.xml" Id="Rd2b9975a809b443a" /><Relationship Type="http://schemas.openxmlformats.org/officeDocument/2006/relationships/header" Target="header2.xml" Id="R9d2bb7ef2e9b4bff" /><Relationship Type="http://schemas.openxmlformats.org/officeDocument/2006/relationships/hyperlink" Target="https://www.thepfs.org/news-insight/news/articles/trustees-duties-and-beneficiaries-rights-under-trusts/01db6bfc-9b2e-4105-b071-9905a3142654" TargetMode="External" Id="R947224f275194a90" /><Relationship Type="http://schemas.openxmlformats.org/officeDocument/2006/relationships/hyperlink" Target="https://www.legislation.gov.uk/ukpga/1996/47/part/I/crossheading/right-of-beneficiaries-to-occupy-trust-land" TargetMode="External" Id="Ra01c9d62bd0d45c9" /><Relationship Type="http://schemas.openxmlformats.org/officeDocument/2006/relationships/hyperlink" Target="https://www.lexology.com/library/detail.aspx?g=3bac2062-152b-4285-9afc-696d785cbb22" TargetMode="External" Id="R377102ddab674a84" /><Relationship Type="http://schemas.openxmlformats.org/officeDocument/2006/relationships/hyperlink" Target="https://www.weareatticus.com/articles/11-things-every-trust-beneficiary-should-know" TargetMode="External" Id="R8603064541454df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2026-02-18T20:42:20.5043543Z</dcterms:created>
  <dcterms:modified xsi:type="dcterms:W3CDTF">2026-03-13T15:31:49.4337085Z</dcterms:modified>
  <dc:creator>Chloe Foulis (2204897)</dc:creator>
  <lastModifiedBy>Chloe Foulis (2204897)</lastModifiedBy>
</coreProperties>
</file>