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3F56747E" w:rsidR="00EE4D3E" w:rsidRDefault="2FE3CB71" w:rsidP="04A9C2DF">
      <w:pPr>
        <w:jc w:val="center"/>
        <w:rPr>
          <w:rFonts w:ascii="Arial" w:eastAsia="Arial" w:hAnsi="Arial" w:cs="Arial"/>
          <w:sz w:val="96"/>
          <w:szCs w:val="96"/>
        </w:rPr>
      </w:pPr>
      <w:r w:rsidRPr="04A9C2DF">
        <w:rPr>
          <w:rFonts w:ascii="Arial" w:eastAsia="Arial" w:hAnsi="Arial" w:cs="Arial"/>
          <w:sz w:val="96"/>
          <w:szCs w:val="96"/>
        </w:rPr>
        <w:t>Evaluate the tests used to establish causation in relation to a breach of duty of care</w:t>
      </w:r>
    </w:p>
    <w:p w14:paraId="3B9BCB01" w14:textId="6FE10B26" w:rsidR="04A9C2DF" w:rsidRDefault="04A9C2DF" w:rsidP="04A9C2DF">
      <w:pPr>
        <w:jc w:val="center"/>
        <w:rPr>
          <w:rFonts w:ascii="Arial" w:eastAsia="Arial" w:hAnsi="Arial" w:cs="Arial"/>
          <w:sz w:val="96"/>
          <w:szCs w:val="96"/>
        </w:rPr>
      </w:pPr>
    </w:p>
    <w:p w14:paraId="69E340B3" w14:textId="5D9CF12F" w:rsidR="04A9C2DF" w:rsidRDefault="04A9C2DF" w:rsidP="04A9C2DF">
      <w:pPr>
        <w:jc w:val="center"/>
        <w:rPr>
          <w:rFonts w:ascii="Arial" w:eastAsia="Arial" w:hAnsi="Arial" w:cs="Arial"/>
          <w:sz w:val="96"/>
          <w:szCs w:val="96"/>
        </w:rPr>
      </w:pPr>
    </w:p>
    <w:p w14:paraId="04373169" w14:textId="25097B5E" w:rsidR="04A9C2DF" w:rsidRDefault="04A9C2DF" w:rsidP="04A9C2DF">
      <w:pPr>
        <w:jc w:val="center"/>
        <w:rPr>
          <w:rFonts w:ascii="Arial" w:eastAsia="Arial" w:hAnsi="Arial" w:cs="Arial"/>
          <w:sz w:val="96"/>
          <w:szCs w:val="96"/>
        </w:rPr>
      </w:pPr>
    </w:p>
    <w:p w14:paraId="26A4AF3C" w14:textId="14901A7B" w:rsidR="04A9C2DF" w:rsidRDefault="04A9C2DF" w:rsidP="04A9C2DF">
      <w:pPr>
        <w:jc w:val="center"/>
        <w:rPr>
          <w:rFonts w:ascii="Arial" w:eastAsia="Arial" w:hAnsi="Arial" w:cs="Arial"/>
          <w:sz w:val="36"/>
          <w:szCs w:val="36"/>
        </w:rPr>
      </w:pPr>
    </w:p>
    <w:p w14:paraId="580CCB0B" w14:textId="2001D9C1" w:rsidR="634572A3" w:rsidRDefault="634572A3" w:rsidP="04A9C2DF">
      <w:pPr>
        <w:jc w:val="center"/>
        <w:rPr>
          <w:rFonts w:ascii="Arial" w:eastAsia="Arial" w:hAnsi="Arial" w:cs="Arial"/>
          <w:sz w:val="32"/>
          <w:szCs w:val="32"/>
        </w:rPr>
      </w:pPr>
      <w:r w:rsidRPr="04A9C2DF">
        <w:rPr>
          <w:rFonts w:ascii="Arial" w:eastAsia="Arial" w:hAnsi="Arial" w:cs="Arial"/>
          <w:sz w:val="32"/>
          <w:szCs w:val="32"/>
        </w:rPr>
        <w:t xml:space="preserve">Ffion oliver </w:t>
      </w:r>
    </w:p>
    <w:p w14:paraId="29B28B8B" w14:textId="502C75E2" w:rsidR="634572A3" w:rsidRDefault="634572A3" w:rsidP="04A9C2DF">
      <w:pPr>
        <w:jc w:val="center"/>
        <w:rPr>
          <w:rFonts w:ascii="Arial" w:eastAsia="Arial" w:hAnsi="Arial" w:cs="Arial"/>
          <w:sz w:val="32"/>
          <w:szCs w:val="32"/>
        </w:rPr>
      </w:pPr>
      <w:r w:rsidRPr="04A9C2DF">
        <w:rPr>
          <w:rFonts w:ascii="Arial" w:eastAsia="Arial" w:hAnsi="Arial" w:cs="Arial"/>
          <w:sz w:val="32"/>
          <w:szCs w:val="32"/>
        </w:rPr>
        <w:t>2305145</w:t>
      </w:r>
    </w:p>
    <w:p w14:paraId="27B3DFD5" w14:textId="27AADD15" w:rsidR="32AD11BA" w:rsidRDefault="32AD11BA" w:rsidP="6910C863">
      <w:pPr>
        <w:rPr>
          <w:rFonts w:ascii="Arial" w:eastAsia="Arial" w:hAnsi="Arial" w:cs="Arial"/>
          <w:lang w:val="en-GB"/>
        </w:rPr>
      </w:pPr>
      <w:r w:rsidRPr="6910C863">
        <w:rPr>
          <w:lang w:val="en-GB"/>
        </w:rPr>
        <w:t xml:space="preserve">The duty of care is to take care to not perform an act or omission that injures another (Horsey and </w:t>
      </w:r>
      <w:proofErr w:type="spellStart"/>
      <w:r w:rsidRPr="6910C863">
        <w:rPr>
          <w:lang w:val="en-GB"/>
        </w:rPr>
        <w:t>Rackley</w:t>
      </w:r>
      <w:proofErr w:type="spellEnd"/>
      <w:r w:rsidRPr="6910C863">
        <w:rPr>
          <w:lang w:val="en-GB"/>
        </w:rPr>
        <w:t xml:space="preserve">, 2024). </w:t>
      </w:r>
      <w:r w:rsidR="09B240F8" w:rsidRPr="6910C863">
        <w:rPr>
          <w:lang w:val="en-GB"/>
        </w:rPr>
        <w:t xml:space="preserve">In a declaration made in Donoghue v Stevenson [1932] by Lord </w:t>
      </w:r>
      <w:proofErr w:type="spellStart"/>
      <w:r w:rsidR="09B240F8" w:rsidRPr="6910C863">
        <w:rPr>
          <w:lang w:val="en-GB"/>
        </w:rPr>
        <w:t>Atki</w:t>
      </w:r>
      <w:r w:rsidR="09B240F8" w:rsidRPr="6910C863">
        <w:rPr>
          <w:rFonts w:ascii="Arial" w:eastAsia="Arial" w:hAnsi="Arial" w:cs="Arial"/>
          <w:lang w:val="en-GB"/>
        </w:rPr>
        <w:t>n</w:t>
      </w:r>
      <w:proofErr w:type="spellEnd"/>
      <w:r w:rsidR="09B240F8" w:rsidRPr="6910C863">
        <w:rPr>
          <w:rFonts w:ascii="Arial" w:eastAsia="Arial" w:hAnsi="Arial" w:cs="Arial"/>
          <w:lang w:val="en-GB"/>
        </w:rPr>
        <w:t xml:space="preserve"> in 1932. This was the well-known "neighbour test," which said that one must "take reasonable care to avoid acts or omissions which he can reasonably foresee would be likely to injure his neighbour." "People who are so closely and directly affected by my act that I ought reasonably to have them in contemplation as being so affected when I am directing my mind to the acts or omissions which are called into question" is Lord </w:t>
      </w:r>
      <w:proofErr w:type="spellStart"/>
      <w:r w:rsidR="09B240F8" w:rsidRPr="6910C863">
        <w:rPr>
          <w:rFonts w:ascii="Arial" w:eastAsia="Arial" w:hAnsi="Arial" w:cs="Arial"/>
          <w:lang w:val="en-GB"/>
        </w:rPr>
        <w:t>Atkin's</w:t>
      </w:r>
      <w:proofErr w:type="spellEnd"/>
      <w:r w:rsidR="09B240F8" w:rsidRPr="6910C863">
        <w:rPr>
          <w:rFonts w:ascii="Arial" w:eastAsia="Arial" w:hAnsi="Arial" w:cs="Arial"/>
          <w:lang w:val="en-GB"/>
        </w:rPr>
        <w:t xml:space="preserve"> response to the question, "Who is a neighbour?"</w:t>
      </w:r>
      <w:r w:rsidR="1CBFC3C3" w:rsidRPr="6910C863">
        <w:rPr>
          <w:rFonts w:ascii="Arial" w:eastAsia="Arial" w:hAnsi="Arial" w:cs="Arial"/>
          <w:lang w:val="en-GB"/>
        </w:rPr>
        <w:t xml:space="preserve"> </w:t>
      </w:r>
      <w:r w:rsidR="2C3758A6" w:rsidRPr="6910C863">
        <w:rPr>
          <w:rFonts w:ascii="Arial" w:eastAsia="Arial" w:hAnsi="Arial" w:cs="Arial"/>
          <w:lang w:val="en-GB"/>
        </w:rPr>
        <w:t>(Cooke, 2019).</w:t>
      </w:r>
    </w:p>
    <w:p w14:paraId="10D9FEA4" w14:textId="5EA3A88B" w:rsidR="04A9C2DF" w:rsidRDefault="04A9C2DF" w:rsidP="04A9C2DF">
      <w:pPr>
        <w:rPr>
          <w:rFonts w:ascii="Arial" w:eastAsia="Arial" w:hAnsi="Arial" w:cs="Arial"/>
          <w:lang w:val="en-GB"/>
        </w:rPr>
      </w:pPr>
    </w:p>
    <w:p w14:paraId="08DAB8DB" w14:textId="7613550F" w:rsidR="575A6525" w:rsidRDefault="575A6525" w:rsidP="04A9C2DF">
      <w:pPr>
        <w:rPr>
          <w:rFonts w:ascii="Arial" w:eastAsia="Arial" w:hAnsi="Arial" w:cs="Arial"/>
          <w:lang w:val="en-GB"/>
        </w:rPr>
      </w:pPr>
      <w:r w:rsidRPr="6910C863">
        <w:rPr>
          <w:rFonts w:ascii="Arial" w:eastAsia="Arial" w:hAnsi="Arial" w:cs="Arial"/>
          <w:lang w:val="en-GB"/>
        </w:rPr>
        <w:t xml:space="preserve">(Jones, 2002 p.191-200) goes on to say </w:t>
      </w:r>
      <w:r w:rsidR="35081626" w:rsidRPr="6910C863">
        <w:rPr>
          <w:rFonts w:ascii="Arial" w:eastAsia="Arial" w:hAnsi="Arial" w:cs="Arial"/>
          <w:lang w:val="en-GB"/>
        </w:rPr>
        <w:t>there</w:t>
      </w:r>
      <w:r w:rsidR="3FD51984" w:rsidRPr="6910C863">
        <w:rPr>
          <w:rFonts w:ascii="Arial" w:eastAsia="Arial" w:hAnsi="Arial" w:cs="Arial"/>
          <w:lang w:val="en-GB"/>
        </w:rPr>
        <w:t xml:space="preserve"> is</w:t>
      </w:r>
      <w:r w:rsidRPr="6910C863">
        <w:rPr>
          <w:rFonts w:ascii="Arial" w:eastAsia="Arial" w:hAnsi="Arial" w:cs="Arial"/>
          <w:lang w:val="en-GB"/>
        </w:rPr>
        <w:t xml:space="preserve"> a </w:t>
      </w:r>
      <w:r w:rsidR="6CBA7028" w:rsidRPr="6910C863">
        <w:rPr>
          <w:rFonts w:ascii="Arial" w:eastAsia="Arial" w:hAnsi="Arial" w:cs="Arial"/>
          <w:lang w:val="en-GB"/>
        </w:rPr>
        <w:t>two-stage</w:t>
      </w:r>
      <w:r w:rsidRPr="6910C863">
        <w:rPr>
          <w:rFonts w:ascii="Arial" w:eastAsia="Arial" w:hAnsi="Arial" w:cs="Arial"/>
          <w:lang w:val="en-GB"/>
        </w:rPr>
        <w:t xml:space="preserve"> process that establishes a breach of </w:t>
      </w:r>
      <w:r w:rsidR="795F0C22" w:rsidRPr="6910C863">
        <w:rPr>
          <w:rFonts w:ascii="Arial" w:eastAsia="Arial" w:hAnsi="Arial" w:cs="Arial"/>
          <w:lang w:val="en-GB"/>
        </w:rPr>
        <w:t xml:space="preserve">a </w:t>
      </w:r>
      <w:r w:rsidRPr="6910C863">
        <w:rPr>
          <w:rFonts w:ascii="Arial" w:eastAsia="Arial" w:hAnsi="Arial" w:cs="Arial"/>
          <w:lang w:val="en-GB"/>
        </w:rPr>
        <w:t>duty of care</w:t>
      </w:r>
      <w:r w:rsidR="5CF491D1" w:rsidRPr="6910C863">
        <w:rPr>
          <w:rFonts w:ascii="Arial" w:eastAsia="Arial" w:hAnsi="Arial" w:cs="Arial"/>
          <w:lang w:val="en-GB"/>
        </w:rPr>
        <w:t>. Firstly, it involves the court determining what level of care the defendant should have followed and how he should have behaved under the circumstances. The norms of a "reasonable man" are used by the courts to answer this question.</w:t>
      </w:r>
      <w:r w:rsidR="5AB790EF" w:rsidRPr="6910C863">
        <w:rPr>
          <w:rFonts w:ascii="Arial" w:eastAsia="Arial" w:hAnsi="Arial" w:cs="Arial"/>
          <w:lang w:val="en-GB"/>
        </w:rPr>
        <w:t xml:space="preserve"> Secondly, </w:t>
      </w:r>
      <w:r w:rsidR="6E9E2333" w:rsidRPr="6910C863">
        <w:rPr>
          <w:rFonts w:ascii="Arial" w:eastAsia="Arial" w:hAnsi="Arial" w:cs="Arial"/>
          <w:lang w:val="en-GB"/>
        </w:rPr>
        <w:t>w</w:t>
      </w:r>
      <w:r w:rsidR="68B772D9" w:rsidRPr="6910C863">
        <w:rPr>
          <w:rFonts w:ascii="Arial" w:eastAsia="Arial" w:hAnsi="Arial" w:cs="Arial"/>
          <w:lang w:val="en-GB"/>
        </w:rPr>
        <w:t>hether the defendant's actions were below the proper standard under the circumstances</w:t>
      </w:r>
      <w:r w:rsidR="005448B8">
        <w:rPr>
          <w:rFonts w:ascii="Arial" w:eastAsia="Arial" w:hAnsi="Arial" w:cs="Arial"/>
          <w:lang w:val="en-GB"/>
        </w:rPr>
        <w:t>,</w:t>
      </w:r>
      <w:r w:rsidR="68B772D9" w:rsidRPr="6910C863">
        <w:rPr>
          <w:rFonts w:ascii="Arial" w:eastAsia="Arial" w:hAnsi="Arial" w:cs="Arial"/>
          <w:lang w:val="en-GB"/>
        </w:rPr>
        <w:t xml:space="preserve"> must be decided. The defendant must provide a fair explanation of what happened </w:t>
      </w:r>
      <w:bookmarkStart w:id="0" w:name="_Int_5xsUU3zV"/>
      <w:r w:rsidR="68B772D9" w:rsidRPr="6910C863">
        <w:rPr>
          <w:rFonts w:ascii="Arial" w:eastAsia="Arial" w:hAnsi="Arial" w:cs="Arial"/>
          <w:lang w:val="en-GB"/>
        </w:rPr>
        <w:t>in order for</w:t>
      </w:r>
      <w:bookmarkEnd w:id="0"/>
      <w:r w:rsidR="68B772D9" w:rsidRPr="6910C863">
        <w:rPr>
          <w:rFonts w:ascii="Arial" w:eastAsia="Arial" w:hAnsi="Arial" w:cs="Arial"/>
          <w:lang w:val="en-GB"/>
        </w:rPr>
        <w:t xml:space="preserve"> the claimant to demonstrate this, if they have no knowledge of how the damage occurred.</w:t>
      </w:r>
      <w:r w:rsidR="6A0A7E74" w:rsidRPr="6910C863">
        <w:rPr>
          <w:rFonts w:ascii="Arial" w:eastAsia="Arial" w:hAnsi="Arial" w:cs="Arial"/>
          <w:lang w:val="en-GB"/>
        </w:rPr>
        <w:t xml:space="preserve"> </w:t>
      </w:r>
    </w:p>
    <w:p w14:paraId="14E9A521" w14:textId="7D6ACC89" w:rsidR="665CF210" w:rsidRDefault="665CF210" w:rsidP="6910C863">
      <w:pPr>
        <w:rPr>
          <w:rFonts w:ascii="Arial" w:eastAsia="Arial" w:hAnsi="Arial" w:cs="Arial"/>
          <w:lang w:val="en-GB"/>
        </w:rPr>
      </w:pPr>
      <w:r w:rsidRPr="6910C863">
        <w:rPr>
          <w:rFonts w:ascii="Arial" w:eastAsia="Arial" w:hAnsi="Arial" w:cs="Arial"/>
          <w:lang w:val="en-GB"/>
        </w:rPr>
        <w:t xml:space="preserve">Causation is split into two stages, firstly </w:t>
      </w:r>
      <w:r w:rsidR="5BC8BABA" w:rsidRPr="6910C863">
        <w:rPr>
          <w:rFonts w:ascii="Arial" w:eastAsia="Arial" w:hAnsi="Arial" w:cs="Arial"/>
          <w:lang w:val="en-GB"/>
        </w:rPr>
        <w:t xml:space="preserve">“the defendant must be a </w:t>
      </w:r>
      <w:r w:rsidR="4A2AA732" w:rsidRPr="6910C863">
        <w:rPr>
          <w:rFonts w:ascii="Arial" w:eastAsia="Arial" w:hAnsi="Arial" w:cs="Arial"/>
          <w:lang w:val="en-GB"/>
        </w:rPr>
        <w:t>‘cause</w:t>
      </w:r>
      <w:r w:rsidR="5BC8BABA" w:rsidRPr="6910C863">
        <w:rPr>
          <w:rFonts w:ascii="Arial" w:eastAsia="Arial" w:hAnsi="Arial" w:cs="Arial"/>
          <w:lang w:val="en-GB"/>
        </w:rPr>
        <w:t xml:space="preserve"> in fact’ of the injury” and secondly, “the law must </w:t>
      </w:r>
      <w:r w:rsidR="1C4CD3E5" w:rsidRPr="6910C863">
        <w:rPr>
          <w:rFonts w:ascii="Arial" w:eastAsia="Arial" w:hAnsi="Arial" w:cs="Arial"/>
          <w:lang w:val="en-GB"/>
        </w:rPr>
        <w:t>determine</w:t>
      </w:r>
      <w:r w:rsidR="5BC8BABA" w:rsidRPr="6910C863">
        <w:rPr>
          <w:rFonts w:ascii="Arial" w:eastAsia="Arial" w:hAnsi="Arial" w:cs="Arial"/>
          <w:lang w:val="en-GB"/>
        </w:rPr>
        <w:t xml:space="preserve"> whether the</w:t>
      </w:r>
      <w:r w:rsidR="056E7DCD" w:rsidRPr="6910C863">
        <w:rPr>
          <w:rFonts w:ascii="Arial" w:eastAsia="Arial" w:hAnsi="Arial" w:cs="Arial"/>
          <w:lang w:val="en-GB"/>
        </w:rPr>
        <w:t xml:space="preserve"> damage caused is ‘too remote’ from the breach” (Steele, 2022)</w:t>
      </w:r>
      <w:r w:rsidR="15A26CCB" w:rsidRPr="6910C863">
        <w:rPr>
          <w:rFonts w:ascii="Arial" w:eastAsia="Arial" w:hAnsi="Arial" w:cs="Arial"/>
          <w:lang w:val="en-GB"/>
        </w:rPr>
        <w:t xml:space="preserve">. Factual causation </w:t>
      </w:r>
      <w:r w:rsidR="0CF93211" w:rsidRPr="6910C863">
        <w:rPr>
          <w:rFonts w:ascii="Arial" w:eastAsia="Arial" w:hAnsi="Arial" w:cs="Arial"/>
          <w:lang w:val="en-GB"/>
        </w:rPr>
        <w:t xml:space="preserve">is </w:t>
      </w:r>
      <w:r w:rsidR="42907BD4" w:rsidRPr="6910C863">
        <w:rPr>
          <w:rFonts w:ascii="Arial" w:eastAsia="Arial" w:hAnsi="Arial" w:cs="Arial"/>
          <w:lang w:val="en-GB"/>
        </w:rPr>
        <w:t>whether</w:t>
      </w:r>
      <w:r w:rsidR="0CF93211" w:rsidRPr="6910C863">
        <w:rPr>
          <w:rFonts w:ascii="Arial" w:eastAsia="Arial" w:hAnsi="Arial" w:cs="Arial"/>
          <w:lang w:val="en-GB"/>
        </w:rPr>
        <w:t xml:space="preserve"> the defendant's actions were causally related to the claimant's loss</w:t>
      </w:r>
      <w:r w:rsidR="0056B284" w:rsidRPr="6910C863">
        <w:rPr>
          <w:rFonts w:ascii="Arial" w:eastAsia="Arial" w:hAnsi="Arial" w:cs="Arial"/>
          <w:lang w:val="en-GB"/>
        </w:rPr>
        <w:t>, this</w:t>
      </w:r>
      <w:r w:rsidR="0CF93211" w:rsidRPr="6910C863">
        <w:rPr>
          <w:rFonts w:ascii="Arial" w:eastAsia="Arial" w:hAnsi="Arial" w:cs="Arial"/>
          <w:lang w:val="en-GB"/>
        </w:rPr>
        <w:t xml:space="preserve"> is the first question that needs to be answered. </w:t>
      </w:r>
      <w:r w:rsidR="79AD992B" w:rsidRPr="6910C863">
        <w:rPr>
          <w:rFonts w:ascii="Arial" w:eastAsia="Arial" w:hAnsi="Arial" w:cs="Arial"/>
          <w:lang w:val="en-GB"/>
        </w:rPr>
        <w:t>This</w:t>
      </w:r>
      <w:r w:rsidR="0CF93211" w:rsidRPr="6910C863">
        <w:rPr>
          <w:rFonts w:ascii="Arial" w:eastAsia="Arial" w:hAnsi="Arial" w:cs="Arial"/>
          <w:lang w:val="en-GB"/>
        </w:rPr>
        <w:t xml:space="preserve"> is an explanatory question: how exactly did the damage happen? The outcome of this investigation may, but is not likely to, suggest who should be held accountable for the harm.</w:t>
      </w:r>
      <w:r w:rsidR="6BD7372A" w:rsidRPr="6910C863">
        <w:rPr>
          <w:rFonts w:ascii="Arial" w:eastAsia="Arial" w:hAnsi="Arial" w:cs="Arial"/>
          <w:lang w:val="en-GB"/>
        </w:rPr>
        <w:t xml:space="preserve"> For factual </w:t>
      </w:r>
      <w:r w:rsidR="2DCF4D88" w:rsidRPr="6910C863">
        <w:rPr>
          <w:rFonts w:ascii="Arial" w:eastAsia="Arial" w:hAnsi="Arial" w:cs="Arial"/>
          <w:lang w:val="en-GB"/>
        </w:rPr>
        <w:t>causation,</w:t>
      </w:r>
      <w:r w:rsidR="6BD7372A" w:rsidRPr="6910C863">
        <w:rPr>
          <w:rFonts w:ascii="Arial" w:eastAsia="Arial" w:hAnsi="Arial" w:cs="Arial"/>
          <w:lang w:val="en-GB"/>
        </w:rPr>
        <w:t xml:space="preserve"> the test used is the ‘But for’ test. The ‘But for’ test </w:t>
      </w:r>
      <w:r w:rsidR="228F0618" w:rsidRPr="6910C863">
        <w:rPr>
          <w:rFonts w:ascii="Arial" w:eastAsia="Arial" w:hAnsi="Arial" w:cs="Arial"/>
          <w:lang w:val="en-GB"/>
        </w:rPr>
        <w:t xml:space="preserve">is if the claimant would not have suffered harm "but for" the defendant's negligence, then the defendant's negligence is a contributing factor. There might be other events that are causally relevant, so </w:t>
      </w:r>
      <w:r w:rsidR="6999EE96" w:rsidRPr="6910C863">
        <w:rPr>
          <w:rFonts w:ascii="Arial" w:eastAsia="Arial" w:hAnsi="Arial" w:cs="Arial"/>
          <w:lang w:val="en-GB"/>
        </w:rPr>
        <w:t>it is</w:t>
      </w:r>
      <w:r w:rsidR="228F0618" w:rsidRPr="6910C863">
        <w:rPr>
          <w:rFonts w:ascii="Arial" w:eastAsia="Arial" w:hAnsi="Arial" w:cs="Arial"/>
          <w:lang w:val="en-GB"/>
        </w:rPr>
        <w:t xml:space="preserve"> not necessarily the only cause (Jones, 2002, p.191-200).</w:t>
      </w:r>
      <w:r w:rsidR="1205FAA8" w:rsidRPr="6910C863">
        <w:rPr>
          <w:rFonts w:ascii="Arial" w:eastAsia="Arial" w:hAnsi="Arial" w:cs="Arial"/>
          <w:lang w:val="en-GB"/>
        </w:rPr>
        <w:t xml:space="preserve"> Even though the ‘but for’ test is popular there a</w:t>
      </w:r>
      <w:r w:rsidR="7CF1F08A" w:rsidRPr="6910C863">
        <w:rPr>
          <w:rFonts w:ascii="Arial" w:eastAsia="Arial" w:hAnsi="Arial" w:cs="Arial"/>
          <w:lang w:val="en-GB"/>
        </w:rPr>
        <w:t xml:space="preserve">re many issues involved with it. Firstly, with cases that have multiple causes it </w:t>
      </w:r>
      <w:r w:rsidR="26DA1A96" w:rsidRPr="6910C863">
        <w:rPr>
          <w:rFonts w:ascii="Arial" w:eastAsia="Arial" w:hAnsi="Arial" w:cs="Arial"/>
          <w:lang w:val="en-GB"/>
        </w:rPr>
        <w:t>runs</w:t>
      </w:r>
      <w:r w:rsidR="7CF1F08A" w:rsidRPr="6910C863">
        <w:rPr>
          <w:rFonts w:ascii="Arial" w:eastAsia="Arial" w:hAnsi="Arial" w:cs="Arial"/>
          <w:lang w:val="en-GB"/>
        </w:rPr>
        <w:t xml:space="preserve"> </w:t>
      </w:r>
      <w:r w:rsidR="1A25BC69" w:rsidRPr="6910C863">
        <w:rPr>
          <w:rFonts w:ascii="Arial" w:eastAsia="Arial" w:hAnsi="Arial" w:cs="Arial"/>
          <w:lang w:val="en-GB"/>
        </w:rPr>
        <w:t>into</w:t>
      </w:r>
      <w:r w:rsidR="7CF1F08A" w:rsidRPr="6910C863">
        <w:rPr>
          <w:rFonts w:ascii="Arial" w:eastAsia="Arial" w:hAnsi="Arial" w:cs="Arial"/>
          <w:lang w:val="en-GB"/>
        </w:rPr>
        <w:t xml:space="preserve"> problems, with narrowing down the </w:t>
      </w:r>
      <w:r w:rsidR="561B8DB5" w:rsidRPr="6910C863">
        <w:rPr>
          <w:rFonts w:ascii="Arial" w:eastAsia="Arial" w:hAnsi="Arial" w:cs="Arial"/>
          <w:lang w:val="en-GB"/>
        </w:rPr>
        <w:t>primary cause</w:t>
      </w:r>
      <w:r w:rsidR="4ED8569E" w:rsidRPr="6910C863">
        <w:rPr>
          <w:rFonts w:ascii="Arial" w:eastAsia="Arial" w:hAnsi="Arial" w:cs="Arial"/>
          <w:lang w:val="en-GB"/>
        </w:rPr>
        <w:t xml:space="preserve"> (</w:t>
      </w:r>
      <w:proofErr w:type="spellStart"/>
      <w:r w:rsidR="4ED8569E" w:rsidRPr="6910C863">
        <w:rPr>
          <w:rFonts w:ascii="Arial" w:eastAsia="Arial" w:hAnsi="Arial" w:cs="Arial"/>
          <w:lang w:val="en-GB"/>
        </w:rPr>
        <w:t>Giliker</w:t>
      </w:r>
      <w:proofErr w:type="spellEnd"/>
      <w:r w:rsidR="4ED8569E" w:rsidRPr="6910C863">
        <w:rPr>
          <w:rFonts w:ascii="Arial" w:eastAsia="Arial" w:hAnsi="Arial" w:cs="Arial"/>
          <w:lang w:val="en-GB"/>
        </w:rPr>
        <w:t xml:space="preserve">, 2014, p.6-005). </w:t>
      </w:r>
      <w:r w:rsidR="561B8DB5" w:rsidRPr="6910C863">
        <w:rPr>
          <w:rFonts w:ascii="Arial" w:eastAsia="Arial" w:hAnsi="Arial" w:cs="Arial"/>
          <w:lang w:val="en-GB"/>
        </w:rPr>
        <w:t xml:space="preserve">In the case of Fairchild V </w:t>
      </w:r>
      <w:proofErr w:type="spellStart"/>
      <w:r w:rsidR="561B8DB5" w:rsidRPr="6910C863">
        <w:rPr>
          <w:rFonts w:ascii="Arial" w:eastAsia="Arial" w:hAnsi="Arial" w:cs="Arial"/>
          <w:lang w:val="en-GB"/>
        </w:rPr>
        <w:t>Glenhaven</w:t>
      </w:r>
      <w:proofErr w:type="spellEnd"/>
      <w:r w:rsidR="561B8DB5" w:rsidRPr="6910C863">
        <w:rPr>
          <w:rFonts w:ascii="Arial" w:eastAsia="Arial" w:hAnsi="Arial" w:cs="Arial"/>
          <w:lang w:val="en-GB"/>
        </w:rPr>
        <w:t xml:space="preserve"> Funeral Services </w:t>
      </w:r>
      <w:r w:rsidR="0048A84F" w:rsidRPr="6910C863">
        <w:rPr>
          <w:rFonts w:ascii="Arial" w:eastAsia="Arial" w:hAnsi="Arial" w:cs="Arial"/>
          <w:lang w:val="en-GB"/>
        </w:rPr>
        <w:t>(2002)</w:t>
      </w:r>
      <w:r w:rsidR="59287273" w:rsidRPr="6910C863">
        <w:rPr>
          <w:rFonts w:ascii="Arial" w:eastAsia="Arial" w:hAnsi="Arial" w:cs="Arial"/>
          <w:lang w:val="en-GB"/>
        </w:rPr>
        <w:t xml:space="preserve"> concerns the claimant who contracted mesothelioma which is a form of canc</w:t>
      </w:r>
      <w:r w:rsidR="3FA0FFB9" w:rsidRPr="6910C863">
        <w:rPr>
          <w:rFonts w:ascii="Arial" w:eastAsia="Arial" w:hAnsi="Arial" w:cs="Arial"/>
          <w:lang w:val="en-GB"/>
        </w:rPr>
        <w:t>er due to the</w:t>
      </w:r>
      <w:r w:rsidR="59287273" w:rsidRPr="6910C863">
        <w:rPr>
          <w:rFonts w:ascii="Arial" w:eastAsia="Arial" w:hAnsi="Arial" w:cs="Arial"/>
          <w:lang w:val="en-GB"/>
        </w:rPr>
        <w:t xml:space="preserve"> exposure to asbestos</w:t>
      </w:r>
      <w:r w:rsidR="014A7A82" w:rsidRPr="6910C863">
        <w:rPr>
          <w:rFonts w:ascii="Arial" w:eastAsia="Arial" w:hAnsi="Arial" w:cs="Arial"/>
          <w:lang w:val="en-GB"/>
        </w:rPr>
        <w:t xml:space="preserve">. The test of ‘but for’ the exposure to asbestos would of the claimant contracted mesothelioma. Due to the claimant working in </w:t>
      </w:r>
      <w:r w:rsidR="7BD42C94" w:rsidRPr="6910C863">
        <w:rPr>
          <w:rFonts w:ascii="Arial" w:eastAsia="Arial" w:hAnsi="Arial" w:cs="Arial"/>
          <w:lang w:val="en-GB"/>
        </w:rPr>
        <w:t xml:space="preserve">two </w:t>
      </w:r>
      <w:r w:rsidR="520442F6" w:rsidRPr="6910C863">
        <w:rPr>
          <w:rFonts w:ascii="Arial" w:eastAsia="Arial" w:hAnsi="Arial" w:cs="Arial"/>
          <w:lang w:val="en-GB"/>
        </w:rPr>
        <w:t>separate places</w:t>
      </w:r>
      <w:r w:rsidR="3448A3E6" w:rsidRPr="6910C863">
        <w:rPr>
          <w:rFonts w:ascii="Arial" w:eastAsia="Arial" w:hAnsi="Arial" w:cs="Arial"/>
          <w:lang w:val="en-GB"/>
        </w:rPr>
        <w:t xml:space="preserve">, they could not prove which </w:t>
      </w:r>
      <w:r w:rsidR="1597AFD8" w:rsidRPr="6910C863">
        <w:rPr>
          <w:rFonts w:ascii="Arial" w:eastAsia="Arial" w:hAnsi="Arial" w:cs="Arial"/>
          <w:lang w:val="en-GB"/>
        </w:rPr>
        <w:t>employment</w:t>
      </w:r>
      <w:r w:rsidR="3448A3E6" w:rsidRPr="6910C863">
        <w:rPr>
          <w:rFonts w:ascii="Arial" w:eastAsia="Arial" w:hAnsi="Arial" w:cs="Arial"/>
          <w:lang w:val="en-GB"/>
        </w:rPr>
        <w:t xml:space="preserve"> period exposed him to</w:t>
      </w:r>
      <w:r w:rsidR="44FF1D1E" w:rsidRPr="6910C863">
        <w:rPr>
          <w:rFonts w:ascii="Arial" w:eastAsia="Arial" w:hAnsi="Arial" w:cs="Arial"/>
          <w:lang w:val="en-GB"/>
        </w:rPr>
        <w:t xml:space="preserve"> asbestos</w:t>
      </w:r>
      <w:r w:rsidR="7BD42C94" w:rsidRPr="6910C863">
        <w:rPr>
          <w:rFonts w:ascii="Arial" w:eastAsia="Arial" w:hAnsi="Arial" w:cs="Arial"/>
          <w:lang w:val="en-GB"/>
        </w:rPr>
        <w:t>. Therefore, both employers materially contributed to</w:t>
      </w:r>
      <w:r w:rsidR="45D11747" w:rsidRPr="6910C863">
        <w:rPr>
          <w:rFonts w:ascii="Arial" w:eastAsia="Arial" w:hAnsi="Arial" w:cs="Arial"/>
          <w:lang w:val="en-GB"/>
        </w:rPr>
        <w:t xml:space="preserve"> the </w:t>
      </w:r>
      <w:r w:rsidR="593DEADC" w:rsidRPr="6910C863">
        <w:rPr>
          <w:rFonts w:ascii="Arial" w:eastAsia="Arial" w:hAnsi="Arial" w:cs="Arial"/>
          <w:lang w:val="en-GB"/>
        </w:rPr>
        <w:t>claimants'</w:t>
      </w:r>
      <w:r w:rsidR="45D11747" w:rsidRPr="6910C863">
        <w:rPr>
          <w:rFonts w:ascii="Arial" w:eastAsia="Arial" w:hAnsi="Arial" w:cs="Arial"/>
          <w:lang w:val="en-GB"/>
        </w:rPr>
        <w:t xml:space="preserve"> </w:t>
      </w:r>
      <w:r w:rsidR="7F5BB595" w:rsidRPr="6910C863">
        <w:rPr>
          <w:rFonts w:ascii="Arial" w:eastAsia="Arial" w:hAnsi="Arial" w:cs="Arial"/>
          <w:lang w:val="en-GB"/>
        </w:rPr>
        <w:t>injuries and were</w:t>
      </w:r>
      <w:r w:rsidR="251E0814" w:rsidRPr="6910C863">
        <w:rPr>
          <w:rFonts w:ascii="Arial" w:eastAsia="Arial" w:hAnsi="Arial" w:cs="Arial"/>
          <w:lang w:val="en-GB"/>
        </w:rPr>
        <w:t xml:space="preserve"> both</w:t>
      </w:r>
      <w:r w:rsidR="7F5BB595" w:rsidRPr="6910C863">
        <w:rPr>
          <w:rFonts w:ascii="Arial" w:eastAsia="Arial" w:hAnsi="Arial" w:cs="Arial"/>
          <w:lang w:val="en-GB"/>
        </w:rPr>
        <w:t xml:space="preserve"> in a breach of their duty, leading to them both being liable. </w:t>
      </w:r>
      <w:r w:rsidR="04C5460D" w:rsidRPr="6910C863">
        <w:rPr>
          <w:rFonts w:ascii="Arial" w:eastAsia="Arial" w:hAnsi="Arial" w:cs="Arial"/>
          <w:lang w:val="en-GB"/>
        </w:rPr>
        <w:t>This case m</w:t>
      </w:r>
      <w:r w:rsidR="19218DA2" w:rsidRPr="6910C863">
        <w:rPr>
          <w:rFonts w:ascii="Arial" w:eastAsia="Arial" w:hAnsi="Arial" w:cs="Arial"/>
          <w:lang w:val="en-GB"/>
        </w:rPr>
        <w:t>a</w:t>
      </w:r>
      <w:r w:rsidR="04C5460D" w:rsidRPr="6910C863">
        <w:rPr>
          <w:rFonts w:ascii="Arial" w:eastAsia="Arial" w:hAnsi="Arial" w:cs="Arial"/>
          <w:lang w:val="en-GB"/>
        </w:rPr>
        <w:t xml:space="preserve">y show limitations in the ‘but for’ test because of the exposure to asbestos not being </w:t>
      </w:r>
      <w:r w:rsidR="52BB9E02" w:rsidRPr="6910C863">
        <w:rPr>
          <w:rFonts w:ascii="Arial" w:eastAsia="Arial" w:hAnsi="Arial" w:cs="Arial"/>
          <w:lang w:val="en-GB"/>
        </w:rPr>
        <w:t>from one primary location</w:t>
      </w:r>
      <w:r w:rsidR="385DAF39" w:rsidRPr="6910C863">
        <w:rPr>
          <w:rFonts w:ascii="Arial" w:eastAsia="Arial" w:hAnsi="Arial" w:cs="Arial"/>
          <w:lang w:val="en-GB"/>
        </w:rPr>
        <w:t>, therefore having to investigate and holding them both liable as they cannot identify who the exposure was from. This may seem unfair</w:t>
      </w:r>
      <w:r w:rsidR="2396223C" w:rsidRPr="6910C863">
        <w:rPr>
          <w:rFonts w:ascii="Arial" w:eastAsia="Arial" w:hAnsi="Arial" w:cs="Arial"/>
          <w:lang w:val="en-GB"/>
        </w:rPr>
        <w:t>,</w:t>
      </w:r>
      <w:r w:rsidR="385DAF39" w:rsidRPr="6910C863">
        <w:rPr>
          <w:rFonts w:ascii="Arial" w:eastAsia="Arial" w:hAnsi="Arial" w:cs="Arial"/>
          <w:lang w:val="en-GB"/>
        </w:rPr>
        <w:t xml:space="preserve"> as one of them may not have done anything wro</w:t>
      </w:r>
      <w:r w:rsidR="1ADF0E8F" w:rsidRPr="6910C863">
        <w:rPr>
          <w:rFonts w:ascii="Arial" w:eastAsia="Arial" w:hAnsi="Arial" w:cs="Arial"/>
          <w:lang w:val="en-GB"/>
        </w:rPr>
        <w:t xml:space="preserve">ng, however is being </w:t>
      </w:r>
      <w:r w:rsidR="29690C27" w:rsidRPr="6910C863">
        <w:rPr>
          <w:rFonts w:ascii="Arial" w:eastAsia="Arial" w:hAnsi="Arial" w:cs="Arial"/>
          <w:lang w:val="en-GB"/>
        </w:rPr>
        <w:t xml:space="preserve">held liable </w:t>
      </w:r>
      <w:r w:rsidR="1ADF0E8F" w:rsidRPr="6910C863">
        <w:rPr>
          <w:rFonts w:ascii="Arial" w:eastAsia="Arial" w:hAnsi="Arial" w:cs="Arial"/>
          <w:lang w:val="en-GB"/>
        </w:rPr>
        <w:t>due to the lack of evidence.</w:t>
      </w:r>
      <w:r w:rsidR="27B6C9D8" w:rsidRPr="6910C863">
        <w:rPr>
          <w:rFonts w:ascii="Arial" w:eastAsia="Arial" w:hAnsi="Arial" w:cs="Arial"/>
          <w:lang w:val="en-GB"/>
        </w:rPr>
        <w:t xml:space="preserve"> Another case of</w:t>
      </w:r>
      <w:r w:rsidR="5DFD60A0" w:rsidRPr="6910C863">
        <w:rPr>
          <w:rFonts w:ascii="Arial" w:eastAsia="Arial" w:hAnsi="Arial" w:cs="Arial"/>
          <w:lang w:val="en-GB"/>
        </w:rPr>
        <w:t xml:space="preserve"> Barnett V </w:t>
      </w:r>
      <w:proofErr w:type="spellStart"/>
      <w:r w:rsidR="5DFD60A0" w:rsidRPr="6910C863">
        <w:rPr>
          <w:rFonts w:ascii="Arial" w:eastAsia="Arial" w:hAnsi="Arial" w:cs="Arial"/>
          <w:lang w:val="en-GB"/>
        </w:rPr>
        <w:t>Chealsea</w:t>
      </w:r>
      <w:proofErr w:type="spellEnd"/>
      <w:r w:rsidR="5DFD60A0" w:rsidRPr="6910C863">
        <w:rPr>
          <w:rFonts w:ascii="Arial" w:eastAsia="Arial" w:hAnsi="Arial" w:cs="Arial"/>
          <w:lang w:val="en-GB"/>
        </w:rPr>
        <w:t xml:space="preserve"> and Kensington Hospital Management Committee</w:t>
      </w:r>
      <w:r w:rsidR="2F1B5009" w:rsidRPr="6910C863">
        <w:rPr>
          <w:rFonts w:ascii="Arial" w:eastAsia="Arial" w:hAnsi="Arial" w:cs="Arial"/>
          <w:lang w:val="en-GB"/>
        </w:rPr>
        <w:t xml:space="preserve"> (1969), </w:t>
      </w:r>
      <w:r w:rsidR="6ACED07E" w:rsidRPr="6910C863">
        <w:rPr>
          <w:rFonts w:ascii="Arial" w:eastAsia="Arial" w:hAnsi="Arial" w:cs="Arial"/>
          <w:lang w:val="en-GB"/>
        </w:rPr>
        <w:t xml:space="preserve">stated by </w:t>
      </w:r>
      <w:proofErr w:type="spellStart"/>
      <w:r w:rsidR="13EAD7C8" w:rsidRPr="6910C863">
        <w:rPr>
          <w:rFonts w:ascii="Arial" w:eastAsia="Arial" w:hAnsi="Arial" w:cs="Arial"/>
          <w:lang w:val="en-GB"/>
        </w:rPr>
        <w:t>Kidner</w:t>
      </w:r>
      <w:proofErr w:type="spellEnd"/>
      <w:r w:rsidR="13EAD7C8" w:rsidRPr="6910C863">
        <w:rPr>
          <w:rFonts w:ascii="Arial" w:eastAsia="Arial" w:hAnsi="Arial" w:cs="Arial"/>
          <w:lang w:val="en-GB"/>
        </w:rPr>
        <w:t xml:space="preserve"> (2008)</w:t>
      </w:r>
      <w:r w:rsidR="34188769" w:rsidRPr="6910C863">
        <w:rPr>
          <w:rFonts w:ascii="Arial" w:eastAsia="Arial" w:hAnsi="Arial" w:cs="Arial"/>
          <w:lang w:val="en-GB"/>
        </w:rPr>
        <w:t xml:space="preserve">, </w:t>
      </w:r>
      <w:r w:rsidR="4FD6A1BB" w:rsidRPr="6910C863">
        <w:rPr>
          <w:rFonts w:ascii="Arial" w:eastAsia="Arial" w:hAnsi="Arial" w:cs="Arial"/>
          <w:lang w:val="en-GB"/>
        </w:rPr>
        <w:t xml:space="preserve">Barnett and </w:t>
      </w:r>
      <w:r w:rsidR="7598586A" w:rsidRPr="6910C863">
        <w:rPr>
          <w:rFonts w:ascii="Arial" w:eastAsia="Arial" w:hAnsi="Arial" w:cs="Arial"/>
          <w:lang w:val="en-GB"/>
        </w:rPr>
        <w:t xml:space="preserve">two </w:t>
      </w:r>
      <w:r w:rsidR="6F387E7F" w:rsidRPr="6910C863">
        <w:rPr>
          <w:rFonts w:ascii="Arial" w:eastAsia="Arial" w:hAnsi="Arial" w:cs="Arial"/>
          <w:lang w:val="en-GB"/>
        </w:rPr>
        <w:t>colleagues</w:t>
      </w:r>
      <w:r w:rsidR="4FD6A1BB" w:rsidRPr="6910C863">
        <w:rPr>
          <w:rFonts w:ascii="Arial" w:eastAsia="Arial" w:hAnsi="Arial" w:cs="Arial"/>
          <w:lang w:val="en-GB"/>
        </w:rPr>
        <w:t xml:space="preserve"> </w:t>
      </w:r>
      <w:r w:rsidR="0D8CE084" w:rsidRPr="6910C863">
        <w:rPr>
          <w:rFonts w:ascii="Arial" w:eastAsia="Arial" w:hAnsi="Arial" w:cs="Arial"/>
          <w:lang w:val="en-GB"/>
        </w:rPr>
        <w:t>shared</w:t>
      </w:r>
      <w:r w:rsidR="4FD6A1BB" w:rsidRPr="6910C863">
        <w:rPr>
          <w:rFonts w:ascii="Arial" w:eastAsia="Arial" w:hAnsi="Arial" w:cs="Arial"/>
          <w:lang w:val="en-GB"/>
        </w:rPr>
        <w:t xml:space="preserve"> tea and 20 minutes later they </w:t>
      </w:r>
      <w:bookmarkStart w:id="1" w:name="_Int_u2TUrqDE"/>
      <w:r w:rsidR="2923AD76" w:rsidRPr="6910C863">
        <w:rPr>
          <w:rFonts w:ascii="Arial" w:eastAsia="Arial" w:hAnsi="Arial" w:cs="Arial"/>
          <w:lang w:val="en-GB"/>
        </w:rPr>
        <w:t>fell</w:t>
      </w:r>
      <w:bookmarkEnd w:id="1"/>
      <w:r w:rsidR="4FD6A1BB" w:rsidRPr="6910C863">
        <w:rPr>
          <w:rFonts w:ascii="Arial" w:eastAsia="Arial" w:hAnsi="Arial" w:cs="Arial"/>
          <w:lang w:val="en-GB"/>
        </w:rPr>
        <w:t xml:space="preserve"> unwell and began throwing up.</w:t>
      </w:r>
      <w:r w:rsidR="2E8C32DC" w:rsidRPr="6910C863">
        <w:rPr>
          <w:rFonts w:ascii="Arial" w:eastAsia="Arial" w:hAnsi="Arial" w:cs="Arial"/>
          <w:lang w:val="en-GB"/>
        </w:rPr>
        <w:t xml:space="preserve"> When seeking medical attention, they were turned away.</w:t>
      </w:r>
      <w:r w:rsidR="6B5E19E7" w:rsidRPr="6910C863">
        <w:rPr>
          <w:rFonts w:ascii="Arial" w:eastAsia="Arial" w:hAnsi="Arial" w:cs="Arial"/>
          <w:lang w:val="en-GB"/>
        </w:rPr>
        <w:t xml:space="preserve"> By 2pm that day, the claimant died. It</w:t>
      </w:r>
      <w:r w:rsidR="65223001" w:rsidRPr="6910C863">
        <w:rPr>
          <w:rFonts w:ascii="Arial" w:eastAsia="Arial" w:hAnsi="Arial" w:cs="Arial"/>
          <w:lang w:val="en-GB"/>
        </w:rPr>
        <w:t xml:space="preserve"> is </w:t>
      </w:r>
      <w:r w:rsidR="6B5E19E7" w:rsidRPr="6910C863">
        <w:rPr>
          <w:rFonts w:ascii="Arial" w:eastAsia="Arial" w:hAnsi="Arial" w:cs="Arial"/>
          <w:lang w:val="en-GB"/>
        </w:rPr>
        <w:t xml:space="preserve">then questioned if ‘but for’ the doctors turning him away would he </w:t>
      </w:r>
      <w:r w:rsidR="75403687" w:rsidRPr="6910C863">
        <w:rPr>
          <w:rFonts w:ascii="Arial" w:eastAsia="Arial" w:hAnsi="Arial" w:cs="Arial"/>
          <w:lang w:val="en-GB"/>
        </w:rPr>
        <w:t>have</w:t>
      </w:r>
      <w:r w:rsidR="6B5E19E7" w:rsidRPr="6910C863">
        <w:rPr>
          <w:rFonts w:ascii="Arial" w:eastAsia="Arial" w:hAnsi="Arial" w:cs="Arial"/>
          <w:lang w:val="en-GB"/>
        </w:rPr>
        <w:t xml:space="preserve"> died?</w:t>
      </w:r>
      <w:r w:rsidR="40F48B9F" w:rsidRPr="6910C863">
        <w:rPr>
          <w:rFonts w:ascii="Arial" w:eastAsia="Arial" w:hAnsi="Arial" w:cs="Arial"/>
          <w:lang w:val="en-GB"/>
        </w:rPr>
        <w:t xml:space="preserve"> However, the hospital was not held liable. This then questions the </w:t>
      </w:r>
      <w:r w:rsidR="5C67562A" w:rsidRPr="6910C863">
        <w:rPr>
          <w:rFonts w:ascii="Arial" w:eastAsia="Arial" w:hAnsi="Arial" w:cs="Arial"/>
          <w:lang w:val="en-GB"/>
        </w:rPr>
        <w:t xml:space="preserve">reliability and effectiveness of the ‘but for’ test as it shows </w:t>
      </w:r>
      <w:r w:rsidR="37943351" w:rsidRPr="6910C863">
        <w:rPr>
          <w:rFonts w:ascii="Arial" w:eastAsia="Arial" w:hAnsi="Arial" w:cs="Arial"/>
          <w:lang w:val="en-GB"/>
        </w:rPr>
        <w:t>a lot</w:t>
      </w:r>
      <w:r w:rsidR="5C67562A" w:rsidRPr="6910C863">
        <w:rPr>
          <w:rFonts w:ascii="Arial" w:eastAsia="Arial" w:hAnsi="Arial" w:cs="Arial"/>
          <w:lang w:val="en-GB"/>
        </w:rPr>
        <w:t xml:space="preserve"> of the </w:t>
      </w:r>
      <w:r w:rsidR="39372B3E" w:rsidRPr="6910C863">
        <w:rPr>
          <w:rFonts w:ascii="Arial" w:eastAsia="Arial" w:hAnsi="Arial" w:cs="Arial"/>
          <w:lang w:val="en-GB"/>
        </w:rPr>
        <w:t>time,</w:t>
      </w:r>
      <w:r w:rsidR="5C67562A" w:rsidRPr="6910C863">
        <w:rPr>
          <w:rFonts w:ascii="Arial" w:eastAsia="Arial" w:hAnsi="Arial" w:cs="Arial"/>
          <w:lang w:val="en-GB"/>
        </w:rPr>
        <w:t xml:space="preserve"> they cannot prove who was negligent due to lack of evidence within the test. This infers that a reform of the ‘but for’ test is needed due to the m</w:t>
      </w:r>
      <w:r w:rsidR="26580DD2" w:rsidRPr="6910C863">
        <w:rPr>
          <w:rFonts w:ascii="Arial" w:eastAsia="Arial" w:hAnsi="Arial" w:cs="Arial"/>
          <w:lang w:val="en-GB"/>
        </w:rPr>
        <w:t xml:space="preserve">any uncertainties it causes. </w:t>
      </w:r>
    </w:p>
    <w:p w14:paraId="714E462E" w14:textId="647E6106" w:rsidR="4B218198" w:rsidRDefault="4B218198" w:rsidP="6910C863">
      <w:pPr>
        <w:rPr>
          <w:rFonts w:ascii="Arial" w:eastAsia="Arial" w:hAnsi="Arial" w:cs="Arial"/>
          <w:lang w:val="en-GB"/>
        </w:rPr>
      </w:pPr>
      <w:r w:rsidRPr="6910C863">
        <w:rPr>
          <w:rFonts w:ascii="Arial" w:eastAsia="Arial" w:hAnsi="Arial" w:cs="Arial"/>
          <w:lang w:val="en-GB"/>
        </w:rPr>
        <w:t xml:space="preserve">However, the ‘but for’ test has proven to be </w:t>
      </w:r>
      <w:bookmarkStart w:id="2" w:name="_Int_rS5oB5XK"/>
      <w:r w:rsidRPr="6910C863">
        <w:rPr>
          <w:rFonts w:ascii="Arial" w:eastAsia="Arial" w:hAnsi="Arial" w:cs="Arial"/>
          <w:lang w:val="en-GB"/>
        </w:rPr>
        <w:t>a simple way</w:t>
      </w:r>
      <w:bookmarkEnd w:id="2"/>
      <w:r w:rsidRPr="6910C863">
        <w:rPr>
          <w:rFonts w:ascii="Arial" w:eastAsia="Arial" w:hAnsi="Arial" w:cs="Arial"/>
          <w:lang w:val="en-GB"/>
        </w:rPr>
        <w:t xml:space="preserve"> of determining </w:t>
      </w:r>
      <w:r w:rsidR="760EF5A8" w:rsidRPr="6910C863">
        <w:rPr>
          <w:rFonts w:ascii="Arial" w:eastAsia="Arial" w:hAnsi="Arial" w:cs="Arial"/>
          <w:lang w:val="en-GB"/>
        </w:rPr>
        <w:t>people's</w:t>
      </w:r>
      <w:r w:rsidRPr="6910C863">
        <w:rPr>
          <w:rFonts w:ascii="Arial" w:eastAsia="Arial" w:hAnsi="Arial" w:cs="Arial"/>
          <w:lang w:val="en-GB"/>
        </w:rPr>
        <w:t xml:space="preserve"> negligent acts. </w:t>
      </w:r>
      <w:r w:rsidR="78CF25AD" w:rsidRPr="6910C863">
        <w:rPr>
          <w:rFonts w:ascii="Arial" w:eastAsia="Arial" w:hAnsi="Arial" w:cs="Arial"/>
          <w:lang w:val="en-GB"/>
        </w:rPr>
        <w:t xml:space="preserve">In the case of </w:t>
      </w:r>
      <w:proofErr w:type="spellStart"/>
      <w:r w:rsidR="78CF25AD" w:rsidRPr="6910C863">
        <w:rPr>
          <w:rFonts w:ascii="Arial" w:eastAsia="Arial" w:hAnsi="Arial" w:cs="Arial"/>
          <w:lang w:val="en-GB"/>
        </w:rPr>
        <w:t>W</w:t>
      </w:r>
      <w:r w:rsidR="00DF14B4">
        <w:rPr>
          <w:rFonts w:ascii="Arial" w:eastAsia="Arial" w:hAnsi="Arial" w:cs="Arial"/>
          <w:lang w:val="en-GB"/>
        </w:rPr>
        <w:t>hi</w:t>
      </w:r>
      <w:r w:rsidR="78CF25AD" w:rsidRPr="6910C863">
        <w:rPr>
          <w:rFonts w:ascii="Arial" w:eastAsia="Arial" w:hAnsi="Arial" w:cs="Arial"/>
          <w:lang w:val="en-GB"/>
        </w:rPr>
        <w:t>lsher</w:t>
      </w:r>
      <w:proofErr w:type="spellEnd"/>
      <w:r w:rsidR="78CF25AD" w:rsidRPr="6910C863">
        <w:rPr>
          <w:rFonts w:ascii="Arial" w:eastAsia="Arial" w:hAnsi="Arial" w:cs="Arial"/>
          <w:lang w:val="en-GB"/>
        </w:rPr>
        <w:t xml:space="preserve"> v Essex Area Health Authority (1988)</w:t>
      </w:r>
      <w:r w:rsidR="2692A440" w:rsidRPr="6910C863">
        <w:rPr>
          <w:rFonts w:ascii="Arial" w:eastAsia="Arial" w:hAnsi="Arial" w:cs="Arial"/>
          <w:lang w:val="en-GB"/>
        </w:rPr>
        <w:t xml:space="preserve"> the claimant was born prematurely and suffered from blindness, it was found that the junior doctor had misplaced a catheter in the </w:t>
      </w:r>
      <w:r w:rsidR="0599AD84" w:rsidRPr="6910C863">
        <w:rPr>
          <w:rFonts w:ascii="Arial" w:eastAsia="Arial" w:hAnsi="Arial" w:cs="Arial"/>
          <w:lang w:val="en-GB"/>
        </w:rPr>
        <w:t>claimant's</w:t>
      </w:r>
      <w:r w:rsidR="2692A440" w:rsidRPr="6910C863">
        <w:rPr>
          <w:rFonts w:ascii="Arial" w:eastAsia="Arial" w:hAnsi="Arial" w:cs="Arial"/>
          <w:lang w:val="en-GB"/>
        </w:rPr>
        <w:t xml:space="preserve"> arm which gave a too low reading </w:t>
      </w:r>
      <w:r w:rsidR="4818C28B" w:rsidRPr="6910C863">
        <w:rPr>
          <w:rFonts w:ascii="Arial" w:eastAsia="Arial" w:hAnsi="Arial" w:cs="Arial"/>
          <w:lang w:val="en-GB"/>
        </w:rPr>
        <w:t xml:space="preserve">of oxygen and therefore the claimant was given too much oxygen. Therefore, it was questioned that ‘but for’ the junior </w:t>
      </w:r>
      <w:r w:rsidR="17AE992C" w:rsidRPr="6910C863">
        <w:rPr>
          <w:rFonts w:ascii="Arial" w:eastAsia="Arial" w:hAnsi="Arial" w:cs="Arial"/>
          <w:lang w:val="en-GB"/>
        </w:rPr>
        <w:t>doctor's</w:t>
      </w:r>
      <w:r w:rsidR="4818C28B" w:rsidRPr="6910C863">
        <w:rPr>
          <w:rFonts w:ascii="Arial" w:eastAsia="Arial" w:hAnsi="Arial" w:cs="Arial"/>
          <w:lang w:val="en-GB"/>
        </w:rPr>
        <w:t xml:space="preserve"> actions would the claimant be </w:t>
      </w:r>
      <w:r w:rsidR="29166F4F" w:rsidRPr="6910C863">
        <w:rPr>
          <w:rFonts w:ascii="Arial" w:eastAsia="Arial" w:hAnsi="Arial" w:cs="Arial"/>
          <w:lang w:val="en-GB"/>
        </w:rPr>
        <w:t>premature and blind. The judge found the defendants liable</w:t>
      </w:r>
      <w:r w:rsidR="09B74381" w:rsidRPr="6910C863">
        <w:rPr>
          <w:rFonts w:ascii="Arial" w:eastAsia="Arial" w:hAnsi="Arial" w:cs="Arial"/>
          <w:lang w:val="en-GB"/>
        </w:rPr>
        <w:t xml:space="preserve">. This is in favour of the ‘but for’ test being a simple and easy answer to cases like </w:t>
      </w:r>
      <w:proofErr w:type="spellStart"/>
      <w:r w:rsidR="09B74381" w:rsidRPr="6910C863">
        <w:rPr>
          <w:rFonts w:ascii="Arial" w:eastAsia="Arial" w:hAnsi="Arial" w:cs="Arial"/>
          <w:lang w:val="en-GB"/>
        </w:rPr>
        <w:t>Whilser</w:t>
      </w:r>
      <w:proofErr w:type="spellEnd"/>
      <w:r w:rsidR="09B74381" w:rsidRPr="6910C863">
        <w:rPr>
          <w:rFonts w:ascii="Arial" w:eastAsia="Arial" w:hAnsi="Arial" w:cs="Arial"/>
          <w:lang w:val="en-GB"/>
        </w:rPr>
        <w:t>,</w:t>
      </w:r>
      <w:r w:rsidR="28C7E6BD" w:rsidRPr="6910C863">
        <w:rPr>
          <w:rFonts w:ascii="Arial" w:eastAsia="Arial" w:hAnsi="Arial" w:cs="Arial"/>
          <w:lang w:val="en-GB"/>
        </w:rPr>
        <w:t xml:space="preserve"> meaning that</w:t>
      </w:r>
      <w:r w:rsidR="09B74381" w:rsidRPr="6910C863">
        <w:rPr>
          <w:rFonts w:ascii="Arial" w:eastAsia="Arial" w:hAnsi="Arial" w:cs="Arial"/>
          <w:lang w:val="en-GB"/>
        </w:rPr>
        <w:t xml:space="preserve"> this will help to avoid psychological strain on the claimants </w:t>
      </w:r>
      <w:r w:rsidR="07F27E13" w:rsidRPr="6910C863">
        <w:rPr>
          <w:rFonts w:ascii="Arial" w:eastAsia="Arial" w:hAnsi="Arial" w:cs="Arial"/>
          <w:lang w:val="en-GB"/>
        </w:rPr>
        <w:t xml:space="preserve">and give a smooth overall process. </w:t>
      </w:r>
    </w:p>
    <w:p w14:paraId="7B4D2624" w14:textId="319D8BB6" w:rsidR="66AFAC14" w:rsidRDefault="66AFAC14" w:rsidP="6910C863">
      <w:pPr>
        <w:rPr>
          <w:rFonts w:ascii="Arial" w:eastAsia="Arial" w:hAnsi="Arial" w:cs="Arial"/>
          <w:lang w:val="en-GB"/>
        </w:rPr>
      </w:pPr>
      <w:r w:rsidRPr="6910C863">
        <w:rPr>
          <w:rFonts w:ascii="Arial" w:eastAsia="Arial" w:hAnsi="Arial" w:cs="Arial"/>
          <w:lang w:val="en-GB"/>
        </w:rPr>
        <w:t xml:space="preserve">Legal causation is </w:t>
      </w:r>
      <w:r w:rsidR="170ADF5A" w:rsidRPr="6910C863">
        <w:rPr>
          <w:rFonts w:ascii="Arial" w:eastAsia="Arial" w:hAnsi="Arial" w:cs="Arial"/>
          <w:lang w:val="en-GB"/>
        </w:rPr>
        <w:t xml:space="preserve">that </w:t>
      </w:r>
      <w:r w:rsidR="04C6F74B" w:rsidRPr="6910C863">
        <w:rPr>
          <w:rFonts w:ascii="Arial" w:eastAsia="Arial" w:hAnsi="Arial" w:cs="Arial"/>
          <w:lang w:val="en-GB"/>
        </w:rPr>
        <w:t>the defendants act</w:t>
      </w:r>
      <w:r w:rsidR="1897D44A" w:rsidRPr="6910C863">
        <w:rPr>
          <w:rFonts w:ascii="Arial" w:eastAsia="Arial" w:hAnsi="Arial" w:cs="Arial"/>
          <w:lang w:val="en-GB"/>
        </w:rPr>
        <w:t>(s)</w:t>
      </w:r>
      <w:r w:rsidR="04C6F74B" w:rsidRPr="6910C863">
        <w:rPr>
          <w:rFonts w:ascii="Arial" w:eastAsia="Arial" w:hAnsi="Arial" w:cs="Arial"/>
          <w:lang w:val="en-GB"/>
        </w:rPr>
        <w:t xml:space="preserve"> must be the substantial cause of the consequence (Law and Martin, 2014) the</w:t>
      </w:r>
      <w:r w:rsidR="329193DE" w:rsidRPr="6910C863">
        <w:rPr>
          <w:rFonts w:ascii="Arial" w:eastAsia="Arial" w:hAnsi="Arial" w:cs="Arial"/>
          <w:lang w:val="en-GB"/>
        </w:rPr>
        <w:t xml:space="preserve"> </w:t>
      </w:r>
      <w:r w:rsidR="04C6F74B" w:rsidRPr="6910C863">
        <w:rPr>
          <w:rFonts w:ascii="Arial" w:eastAsia="Arial" w:hAnsi="Arial" w:cs="Arial"/>
          <w:lang w:val="en-GB"/>
        </w:rPr>
        <w:t>test used for legal causation is the thin skull test. The thin skull test</w:t>
      </w:r>
      <w:r w:rsidR="50FBE03D" w:rsidRPr="6910C863">
        <w:rPr>
          <w:rFonts w:ascii="Arial" w:eastAsia="Arial" w:hAnsi="Arial" w:cs="Arial"/>
          <w:lang w:val="en-GB"/>
        </w:rPr>
        <w:t xml:space="preserve"> is, </w:t>
      </w:r>
      <w:r w:rsidR="1BFA487A" w:rsidRPr="6910C863">
        <w:rPr>
          <w:rFonts w:ascii="Arial" w:eastAsia="Arial" w:hAnsi="Arial" w:cs="Arial"/>
          <w:lang w:val="en-GB"/>
        </w:rPr>
        <w:t xml:space="preserve">at least in personal injury cases, you take your victims as you find them. This means that if the claimant has a "thin skull" and sustains more damage than might be anticipated, the defendant is responsible for the entire loss rather than just the damage that a "normal" person might have expected to sustain. (Horsey and </w:t>
      </w:r>
      <w:proofErr w:type="spellStart"/>
      <w:r w:rsidR="1BFA487A" w:rsidRPr="6910C863">
        <w:rPr>
          <w:rFonts w:ascii="Arial" w:eastAsia="Arial" w:hAnsi="Arial" w:cs="Arial"/>
          <w:lang w:val="en-GB"/>
        </w:rPr>
        <w:t>Rackley</w:t>
      </w:r>
      <w:proofErr w:type="spellEnd"/>
      <w:r w:rsidR="1BFA487A" w:rsidRPr="6910C863">
        <w:rPr>
          <w:rFonts w:ascii="Arial" w:eastAsia="Arial" w:hAnsi="Arial" w:cs="Arial"/>
          <w:lang w:val="en-GB"/>
        </w:rPr>
        <w:t>, 2021 p.223)</w:t>
      </w:r>
      <w:r w:rsidR="4D863CC7" w:rsidRPr="6910C863">
        <w:rPr>
          <w:rFonts w:ascii="Arial" w:eastAsia="Arial" w:hAnsi="Arial" w:cs="Arial"/>
          <w:lang w:val="en-GB"/>
        </w:rPr>
        <w:t>.</w:t>
      </w:r>
      <w:r w:rsidR="522B81C3" w:rsidRPr="6910C863">
        <w:rPr>
          <w:rFonts w:ascii="Arial" w:eastAsia="Arial" w:hAnsi="Arial" w:cs="Arial"/>
          <w:lang w:val="en-GB"/>
        </w:rPr>
        <w:t xml:space="preserve"> Disadvantages to the thin skull test </w:t>
      </w:r>
      <w:r w:rsidR="202B1ADA" w:rsidRPr="6910C863">
        <w:rPr>
          <w:rFonts w:ascii="Arial" w:eastAsia="Arial" w:hAnsi="Arial" w:cs="Arial"/>
          <w:lang w:val="en-GB"/>
        </w:rPr>
        <w:t>are</w:t>
      </w:r>
      <w:r w:rsidR="522B81C3" w:rsidRPr="6910C863">
        <w:rPr>
          <w:rFonts w:ascii="Arial" w:eastAsia="Arial" w:hAnsi="Arial" w:cs="Arial"/>
          <w:lang w:val="en-GB"/>
        </w:rPr>
        <w:t xml:space="preserve"> </w:t>
      </w:r>
      <w:r w:rsidR="38062761" w:rsidRPr="6910C863">
        <w:rPr>
          <w:rFonts w:ascii="Arial" w:eastAsia="Arial" w:hAnsi="Arial" w:cs="Arial"/>
          <w:lang w:val="en-GB"/>
        </w:rPr>
        <w:t>intervening acts. In the case of, Reeves V Commissioner of Police fo</w:t>
      </w:r>
      <w:r w:rsidR="17959320" w:rsidRPr="6910C863">
        <w:rPr>
          <w:rFonts w:ascii="Arial" w:eastAsia="Arial" w:hAnsi="Arial" w:cs="Arial"/>
          <w:lang w:val="en-GB"/>
        </w:rPr>
        <w:t>r the Metropolis (2000) police officers had been warned that the offender might commit suicide</w:t>
      </w:r>
      <w:r w:rsidR="23398FD5" w:rsidRPr="6910C863">
        <w:rPr>
          <w:rFonts w:ascii="Arial" w:eastAsia="Arial" w:hAnsi="Arial" w:cs="Arial"/>
          <w:lang w:val="en-GB"/>
        </w:rPr>
        <w:t xml:space="preserve">, the offender then took it upon himself to take advantage of the flap of his cell door being left open and hung himself. </w:t>
      </w:r>
      <w:r w:rsidR="7524C80F" w:rsidRPr="6910C863">
        <w:rPr>
          <w:rFonts w:ascii="Arial" w:eastAsia="Arial" w:hAnsi="Arial" w:cs="Arial"/>
          <w:lang w:val="en-GB"/>
        </w:rPr>
        <w:t xml:space="preserve">The House of lords held that his death was </w:t>
      </w:r>
      <w:r w:rsidR="666717F1" w:rsidRPr="6910C863">
        <w:rPr>
          <w:rFonts w:ascii="Arial" w:eastAsia="Arial" w:hAnsi="Arial" w:cs="Arial"/>
          <w:lang w:val="en-GB"/>
        </w:rPr>
        <w:t>caused</w:t>
      </w:r>
      <w:r w:rsidR="7524C80F" w:rsidRPr="6910C863">
        <w:rPr>
          <w:rFonts w:ascii="Arial" w:eastAsia="Arial" w:hAnsi="Arial" w:cs="Arial"/>
          <w:lang w:val="en-GB"/>
        </w:rPr>
        <w:t xml:space="preserve"> by the </w:t>
      </w:r>
      <w:r w:rsidR="6EFEF694" w:rsidRPr="6910C863">
        <w:rPr>
          <w:rFonts w:ascii="Arial" w:eastAsia="Arial" w:hAnsi="Arial" w:cs="Arial"/>
          <w:lang w:val="en-GB"/>
        </w:rPr>
        <w:t>officer's</w:t>
      </w:r>
      <w:r w:rsidR="7524C80F" w:rsidRPr="6910C863">
        <w:rPr>
          <w:rFonts w:ascii="Arial" w:eastAsia="Arial" w:hAnsi="Arial" w:cs="Arial"/>
          <w:lang w:val="en-GB"/>
        </w:rPr>
        <w:t xml:space="preserve"> breach to their duty of care </w:t>
      </w:r>
      <w:r w:rsidR="30F56A4E" w:rsidRPr="6910C863">
        <w:rPr>
          <w:rFonts w:ascii="Arial" w:eastAsia="Arial" w:hAnsi="Arial" w:cs="Arial"/>
          <w:lang w:val="en-GB"/>
        </w:rPr>
        <w:t>to protect him.</w:t>
      </w:r>
      <w:r w:rsidR="238EDB24" w:rsidRPr="6910C863">
        <w:rPr>
          <w:rFonts w:ascii="Arial" w:eastAsia="Arial" w:hAnsi="Arial" w:cs="Arial"/>
          <w:lang w:val="en-GB"/>
        </w:rPr>
        <w:t xml:space="preserve"> This </w:t>
      </w:r>
      <w:r w:rsidR="3D93E82F" w:rsidRPr="6910C863">
        <w:rPr>
          <w:rFonts w:ascii="Arial" w:eastAsia="Arial" w:hAnsi="Arial" w:cs="Arial"/>
          <w:lang w:val="en-GB"/>
        </w:rPr>
        <w:t xml:space="preserve">will </w:t>
      </w:r>
      <w:r w:rsidR="238EDB24" w:rsidRPr="6910C863">
        <w:rPr>
          <w:rFonts w:ascii="Arial" w:eastAsia="Arial" w:hAnsi="Arial" w:cs="Arial"/>
          <w:lang w:val="en-GB"/>
        </w:rPr>
        <w:t>deteri</w:t>
      </w:r>
      <w:r w:rsidR="1BCAAA30" w:rsidRPr="6910C863">
        <w:rPr>
          <w:rFonts w:ascii="Arial" w:eastAsia="Arial" w:hAnsi="Arial" w:cs="Arial"/>
          <w:lang w:val="en-GB"/>
        </w:rPr>
        <w:t>orate</w:t>
      </w:r>
      <w:r w:rsidR="238EDB24" w:rsidRPr="6910C863">
        <w:rPr>
          <w:rFonts w:ascii="Arial" w:eastAsia="Arial" w:hAnsi="Arial" w:cs="Arial"/>
          <w:lang w:val="en-GB"/>
        </w:rPr>
        <w:t xml:space="preserve"> the </w:t>
      </w:r>
      <w:r w:rsidR="2D4AEF8F" w:rsidRPr="6910C863">
        <w:rPr>
          <w:rFonts w:ascii="Arial" w:eastAsia="Arial" w:hAnsi="Arial" w:cs="Arial"/>
          <w:lang w:val="en-GB"/>
        </w:rPr>
        <w:t>accuracy</w:t>
      </w:r>
      <w:r w:rsidR="238EDB24" w:rsidRPr="6910C863">
        <w:rPr>
          <w:rFonts w:ascii="Arial" w:eastAsia="Arial" w:hAnsi="Arial" w:cs="Arial"/>
          <w:lang w:val="en-GB"/>
        </w:rPr>
        <w:t xml:space="preserve"> and </w:t>
      </w:r>
      <w:r w:rsidR="684BD964" w:rsidRPr="6910C863">
        <w:rPr>
          <w:rFonts w:ascii="Arial" w:eastAsia="Arial" w:hAnsi="Arial" w:cs="Arial"/>
          <w:lang w:val="en-GB"/>
        </w:rPr>
        <w:t xml:space="preserve">validity of the test as it may be uncertain to how or if these intervening acts </w:t>
      </w:r>
      <w:r w:rsidR="7D313FFC" w:rsidRPr="6910C863">
        <w:rPr>
          <w:rFonts w:ascii="Arial" w:eastAsia="Arial" w:hAnsi="Arial" w:cs="Arial"/>
          <w:lang w:val="en-GB"/>
        </w:rPr>
        <w:t>change</w:t>
      </w:r>
      <w:r w:rsidR="6E85DE60" w:rsidRPr="6910C863">
        <w:rPr>
          <w:rFonts w:ascii="Arial" w:eastAsia="Arial" w:hAnsi="Arial" w:cs="Arial"/>
          <w:lang w:val="en-GB"/>
        </w:rPr>
        <w:t>d</w:t>
      </w:r>
      <w:r w:rsidR="7D313FFC" w:rsidRPr="6910C863">
        <w:rPr>
          <w:rFonts w:ascii="Arial" w:eastAsia="Arial" w:hAnsi="Arial" w:cs="Arial"/>
          <w:lang w:val="en-GB"/>
        </w:rPr>
        <w:t xml:space="preserve"> the outcome or if it w</w:t>
      </w:r>
      <w:r w:rsidR="5EFCC1F1" w:rsidRPr="6910C863">
        <w:rPr>
          <w:rFonts w:ascii="Arial" w:eastAsia="Arial" w:hAnsi="Arial" w:cs="Arial"/>
          <w:lang w:val="en-GB"/>
        </w:rPr>
        <w:t>ere</w:t>
      </w:r>
      <w:r w:rsidR="7D313FFC" w:rsidRPr="6910C863">
        <w:rPr>
          <w:rFonts w:ascii="Arial" w:eastAsia="Arial" w:hAnsi="Arial" w:cs="Arial"/>
          <w:lang w:val="en-GB"/>
        </w:rPr>
        <w:t xml:space="preserve"> to happen anyway. Another disadvantage to the thin skull test is intervening events</w:t>
      </w:r>
      <w:r w:rsidR="2C9DAC3C" w:rsidRPr="6910C863">
        <w:rPr>
          <w:rFonts w:ascii="Arial" w:eastAsia="Arial" w:hAnsi="Arial" w:cs="Arial"/>
          <w:lang w:val="en-GB"/>
        </w:rPr>
        <w:t xml:space="preserve">, </w:t>
      </w:r>
      <w:r w:rsidR="42F50768" w:rsidRPr="6910C863">
        <w:rPr>
          <w:rFonts w:ascii="Arial" w:eastAsia="Arial" w:hAnsi="Arial" w:cs="Arial"/>
          <w:lang w:val="en-GB"/>
        </w:rPr>
        <w:t>intervening</w:t>
      </w:r>
      <w:r w:rsidR="2C9DAC3C" w:rsidRPr="6910C863">
        <w:rPr>
          <w:rFonts w:ascii="Arial" w:eastAsia="Arial" w:hAnsi="Arial" w:cs="Arial"/>
          <w:lang w:val="en-GB"/>
        </w:rPr>
        <w:t xml:space="preserve"> events are after the breach of </w:t>
      </w:r>
      <w:r w:rsidR="6AF8FBEC" w:rsidRPr="6910C863">
        <w:rPr>
          <w:rFonts w:ascii="Arial" w:eastAsia="Arial" w:hAnsi="Arial" w:cs="Arial"/>
          <w:lang w:val="en-GB"/>
        </w:rPr>
        <w:t>duty</w:t>
      </w:r>
      <w:r w:rsidR="2C9DAC3C" w:rsidRPr="6910C863">
        <w:rPr>
          <w:rFonts w:ascii="Arial" w:eastAsia="Arial" w:hAnsi="Arial" w:cs="Arial"/>
          <w:lang w:val="en-GB"/>
        </w:rPr>
        <w:t xml:space="preserve"> has </w:t>
      </w:r>
      <w:r w:rsidR="37413DF4" w:rsidRPr="6910C863">
        <w:rPr>
          <w:rFonts w:ascii="Arial" w:eastAsia="Arial" w:hAnsi="Arial" w:cs="Arial"/>
          <w:lang w:val="en-GB"/>
        </w:rPr>
        <w:t>occurred</w:t>
      </w:r>
      <w:r w:rsidR="2C9DAC3C" w:rsidRPr="6910C863">
        <w:rPr>
          <w:rFonts w:ascii="Arial" w:eastAsia="Arial" w:hAnsi="Arial" w:cs="Arial"/>
          <w:lang w:val="en-GB"/>
        </w:rPr>
        <w:t xml:space="preserve">, an event happens which breaks the chain of causation and makes the </w:t>
      </w:r>
      <w:r w:rsidR="106591A6" w:rsidRPr="6910C863">
        <w:rPr>
          <w:rFonts w:ascii="Arial" w:eastAsia="Arial" w:hAnsi="Arial" w:cs="Arial"/>
          <w:lang w:val="en-GB"/>
        </w:rPr>
        <w:t>damage worse</w:t>
      </w:r>
      <w:r w:rsidR="55056D6C" w:rsidRPr="6910C863">
        <w:rPr>
          <w:rFonts w:ascii="Arial" w:eastAsia="Arial" w:hAnsi="Arial" w:cs="Arial"/>
          <w:lang w:val="en-GB"/>
        </w:rPr>
        <w:t xml:space="preserve">. However, the original tort is still the cause of the damage and defendant will </w:t>
      </w:r>
      <w:r w:rsidR="6527C68F" w:rsidRPr="6910C863">
        <w:rPr>
          <w:rFonts w:ascii="Arial" w:eastAsia="Arial" w:hAnsi="Arial" w:cs="Arial"/>
          <w:lang w:val="en-GB"/>
        </w:rPr>
        <w:t>remain</w:t>
      </w:r>
      <w:r w:rsidR="55056D6C" w:rsidRPr="6910C863">
        <w:rPr>
          <w:rFonts w:ascii="Arial" w:eastAsia="Arial" w:hAnsi="Arial" w:cs="Arial"/>
          <w:lang w:val="en-GB"/>
        </w:rPr>
        <w:t xml:space="preserve"> </w:t>
      </w:r>
      <w:r w:rsidR="7D4F070A" w:rsidRPr="6910C863">
        <w:rPr>
          <w:rFonts w:ascii="Arial" w:eastAsia="Arial" w:hAnsi="Arial" w:cs="Arial"/>
          <w:lang w:val="en-GB"/>
        </w:rPr>
        <w:t>liable (Quinn, 2019)</w:t>
      </w:r>
      <w:r w:rsidR="55056D6C" w:rsidRPr="6910C863">
        <w:rPr>
          <w:rFonts w:ascii="Arial" w:eastAsia="Arial" w:hAnsi="Arial" w:cs="Arial"/>
          <w:lang w:val="en-GB"/>
        </w:rPr>
        <w:t xml:space="preserve">. </w:t>
      </w:r>
      <w:r w:rsidR="143E36E8" w:rsidRPr="6910C863">
        <w:rPr>
          <w:rFonts w:ascii="Arial" w:eastAsia="Arial" w:hAnsi="Arial" w:cs="Arial"/>
          <w:lang w:val="en-GB"/>
        </w:rPr>
        <w:t>In the case of Baker V Willoughby (1969)</w:t>
      </w:r>
      <w:r w:rsidR="3CD9F37F" w:rsidRPr="6910C863">
        <w:rPr>
          <w:rFonts w:ascii="Arial" w:eastAsia="Arial" w:hAnsi="Arial" w:cs="Arial"/>
          <w:lang w:val="en-GB"/>
        </w:rPr>
        <w:t xml:space="preserve"> d</w:t>
      </w:r>
      <w:r w:rsidR="3CD9F37F" w:rsidRPr="6910C863">
        <w:rPr>
          <w:rFonts w:ascii="Arial" w:eastAsia="Arial" w:hAnsi="Arial" w:cs="Arial"/>
          <w:color w:val="000000" w:themeColor="text1"/>
          <w:lang w:val="en-GB"/>
        </w:rPr>
        <w:t xml:space="preserve">ue to the defendant's negligence, the claimant suffered injuries to his left leg in a traffic collision. Following the incident, an armed robber shot him in the left leg, resulting in the amputation of that leg. The robber could not be sued for the incident because he was not found. The defendant contended that his liability only arose </w:t>
      </w:r>
      <w:bookmarkStart w:id="3" w:name="_Int_omqEl0uu"/>
      <w:r w:rsidR="3CD9F37F" w:rsidRPr="6910C863">
        <w:rPr>
          <w:rFonts w:ascii="Arial" w:eastAsia="Arial" w:hAnsi="Arial" w:cs="Arial"/>
          <w:color w:val="000000" w:themeColor="text1"/>
          <w:lang w:val="en-GB"/>
        </w:rPr>
        <w:t>at the moment</w:t>
      </w:r>
      <w:bookmarkEnd w:id="3"/>
      <w:r w:rsidR="3CD9F37F" w:rsidRPr="6910C863">
        <w:rPr>
          <w:rFonts w:ascii="Arial" w:eastAsia="Arial" w:hAnsi="Arial" w:cs="Arial"/>
          <w:color w:val="000000" w:themeColor="text1"/>
          <w:lang w:val="en-GB"/>
        </w:rPr>
        <w:t xml:space="preserve"> of the armed </w:t>
      </w:r>
      <w:r w:rsidR="4CE9875D" w:rsidRPr="6910C863">
        <w:rPr>
          <w:rFonts w:ascii="Arial" w:eastAsia="Arial" w:hAnsi="Arial" w:cs="Arial"/>
          <w:color w:val="000000" w:themeColor="text1"/>
          <w:lang w:val="en-GB"/>
        </w:rPr>
        <w:t>robbery when</w:t>
      </w:r>
      <w:r w:rsidR="3CD9F37F" w:rsidRPr="6910C863">
        <w:rPr>
          <w:rFonts w:ascii="Arial" w:eastAsia="Arial" w:hAnsi="Arial" w:cs="Arial"/>
          <w:color w:val="000000" w:themeColor="text1"/>
          <w:lang w:val="en-GB"/>
        </w:rPr>
        <w:t xml:space="preserve"> the thieves' firing outweighed the consequences of his carelessness. </w:t>
      </w:r>
      <w:r w:rsidR="0E3E01D6" w:rsidRPr="6910C863">
        <w:rPr>
          <w:rFonts w:ascii="Arial" w:eastAsia="Arial" w:hAnsi="Arial" w:cs="Arial"/>
          <w:lang w:val="en-GB"/>
        </w:rPr>
        <w:t>The situation becomes increasingly complex when we consider the potential influence of an intervening event, which complicates the analysis of causation. This could suggest that there is a need for an additional test or framework that can be applied in circumstances where the traditional but-for test and the thin skull rule are insufficient. Both established causation tests, while crucial in many cases, may not adequately account for scenarios where an intervening event plays a significant role in breaking the chain of causation, thereby raising questions about their continued applicability or effectiveness in certain contexts.</w:t>
      </w:r>
      <w:r w:rsidR="363FA8D3" w:rsidRPr="6910C863">
        <w:rPr>
          <w:rFonts w:ascii="Arial" w:eastAsia="Arial" w:hAnsi="Arial" w:cs="Arial"/>
          <w:lang w:val="en-GB"/>
        </w:rPr>
        <w:t xml:space="preserve"> Lastly, in the case of Home Office V Dorset Yacht Co Ltd, a n</w:t>
      </w:r>
      <w:r w:rsidR="009866B3" w:rsidRPr="6910C863">
        <w:rPr>
          <w:rFonts w:ascii="Arial" w:eastAsia="Arial" w:hAnsi="Arial" w:cs="Arial"/>
          <w:lang w:val="en-GB"/>
        </w:rPr>
        <w:t xml:space="preserve">ew intervening act occurred when police officers fell to </w:t>
      </w:r>
      <w:r w:rsidR="062E5C36" w:rsidRPr="6910C863">
        <w:rPr>
          <w:rFonts w:ascii="Arial" w:eastAsia="Arial" w:hAnsi="Arial" w:cs="Arial"/>
          <w:lang w:val="en-GB"/>
        </w:rPr>
        <w:t>sleep, while</w:t>
      </w:r>
      <w:r w:rsidR="3BAA3D4F" w:rsidRPr="6910C863">
        <w:rPr>
          <w:rFonts w:ascii="Arial" w:eastAsia="Arial" w:hAnsi="Arial" w:cs="Arial"/>
          <w:lang w:val="en-GB"/>
        </w:rPr>
        <w:t xml:space="preserve"> </w:t>
      </w:r>
      <w:r w:rsidR="009866B3" w:rsidRPr="6910C863">
        <w:rPr>
          <w:rFonts w:ascii="Arial" w:eastAsia="Arial" w:hAnsi="Arial" w:cs="Arial"/>
          <w:lang w:val="en-GB"/>
        </w:rPr>
        <w:t xml:space="preserve">borstal trainees, who worked under custody </w:t>
      </w:r>
      <w:r w:rsidR="0206C2B5" w:rsidRPr="6910C863">
        <w:rPr>
          <w:rFonts w:ascii="Arial" w:eastAsia="Arial" w:hAnsi="Arial" w:cs="Arial"/>
          <w:lang w:val="en-GB"/>
        </w:rPr>
        <w:t>of the officers, escaped leading to them accessing a yacht and crashing it into the respondent's yacht.</w:t>
      </w:r>
      <w:r w:rsidR="39B3BDF2" w:rsidRPr="6910C863">
        <w:rPr>
          <w:rFonts w:ascii="Arial" w:eastAsia="Arial" w:hAnsi="Arial" w:cs="Arial"/>
          <w:lang w:val="en-GB"/>
        </w:rPr>
        <w:t xml:space="preserve"> Because of this new intervening act of the police officers falling asleep it was found that they were liable, as they owed a duty of care to the respondents and failed to </w:t>
      </w:r>
      <w:r w:rsidR="2BB722D5" w:rsidRPr="6910C863">
        <w:rPr>
          <w:rFonts w:ascii="Arial" w:eastAsia="Arial" w:hAnsi="Arial" w:cs="Arial"/>
          <w:lang w:val="en-GB"/>
        </w:rPr>
        <w:t>exercise</w:t>
      </w:r>
      <w:r w:rsidR="39B3BDF2" w:rsidRPr="6910C863">
        <w:rPr>
          <w:rFonts w:ascii="Arial" w:eastAsia="Arial" w:hAnsi="Arial" w:cs="Arial"/>
          <w:lang w:val="en-GB"/>
        </w:rPr>
        <w:t xml:space="preserve"> </w:t>
      </w:r>
      <w:r w:rsidR="7D466518" w:rsidRPr="6910C863">
        <w:rPr>
          <w:rFonts w:ascii="Arial" w:eastAsia="Arial" w:hAnsi="Arial" w:cs="Arial"/>
          <w:lang w:val="en-GB"/>
        </w:rPr>
        <w:t>proper control and supervision</w:t>
      </w:r>
      <w:r w:rsidR="0CDAE874" w:rsidRPr="6910C863">
        <w:rPr>
          <w:rFonts w:ascii="Arial" w:eastAsia="Arial" w:hAnsi="Arial" w:cs="Arial"/>
          <w:lang w:val="en-GB"/>
        </w:rPr>
        <w:t xml:space="preserve">. This shows that a new intervening act can affect the thin skull test due to </w:t>
      </w:r>
      <w:r w:rsidR="48F8CE35" w:rsidRPr="6910C863">
        <w:rPr>
          <w:rFonts w:ascii="Arial" w:eastAsia="Arial" w:hAnsi="Arial" w:cs="Arial"/>
          <w:lang w:val="en-GB"/>
        </w:rPr>
        <w:t xml:space="preserve">it breaking the chain of causation, and complicating the </w:t>
      </w:r>
      <w:r w:rsidR="38576ABD" w:rsidRPr="6910C863">
        <w:rPr>
          <w:rFonts w:ascii="Arial" w:eastAsia="Arial" w:hAnsi="Arial" w:cs="Arial"/>
          <w:lang w:val="en-GB"/>
        </w:rPr>
        <w:t>foreseeability</w:t>
      </w:r>
      <w:r w:rsidR="48F8CE35" w:rsidRPr="6910C863">
        <w:rPr>
          <w:rFonts w:ascii="Arial" w:eastAsia="Arial" w:hAnsi="Arial" w:cs="Arial"/>
          <w:lang w:val="en-GB"/>
        </w:rPr>
        <w:t xml:space="preserve"> and </w:t>
      </w:r>
      <w:r w:rsidR="5CFBDF9A" w:rsidRPr="6910C863">
        <w:rPr>
          <w:rFonts w:ascii="Arial" w:eastAsia="Arial" w:hAnsi="Arial" w:cs="Arial"/>
          <w:lang w:val="en-GB"/>
        </w:rPr>
        <w:t>proximity</w:t>
      </w:r>
      <w:r w:rsidR="48F8CE35" w:rsidRPr="6910C863">
        <w:rPr>
          <w:rFonts w:ascii="Arial" w:eastAsia="Arial" w:hAnsi="Arial" w:cs="Arial"/>
          <w:lang w:val="en-GB"/>
        </w:rPr>
        <w:t xml:space="preserve"> of the events as the </w:t>
      </w:r>
      <w:r w:rsidR="322C9749" w:rsidRPr="6910C863">
        <w:rPr>
          <w:rFonts w:ascii="Arial" w:eastAsia="Arial" w:hAnsi="Arial" w:cs="Arial"/>
          <w:lang w:val="en-GB"/>
        </w:rPr>
        <w:t>police</w:t>
      </w:r>
      <w:r w:rsidR="48F8CE35" w:rsidRPr="6910C863">
        <w:rPr>
          <w:rFonts w:ascii="Arial" w:eastAsia="Arial" w:hAnsi="Arial" w:cs="Arial"/>
          <w:lang w:val="en-GB"/>
        </w:rPr>
        <w:t xml:space="preserve"> officers were held liable however were not in </w:t>
      </w:r>
      <w:r w:rsidR="584C3DC8" w:rsidRPr="6910C863">
        <w:rPr>
          <w:rFonts w:ascii="Arial" w:eastAsia="Arial" w:hAnsi="Arial" w:cs="Arial"/>
          <w:lang w:val="en-GB"/>
        </w:rPr>
        <w:t>proximity to the legal act, therefore this questions if the police officers should be held liable due to them not performing the</w:t>
      </w:r>
      <w:r w:rsidR="1456D5CD" w:rsidRPr="6910C863">
        <w:rPr>
          <w:rFonts w:ascii="Arial" w:eastAsia="Arial" w:hAnsi="Arial" w:cs="Arial"/>
          <w:lang w:val="en-GB"/>
        </w:rPr>
        <w:t xml:space="preserve"> legal act. This also might raise questions about whether the defendant's actions were sufficiently connected to the final harm</w:t>
      </w:r>
      <w:r w:rsidR="36F182A7" w:rsidRPr="6910C863">
        <w:rPr>
          <w:rFonts w:ascii="Arial" w:eastAsia="Arial" w:hAnsi="Arial" w:cs="Arial"/>
          <w:lang w:val="en-GB"/>
        </w:rPr>
        <w:t xml:space="preserve">, this is a key attribute to why the thin skull test </w:t>
      </w:r>
      <w:r w:rsidR="2F303E52" w:rsidRPr="6910C863">
        <w:rPr>
          <w:rFonts w:ascii="Arial" w:eastAsia="Arial" w:hAnsi="Arial" w:cs="Arial"/>
          <w:lang w:val="en-GB"/>
        </w:rPr>
        <w:t xml:space="preserve">could </w:t>
      </w:r>
      <w:r w:rsidR="6596AAFF" w:rsidRPr="6910C863">
        <w:rPr>
          <w:rFonts w:ascii="Arial" w:eastAsia="Arial" w:hAnsi="Arial" w:cs="Arial"/>
          <w:lang w:val="en-GB"/>
        </w:rPr>
        <w:t xml:space="preserve">need </w:t>
      </w:r>
      <w:r w:rsidR="36F182A7" w:rsidRPr="6910C863">
        <w:rPr>
          <w:rFonts w:ascii="Arial" w:eastAsia="Arial" w:hAnsi="Arial" w:cs="Arial"/>
          <w:lang w:val="en-GB"/>
        </w:rPr>
        <w:t xml:space="preserve">reforming due to its lack of reassurance and </w:t>
      </w:r>
      <w:r w:rsidR="401D6F47" w:rsidRPr="6910C863">
        <w:rPr>
          <w:rFonts w:ascii="Arial" w:eastAsia="Arial" w:hAnsi="Arial" w:cs="Arial"/>
          <w:lang w:val="en-GB"/>
        </w:rPr>
        <w:t xml:space="preserve">confusion it causes within </w:t>
      </w:r>
      <w:r w:rsidR="357AB03E" w:rsidRPr="6910C863">
        <w:rPr>
          <w:rFonts w:ascii="Arial" w:eastAsia="Arial" w:hAnsi="Arial" w:cs="Arial"/>
          <w:lang w:val="en-GB"/>
        </w:rPr>
        <w:t>legislation.</w:t>
      </w:r>
    </w:p>
    <w:p w14:paraId="7D410E57" w14:textId="2AF0CBFB" w:rsidR="66AFAC14" w:rsidRDefault="0E3E01D6" w:rsidP="6910C863">
      <w:pPr>
        <w:rPr>
          <w:rFonts w:ascii="Arial" w:eastAsia="Arial" w:hAnsi="Arial" w:cs="Arial"/>
          <w:lang w:val="en-GB"/>
        </w:rPr>
      </w:pPr>
      <w:r w:rsidRPr="6910C863">
        <w:rPr>
          <w:rFonts w:ascii="Arial" w:eastAsia="Arial" w:hAnsi="Arial" w:cs="Arial"/>
          <w:lang w:val="en-GB"/>
        </w:rPr>
        <w:t>However, an</w:t>
      </w:r>
      <w:r w:rsidR="0C9C6353" w:rsidRPr="6910C863">
        <w:rPr>
          <w:rFonts w:ascii="Arial" w:eastAsia="Arial" w:hAnsi="Arial" w:cs="Arial"/>
          <w:lang w:val="en-GB"/>
        </w:rPr>
        <w:t xml:space="preserve"> advantage</w:t>
      </w:r>
      <w:r w:rsidRPr="6910C863">
        <w:rPr>
          <w:rFonts w:ascii="Arial" w:eastAsia="Arial" w:hAnsi="Arial" w:cs="Arial"/>
          <w:lang w:val="en-GB"/>
        </w:rPr>
        <w:t xml:space="preserve"> o</w:t>
      </w:r>
      <w:r w:rsidR="12A69152" w:rsidRPr="6910C863">
        <w:rPr>
          <w:rFonts w:ascii="Arial" w:eastAsia="Arial" w:hAnsi="Arial" w:cs="Arial"/>
          <w:lang w:val="en-GB"/>
        </w:rPr>
        <w:t>f the thin skull test is that it</w:t>
      </w:r>
      <w:r w:rsidR="70939B4E" w:rsidRPr="6910C863">
        <w:rPr>
          <w:rFonts w:ascii="Arial" w:eastAsia="Arial" w:hAnsi="Arial" w:cs="Arial"/>
          <w:lang w:val="en-GB"/>
        </w:rPr>
        <w:t xml:space="preserve"> i</w:t>
      </w:r>
      <w:r w:rsidR="12A69152" w:rsidRPr="6910C863">
        <w:rPr>
          <w:rFonts w:ascii="Arial" w:eastAsia="Arial" w:hAnsi="Arial" w:cs="Arial"/>
          <w:lang w:val="en-GB"/>
        </w:rPr>
        <w:t>s a simple test to apply,</w:t>
      </w:r>
      <w:r w:rsidR="3B8267E2" w:rsidRPr="6910C863">
        <w:rPr>
          <w:rFonts w:ascii="Arial" w:eastAsia="Arial" w:hAnsi="Arial" w:cs="Arial"/>
          <w:lang w:val="en-GB"/>
        </w:rPr>
        <w:t xml:space="preserve"> in the case of </w:t>
      </w:r>
      <w:r w:rsidR="020794CA" w:rsidRPr="6910C863">
        <w:rPr>
          <w:rFonts w:ascii="Arial" w:eastAsia="Arial" w:hAnsi="Arial" w:cs="Arial"/>
          <w:lang w:val="en-GB"/>
        </w:rPr>
        <w:t>Robinson V Post Office (1974)</w:t>
      </w:r>
      <w:r w:rsidR="40CBFE18" w:rsidRPr="6910C863">
        <w:rPr>
          <w:rFonts w:ascii="Arial" w:eastAsia="Arial" w:hAnsi="Arial" w:cs="Arial"/>
          <w:lang w:val="en-GB"/>
        </w:rPr>
        <w:t xml:space="preserve"> the </w:t>
      </w:r>
      <w:r w:rsidR="753C1C36" w:rsidRPr="6910C863">
        <w:rPr>
          <w:rFonts w:ascii="Arial" w:eastAsia="Arial" w:hAnsi="Arial" w:cs="Arial"/>
          <w:lang w:val="en-GB"/>
        </w:rPr>
        <w:t>plaintiff</w:t>
      </w:r>
      <w:r w:rsidR="40CBFE18" w:rsidRPr="6910C863">
        <w:rPr>
          <w:rFonts w:ascii="Arial" w:eastAsia="Arial" w:hAnsi="Arial" w:cs="Arial"/>
          <w:lang w:val="en-GB"/>
        </w:rPr>
        <w:t xml:space="preserve"> slipped</w:t>
      </w:r>
      <w:r w:rsidR="26A07D29" w:rsidRPr="6910C863">
        <w:rPr>
          <w:rFonts w:ascii="Arial" w:eastAsia="Arial" w:hAnsi="Arial" w:cs="Arial"/>
          <w:lang w:val="en-GB"/>
        </w:rPr>
        <w:t xml:space="preserve"> from a ladder and was given an anti – tetanus serum injection by his doctor. </w:t>
      </w:r>
      <w:r w:rsidR="131E7766" w:rsidRPr="6910C863">
        <w:rPr>
          <w:rFonts w:ascii="Arial" w:eastAsia="Arial" w:hAnsi="Arial" w:cs="Arial"/>
          <w:lang w:val="en-GB"/>
        </w:rPr>
        <w:t>However,</w:t>
      </w:r>
      <w:r w:rsidR="1AB7BFC5" w:rsidRPr="6910C863">
        <w:rPr>
          <w:rFonts w:ascii="Arial" w:eastAsia="Arial" w:hAnsi="Arial" w:cs="Arial"/>
          <w:lang w:val="en-GB"/>
        </w:rPr>
        <w:t xml:space="preserve"> the doctor did not follow the procedure properly. The procedure </w:t>
      </w:r>
      <w:r w:rsidR="0A2EDB72" w:rsidRPr="6910C863">
        <w:rPr>
          <w:rFonts w:ascii="Arial" w:eastAsia="Arial" w:hAnsi="Arial" w:cs="Arial"/>
          <w:lang w:val="en-GB"/>
        </w:rPr>
        <w:t>is supposed to be</w:t>
      </w:r>
      <w:r w:rsidR="1AB7BFC5" w:rsidRPr="6910C863">
        <w:rPr>
          <w:rFonts w:ascii="Arial" w:eastAsia="Arial" w:hAnsi="Arial" w:cs="Arial"/>
          <w:lang w:val="en-GB"/>
        </w:rPr>
        <w:t xml:space="preserve"> </w:t>
      </w:r>
      <w:r w:rsidR="467757FA" w:rsidRPr="6910C863">
        <w:rPr>
          <w:rFonts w:ascii="Arial" w:eastAsia="Arial" w:hAnsi="Arial" w:cs="Arial"/>
          <w:lang w:val="en-GB"/>
        </w:rPr>
        <w:t>performed</w:t>
      </w:r>
      <w:r w:rsidR="1AB7BFC5" w:rsidRPr="6910C863">
        <w:rPr>
          <w:rFonts w:ascii="Arial" w:eastAsia="Arial" w:hAnsi="Arial" w:cs="Arial"/>
          <w:lang w:val="en-GB"/>
        </w:rPr>
        <w:t xml:space="preserve"> by </w:t>
      </w:r>
      <w:r w:rsidR="22717C40" w:rsidRPr="6910C863">
        <w:rPr>
          <w:rFonts w:ascii="Arial" w:eastAsia="Arial" w:hAnsi="Arial" w:cs="Arial"/>
          <w:lang w:val="en-GB"/>
        </w:rPr>
        <w:t>giving</w:t>
      </w:r>
      <w:r w:rsidR="1AB7BFC5" w:rsidRPr="6910C863">
        <w:rPr>
          <w:rFonts w:ascii="Arial" w:eastAsia="Arial" w:hAnsi="Arial" w:cs="Arial"/>
          <w:lang w:val="en-GB"/>
        </w:rPr>
        <w:t xml:space="preserve"> a small quantity of the injection and waiting 30 mins to </w:t>
      </w:r>
      <w:r w:rsidR="060C17B2" w:rsidRPr="6910C863">
        <w:rPr>
          <w:rFonts w:ascii="Arial" w:eastAsia="Arial" w:hAnsi="Arial" w:cs="Arial"/>
          <w:lang w:val="en-GB"/>
        </w:rPr>
        <w:t xml:space="preserve">see if the </w:t>
      </w:r>
      <w:r w:rsidR="18661B69" w:rsidRPr="6910C863">
        <w:rPr>
          <w:rFonts w:ascii="Arial" w:eastAsia="Arial" w:hAnsi="Arial" w:cs="Arial"/>
          <w:lang w:val="en-GB"/>
        </w:rPr>
        <w:t>plaintiff</w:t>
      </w:r>
      <w:r w:rsidR="060C17B2" w:rsidRPr="6910C863">
        <w:rPr>
          <w:rFonts w:ascii="Arial" w:eastAsia="Arial" w:hAnsi="Arial" w:cs="Arial"/>
          <w:lang w:val="en-GB"/>
        </w:rPr>
        <w:t xml:space="preserve"> endured any reaction. However</w:t>
      </w:r>
      <w:r w:rsidR="3A90CA89" w:rsidRPr="6910C863">
        <w:rPr>
          <w:rFonts w:ascii="Arial" w:eastAsia="Arial" w:hAnsi="Arial" w:cs="Arial"/>
          <w:lang w:val="en-GB"/>
        </w:rPr>
        <w:t xml:space="preserve">, the doctor only waited one minute and continued to inject the rest of the serum. </w:t>
      </w:r>
      <w:r w:rsidR="6BF79C37" w:rsidRPr="6910C863">
        <w:rPr>
          <w:rFonts w:ascii="Arial" w:eastAsia="Arial" w:hAnsi="Arial" w:cs="Arial"/>
          <w:lang w:val="en-GB"/>
        </w:rPr>
        <w:t xml:space="preserve">The </w:t>
      </w:r>
      <w:r w:rsidR="08378F51" w:rsidRPr="6910C863">
        <w:rPr>
          <w:rFonts w:ascii="Arial" w:eastAsia="Arial" w:hAnsi="Arial" w:cs="Arial"/>
          <w:lang w:val="en-GB"/>
        </w:rPr>
        <w:t>plaintiff</w:t>
      </w:r>
      <w:r w:rsidR="6BF79C37" w:rsidRPr="6910C863">
        <w:rPr>
          <w:rFonts w:ascii="Arial" w:eastAsia="Arial" w:hAnsi="Arial" w:cs="Arial"/>
          <w:lang w:val="en-GB"/>
        </w:rPr>
        <w:t xml:space="preserve"> did not immediately suffer any reaction however was taken to hospital as he was suffering from encephalitis, </w:t>
      </w:r>
      <w:r w:rsidR="60473485" w:rsidRPr="6910C863">
        <w:rPr>
          <w:rFonts w:ascii="Arial" w:eastAsia="Arial" w:hAnsi="Arial" w:cs="Arial"/>
          <w:lang w:val="en-GB"/>
        </w:rPr>
        <w:t>it was ruled that the doctor did not cause or materially contribute to the inj</w:t>
      </w:r>
      <w:r w:rsidR="3F64BA94" w:rsidRPr="6910C863">
        <w:rPr>
          <w:rFonts w:ascii="Arial" w:eastAsia="Arial" w:hAnsi="Arial" w:cs="Arial"/>
          <w:lang w:val="en-GB"/>
        </w:rPr>
        <w:t xml:space="preserve">ury. This is because after the 30 minutes were up, they would take </w:t>
      </w:r>
      <w:r w:rsidR="766EE91A" w:rsidRPr="6910C863">
        <w:rPr>
          <w:rFonts w:ascii="Arial" w:eastAsia="Arial" w:hAnsi="Arial" w:cs="Arial"/>
          <w:lang w:val="en-GB"/>
        </w:rPr>
        <w:t>him</w:t>
      </w:r>
      <w:r w:rsidR="3F64BA94" w:rsidRPr="6910C863">
        <w:rPr>
          <w:rFonts w:ascii="Arial" w:eastAsia="Arial" w:hAnsi="Arial" w:cs="Arial"/>
          <w:lang w:val="en-GB"/>
        </w:rPr>
        <w:t xml:space="preserve"> as they found him and agree that he had no reaction a</w:t>
      </w:r>
      <w:r w:rsidR="250C3BAD" w:rsidRPr="6910C863">
        <w:rPr>
          <w:rFonts w:ascii="Arial" w:eastAsia="Arial" w:hAnsi="Arial" w:cs="Arial"/>
          <w:lang w:val="en-GB"/>
        </w:rPr>
        <w:t>fter the 30 minutes and</w:t>
      </w:r>
      <w:r w:rsidR="3F64BA94" w:rsidRPr="6910C863">
        <w:rPr>
          <w:rFonts w:ascii="Arial" w:eastAsia="Arial" w:hAnsi="Arial" w:cs="Arial"/>
          <w:lang w:val="en-GB"/>
        </w:rPr>
        <w:t xml:space="preserve"> therefore </w:t>
      </w:r>
      <w:r w:rsidR="738C1865" w:rsidRPr="6910C863">
        <w:rPr>
          <w:rFonts w:ascii="Arial" w:eastAsia="Arial" w:hAnsi="Arial" w:cs="Arial"/>
          <w:lang w:val="en-GB"/>
        </w:rPr>
        <w:t xml:space="preserve">the doctor </w:t>
      </w:r>
      <w:r w:rsidR="44340AAB" w:rsidRPr="6910C863">
        <w:rPr>
          <w:rFonts w:ascii="Arial" w:eastAsia="Arial" w:hAnsi="Arial" w:cs="Arial"/>
          <w:lang w:val="en-GB"/>
        </w:rPr>
        <w:t xml:space="preserve">would have injected the whole amount of the serum anyway and therefore, he was </w:t>
      </w:r>
      <w:r w:rsidR="738C1865" w:rsidRPr="6910C863">
        <w:rPr>
          <w:rFonts w:ascii="Arial" w:eastAsia="Arial" w:hAnsi="Arial" w:cs="Arial"/>
          <w:lang w:val="en-GB"/>
        </w:rPr>
        <w:t>not liable. This is evidence of the thin skull test being applied simply in a case that</w:t>
      </w:r>
      <w:r w:rsidR="4A479F2C" w:rsidRPr="6910C863">
        <w:rPr>
          <w:rFonts w:ascii="Arial" w:eastAsia="Arial" w:hAnsi="Arial" w:cs="Arial"/>
          <w:lang w:val="en-GB"/>
        </w:rPr>
        <w:t xml:space="preserve"> </w:t>
      </w:r>
      <w:r w:rsidR="738C1865" w:rsidRPr="6910C863">
        <w:rPr>
          <w:rFonts w:ascii="Arial" w:eastAsia="Arial" w:hAnsi="Arial" w:cs="Arial"/>
          <w:lang w:val="en-GB"/>
        </w:rPr>
        <w:t>needed an answer.</w:t>
      </w:r>
    </w:p>
    <w:p w14:paraId="179911CB" w14:textId="37640294" w:rsidR="04A9C2DF" w:rsidRDefault="79C9DFB1" w:rsidP="6910C863">
      <w:pPr>
        <w:spacing w:before="240" w:after="240"/>
        <w:rPr>
          <w:rFonts w:ascii="Arial" w:eastAsia="Arial" w:hAnsi="Arial" w:cs="Arial"/>
          <w:color w:val="000000" w:themeColor="text1"/>
        </w:rPr>
      </w:pPr>
      <w:r w:rsidRPr="6910C863">
        <w:rPr>
          <w:rFonts w:ascii="Arial" w:eastAsia="Arial" w:hAnsi="Arial" w:cs="Arial"/>
          <w:color w:val="000000" w:themeColor="text1"/>
          <w:lang w:val="en-GB"/>
        </w:rPr>
        <w:t xml:space="preserve">To conclude, the application of the principles of causation and breach of duty in negligence law highlights the difficulties in proving liability, especially when there are several </w:t>
      </w:r>
      <w:r w:rsidR="7FF11F6A" w:rsidRPr="6910C863">
        <w:rPr>
          <w:rFonts w:ascii="Arial" w:eastAsia="Arial" w:hAnsi="Arial" w:cs="Arial"/>
          <w:color w:val="000000" w:themeColor="text1"/>
          <w:lang w:val="en-GB"/>
        </w:rPr>
        <w:t>potential causes</w:t>
      </w:r>
      <w:r w:rsidRPr="6910C863">
        <w:rPr>
          <w:rFonts w:ascii="Arial" w:eastAsia="Arial" w:hAnsi="Arial" w:cs="Arial"/>
          <w:color w:val="000000" w:themeColor="text1"/>
          <w:lang w:val="en-GB"/>
        </w:rPr>
        <w:t xml:space="preserve"> or intervening circumstances. The but-for test is a widely used tool for determining factual causation, however this test has limitations when multiple causes or insufficient evidence are involved.</w:t>
      </w:r>
    </w:p>
    <w:p w14:paraId="6BACC3D6" w14:textId="2D68628F" w:rsidR="04A9C2DF" w:rsidRDefault="79C9DFB1" w:rsidP="6910C863">
      <w:pPr>
        <w:spacing w:before="240" w:after="240"/>
        <w:rPr>
          <w:rFonts w:ascii="Arial" w:eastAsia="Arial" w:hAnsi="Arial" w:cs="Arial"/>
          <w:color w:val="000000" w:themeColor="text1"/>
        </w:rPr>
      </w:pPr>
      <w:r w:rsidRPr="6910C863">
        <w:rPr>
          <w:rFonts w:ascii="Arial" w:eastAsia="Arial" w:hAnsi="Arial" w:cs="Arial"/>
          <w:color w:val="000000" w:themeColor="text1"/>
          <w:lang w:val="en-GB"/>
        </w:rPr>
        <w:t xml:space="preserve">Secondly, even if it is easy to use, the thin skull test has drawbacks, especially when the chain of causation is complicated by intervening acts or events. It illustrates how outside influences might impact a claim's outcome and </w:t>
      </w:r>
      <w:r w:rsidR="246274A3" w:rsidRPr="6910C863">
        <w:rPr>
          <w:rFonts w:ascii="Arial" w:eastAsia="Arial" w:hAnsi="Arial" w:cs="Arial"/>
          <w:color w:val="000000" w:themeColor="text1"/>
          <w:lang w:val="en-GB"/>
        </w:rPr>
        <w:t>make</w:t>
      </w:r>
      <w:r w:rsidRPr="6910C863">
        <w:rPr>
          <w:rFonts w:ascii="Arial" w:eastAsia="Arial" w:hAnsi="Arial" w:cs="Arial"/>
          <w:color w:val="000000" w:themeColor="text1"/>
          <w:lang w:val="en-GB"/>
        </w:rPr>
        <w:t xml:space="preserve"> the thin skull rule more difficult to apply.</w:t>
      </w:r>
    </w:p>
    <w:p w14:paraId="6F63F021" w14:textId="64A58B3F" w:rsidR="04A9C2DF" w:rsidRDefault="79C9DFB1" w:rsidP="6910C863">
      <w:pPr>
        <w:rPr>
          <w:rFonts w:ascii="Arial" w:eastAsia="Arial" w:hAnsi="Arial" w:cs="Arial"/>
          <w:color w:val="000000" w:themeColor="text1"/>
        </w:rPr>
      </w:pPr>
      <w:r w:rsidRPr="6910C863">
        <w:rPr>
          <w:rFonts w:ascii="Arial" w:eastAsia="Arial" w:hAnsi="Arial" w:cs="Arial"/>
          <w:color w:val="000000" w:themeColor="text1"/>
          <w:lang w:val="en-GB"/>
        </w:rPr>
        <w:t xml:space="preserve">Overall, both causation tests are crucial legal elements. The difficulties posed by many causes and intervening events raise the possibility that reform or the adoption of a new test may be required to increase the precision and fairness of liability outcomes. Legal reform could guarantee that the law </w:t>
      </w:r>
      <w:r w:rsidR="136E9C8F" w:rsidRPr="6910C863">
        <w:rPr>
          <w:rFonts w:ascii="Arial" w:eastAsia="Arial" w:hAnsi="Arial" w:cs="Arial"/>
          <w:color w:val="000000" w:themeColor="text1"/>
          <w:lang w:val="en-GB"/>
        </w:rPr>
        <w:t xml:space="preserve">will </w:t>
      </w:r>
      <w:r w:rsidRPr="6910C863">
        <w:rPr>
          <w:rFonts w:ascii="Arial" w:eastAsia="Arial" w:hAnsi="Arial" w:cs="Arial"/>
          <w:color w:val="000000" w:themeColor="text1"/>
          <w:lang w:val="en-GB"/>
        </w:rPr>
        <w:t>more accurately reflect real world situations, providing both claimants and defendants with justice</w:t>
      </w:r>
      <w:r w:rsidR="4CF7A7DA" w:rsidRPr="6910C863">
        <w:rPr>
          <w:rFonts w:ascii="Arial" w:eastAsia="Arial" w:hAnsi="Arial" w:cs="Arial"/>
          <w:color w:val="000000" w:themeColor="text1"/>
          <w:lang w:val="en-GB"/>
        </w:rPr>
        <w:t>.</w:t>
      </w:r>
    </w:p>
    <w:p w14:paraId="36A24934" w14:textId="3814733D" w:rsidR="04A9C2DF" w:rsidRDefault="04A9C2DF" w:rsidP="6910C863">
      <w:pPr>
        <w:rPr>
          <w:rFonts w:ascii="Arial" w:eastAsia="Arial" w:hAnsi="Arial" w:cs="Arial"/>
          <w:lang w:val="en-GB"/>
        </w:rPr>
      </w:pPr>
    </w:p>
    <w:p w14:paraId="091BA0B2" w14:textId="426E824F" w:rsidR="04A9C2DF" w:rsidRDefault="04A9C2DF" w:rsidP="04A9C2DF">
      <w:pPr>
        <w:rPr>
          <w:rFonts w:ascii="Arial" w:eastAsia="Arial" w:hAnsi="Arial" w:cs="Arial"/>
          <w:lang w:val="en-GB"/>
        </w:rPr>
      </w:pPr>
    </w:p>
    <w:p w14:paraId="2DFF7825" w14:textId="47E81A1C" w:rsidR="32CAF5A6" w:rsidRDefault="32CAF5A6" w:rsidP="32CAF5A6">
      <w:pPr>
        <w:rPr>
          <w:rFonts w:ascii="Arial" w:eastAsia="Arial" w:hAnsi="Arial" w:cs="Arial"/>
          <w:lang w:val="en-GB"/>
        </w:rPr>
      </w:pPr>
    </w:p>
    <w:p w14:paraId="2D7DA674" w14:textId="0737348F" w:rsidR="32CAF5A6" w:rsidRDefault="32CAF5A6" w:rsidP="32CAF5A6">
      <w:pPr>
        <w:rPr>
          <w:rFonts w:ascii="Arial" w:eastAsia="Arial" w:hAnsi="Arial" w:cs="Arial"/>
          <w:lang w:val="en-GB"/>
        </w:rPr>
      </w:pPr>
    </w:p>
    <w:p w14:paraId="1B98D730" w14:textId="13205083" w:rsidR="32CAF5A6" w:rsidRDefault="32CAF5A6" w:rsidP="32CAF5A6">
      <w:pPr>
        <w:rPr>
          <w:rFonts w:ascii="Arial" w:eastAsia="Arial" w:hAnsi="Arial" w:cs="Arial"/>
          <w:lang w:val="en-GB"/>
        </w:rPr>
      </w:pPr>
    </w:p>
    <w:p w14:paraId="1D9496DB" w14:textId="1B302083" w:rsidR="32CAF5A6" w:rsidRDefault="32CAF5A6" w:rsidP="32CAF5A6">
      <w:pPr>
        <w:rPr>
          <w:rFonts w:ascii="Arial" w:eastAsia="Arial" w:hAnsi="Arial" w:cs="Arial"/>
          <w:lang w:val="en-GB"/>
        </w:rPr>
      </w:pPr>
    </w:p>
    <w:p w14:paraId="46396A4E" w14:textId="1698B705" w:rsidR="32CAF5A6" w:rsidRDefault="32CAF5A6" w:rsidP="32CAF5A6">
      <w:pPr>
        <w:rPr>
          <w:rFonts w:ascii="Arial" w:eastAsia="Arial" w:hAnsi="Arial" w:cs="Arial"/>
          <w:lang w:val="en-GB"/>
        </w:rPr>
      </w:pPr>
    </w:p>
    <w:p w14:paraId="03B50773" w14:textId="58477940" w:rsidR="32CAF5A6" w:rsidRDefault="32CAF5A6" w:rsidP="32CAF5A6">
      <w:pPr>
        <w:rPr>
          <w:rFonts w:ascii="Arial" w:eastAsia="Arial" w:hAnsi="Arial" w:cs="Arial"/>
          <w:lang w:val="en-GB"/>
        </w:rPr>
      </w:pPr>
    </w:p>
    <w:p w14:paraId="58658FF2" w14:textId="6B47F7B1" w:rsidR="32CAF5A6" w:rsidRDefault="32CAF5A6" w:rsidP="32CAF5A6">
      <w:pPr>
        <w:rPr>
          <w:rFonts w:ascii="Arial" w:eastAsia="Arial" w:hAnsi="Arial" w:cs="Arial"/>
          <w:lang w:val="en-GB"/>
        </w:rPr>
      </w:pPr>
    </w:p>
    <w:p w14:paraId="2C9EE3F1" w14:textId="4B76E489" w:rsidR="32CAF5A6" w:rsidRDefault="32CAF5A6" w:rsidP="32CAF5A6">
      <w:pPr>
        <w:rPr>
          <w:rFonts w:ascii="Arial" w:eastAsia="Arial" w:hAnsi="Arial" w:cs="Arial"/>
          <w:lang w:val="en-GB"/>
        </w:rPr>
      </w:pPr>
    </w:p>
    <w:p w14:paraId="6EAECC3B" w14:textId="0F898E12" w:rsidR="32CAF5A6" w:rsidRDefault="32CAF5A6" w:rsidP="32CAF5A6">
      <w:pPr>
        <w:rPr>
          <w:rFonts w:ascii="Arial" w:eastAsia="Arial" w:hAnsi="Arial" w:cs="Arial"/>
          <w:lang w:val="en-GB"/>
        </w:rPr>
      </w:pPr>
    </w:p>
    <w:p w14:paraId="497FBA43" w14:textId="598CD7E4" w:rsidR="32CAF5A6" w:rsidRDefault="32CAF5A6" w:rsidP="32CAF5A6">
      <w:pPr>
        <w:rPr>
          <w:rFonts w:ascii="Arial" w:eastAsia="Arial" w:hAnsi="Arial" w:cs="Arial"/>
          <w:lang w:val="en-GB"/>
        </w:rPr>
      </w:pPr>
    </w:p>
    <w:p w14:paraId="57C766FE" w14:textId="0DA69D66" w:rsidR="32CAF5A6" w:rsidRDefault="32CAF5A6" w:rsidP="32CAF5A6">
      <w:pPr>
        <w:rPr>
          <w:rFonts w:ascii="Arial" w:eastAsia="Arial" w:hAnsi="Arial" w:cs="Arial"/>
          <w:lang w:val="en-GB"/>
        </w:rPr>
      </w:pPr>
    </w:p>
    <w:p w14:paraId="494A037D" w14:textId="77777777" w:rsidR="008502D0" w:rsidRDefault="008502D0" w:rsidP="32CAF5A6">
      <w:pPr>
        <w:rPr>
          <w:rFonts w:ascii="Arial" w:eastAsia="Arial" w:hAnsi="Arial" w:cs="Arial"/>
          <w:lang w:val="en-GB"/>
        </w:rPr>
      </w:pPr>
    </w:p>
    <w:p w14:paraId="1079F683" w14:textId="77777777" w:rsidR="008502D0" w:rsidRDefault="008502D0" w:rsidP="32CAF5A6">
      <w:pPr>
        <w:rPr>
          <w:rFonts w:ascii="Arial" w:eastAsia="Arial" w:hAnsi="Arial" w:cs="Arial"/>
          <w:lang w:val="en-GB"/>
        </w:rPr>
      </w:pPr>
    </w:p>
    <w:p w14:paraId="4A3BFD46" w14:textId="77777777" w:rsidR="008502D0" w:rsidRDefault="008502D0" w:rsidP="32CAF5A6">
      <w:pPr>
        <w:rPr>
          <w:rFonts w:ascii="Arial" w:eastAsia="Arial" w:hAnsi="Arial" w:cs="Arial"/>
          <w:lang w:val="en-GB"/>
        </w:rPr>
      </w:pPr>
    </w:p>
    <w:p w14:paraId="15D7D8B6" w14:textId="37A5F467" w:rsidR="04A9C2DF" w:rsidRDefault="7A30AC45" w:rsidP="32CAF5A6">
      <w:pPr>
        <w:rPr>
          <w:rFonts w:ascii="Arial" w:eastAsia="Arial" w:hAnsi="Arial" w:cs="Arial"/>
          <w:u w:val="single"/>
          <w:lang w:val="en-GB"/>
        </w:rPr>
      </w:pPr>
      <w:r w:rsidRPr="32CAF5A6">
        <w:rPr>
          <w:rFonts w:ascii="Arial" w:eastAsia="Arial" w:hAnsi="Arial" w:cs="Arial"/>
          <w:u w:val="single"/>
          <w:lang w:val="en-GB"/>
        </w:rPr>
        <w:t>Reference list:</w:t>
      </w:r>
    </w:p>
    <w:p w14:paraId="5B2D11DF" w14:textId="5E2C4BAD" w:rsidR="04A9C2DF" w:rsidRDefault="16AF1B0E" w:rsidP="32CAF5A6">
      <w:pPr>
        <w:rPr>
          <w:rFonts w:ascii="Source Sans Pro" w:eastAsia="Source Sans Pro" w:hAnsi="Source Sans Pro" w:cs="Source Sans Pro"/>
          <w:color w:val="3A3A3A" w:themeColor="background2" w:themeShade="40"/>
          <w:sz w:val="22"/>
          <w:szCs w:val="22"/>
          <w:lang w:val="en-GB"/>
        </w:rPr>
      </w:pPr>
      <w:r w:rsidRPr="32CAF5A6">
        <w:rPr>
          <w:rFonts w:ascii="Source Sans Pro" w:eastAsia="Source Sans Pro" w:hAnsi="Source Sans Pro" w:cs="Source Sans Pro"/>
          <w:color w:val="3A3A3A" w:themeColor="background2" w:themeShade="40"/>
          <w:sz w:val="22"/>
          <w:szCs w:val="22"/>
          <w:lang w:val="en-GB"/>
        </w:rPr>
        <w:t xml:space="preserve">Cooke, J. (2019) </w:t>
      </w:r>
      <w:r w:rsidRPr="32CAF5A6">
        <w:rPr>
          <w:rFonts w:ascii="Source Sans Pro" w:eastAsia="Source Sans Pro" w:hAnsi="Source Sans Pro" w:cs="Source Sans Pro"/>
          <w:i/>
          <w:iCs/>
          <w:color w:val="3A3A3A" w:themeColor="background2" w:themeShade="40"/>
          <w:sz w:val="22"/>
          <w:szCs w:val="22"/>
          <w:lang w:val="en-GB"/>
        </w:rPr>
        <w:t>Law of tort</w:t>
      </w:r>
      <w:r w:rsidRPr="32CAF5A6">
        <w:rPr>
          <w:rFonts w:ascii="Source Sans Pro" w:eastAsia="Source Sans Pro" w:hAnsi="Source Sans Pro" w:cs="Source Sans Pro"/>
          <w:color w:val="3A3A3A" w:themeColor="background2" w:themeShade="40"/>
          <w:sz w:val="22"/>
          <w:szCs w:val="22"/>
          <w:lang w:val="en-GB"/>
        </w:rPr>
        <w:t>. Fourteenth edition. Harlow, England: Pearson Education Limited.</w:t>
      </w:r>
    </w:p>
    <w:p w14:paraId="6F05BDE5" w14:textId="74295A67" w:rsidR="04A9C2DF" w:rsidRDefault="16AF1B0E" w:rsidP="32CAF5A6">
      <w:pPr>
        <w:rPr>
          <w:rFonts w:ascii="Source Sans Pro" w:eastAsia="Source Sans Pro" w:hAnsi="Source Sans Pro" w:cs="Source Sans Pro"/>
          <w:color w:val="3A3A3A" w:themeColor="background2" w:themeShade="40"/>
          <w:sz w:val="22"/>
          <w:szCs w:val="22"/>
        </w:rPr>
      </w:pPr>
      <w:r w:rsidRPr="32CAF5A6">
        <w:rPr>
          <w:rFonts w:ascii="Source Sans Pro" w:eastAsia="Source Sans Pro" w:hAnsi="Source Sans Pro" w:cs="Source Sans Pro"/>
          <w:color w:val="3A3A3A" w:themeColor="background2" w:themeShade="40"/>
          <w:sz w:val="22"/>
          <w:szCs w:val="22"/>
          <w:lang w:val="en-GB"/>
        </w:rPr>
        <w:t xml:space="preserve">Elliott, C. and Quinn, F. (2019) </w:t>
      </w:r>
      <w:r w:rsidRPr="32CAF5A6">
        <w:rPr>
          <w:rFonts w:ascii="Source Sans Pro" w:eastAsia="Source Sans Pro" w:hAnsi="Source Sans Pro" w:cs="Source Sans Pro"/>
          <w:i/>
          <w:iCs/>
          <w:color w:val="3A3A3A" w:themeColor="background2" w:themeShade="40"/>
          <w:sz w:val="22"/>
          <w:szCs w:val="22"/>
          <w:lang w:val="en-GB"/>
        </w:rPr>
        <w:t>Elliott and Quinn’s tort law</w:t>
      </w:r>
      <w:r w:rsidRPr="32CAF5A6">
        <w:rPr>
          <w:rFonts w:ascii="Source Sans Pro" w:eastAsia="Source Sans Pro" w:hAnsi="Source Sans Pro" w:cs="Source Sans Pro"/>
          <w:color w:val="3A3A3A" w:themeColor="background2" w:themeShade="40"/>
          <w:sz w:val="22"/>
          <w:szCs w:val="22"/>
          <w:lang w:val="en-GB"/>
        </w:rPr>
        <w:t xml:space="preserve">. Twelfth edition. Harlow, England ; Pearson. </w:t>
      </w:r>
    </w:p>
    <w:p w14:paraId="1570D70C" w14:textId="4A175637" w:rsidR="04A9C2DF" w:rsidRDefault="16AF1B0E" w:rsidP="32CAF5A6">
      <w:pPr>
        <w:rPr>
          <w:rFonts w:ascii="Helvetica" w:eastAsia="Helvetica" w:hAnsi="Helvetica" w:cs="Helvetica"/>
          <w:color w:val="555555"/>
          <w:sz w:val="21"/>
          <w:szCs w:val="21"/>
          <w:lang w:val="en-GB"/>
        </w:rPr>
      </w:pPr>
      <w:proofErr w:type="spellStart"/>
      <w:r w:rsidRPr="32CAF5A6">
        <w:rPr>
          <w:rFonts w:ascii="Helvetica" w:eastAsia="Helvetica" w:hAnsi="Helvetica" w:cs="Helvetica"/>
          <w:color w:val="555555"/>
          <w:sz w:val="21"/>
          <w:szCs w:val="21"/>
          <w:lang w:val="en-GB"/>
        </w:rPr>
        <w:t>Giliker</w:t>
      </w:r>
      <w:proofErr w:type="spellEnd"/>
      <w:r w:rsidRPr="32CAF5A6">
        <w:rPr>
          <w:rFonts w:ascii="Helvetica" w:eastAsia="Helvetica" w:hAnsi="Helvetica" w:cs="Helvetica"/>
          <w:color w:val="555555"/>
          <w:sz w:val="21"/>
          <w:szCs w:val="21"/>
          <w:lang w:val="en-GB"/>
        </w:rPr>
        <w:t xml:space="preserve">, P. (2014) </w:t>
      </w:r>
      <w:r w:rsidRPr="32CAF5A6">
        <w:rPr>
          <w:rFonts w:ascii="Helvetica" w:eastAsia="Helvetica" w:hAnsi="Helvetica" w:cs="Helvetica"/>
          <w:i/>
          <w:iCs/>
          <w:color w:val="555555"/>
          <w:sz w:val="21"/>
          <w:szCs w:val="21"/>
          <w:lang w:val="en-GB"/>
        </w:rPr>
        <w:t xml:space="preserve">TORT. </w:t>
      </w:r>
      <w:r w:rsidRPr="32CAF5A6">
        <w:rPr>
          <w:rFonts w:ascii="Helvetica" w:eastAsia="Helvetica" w:hAnsi="Helvetica" w:cs="Helvetica"/>
          <w:color w:val="555555"/>
          <w:sz w:val="21"/>
          <w:szCs w:val="21"/>
          <w:lang w:val="en-GB"/>
        </w:rPr>
        <w:t>Fifth Edition. London: Sweet &amp; Maxwell.</w:t>
      </w:r>
    </w:p>
    <w:p w14:paraId="5460E77E" w14:textId="1086522A" w:rsidR="04A9C2DF" w:rsidRDefault="16AF1B0E" w:rsidP="32CAF5A6">
      <w:pPr>
        <w:rPr>
          <w:rFonts w:ascii="Source Sans Pro" w:eastAsia="Source Sans Pro" w:hAnsi="Source Sans Pro" w:cs="Source Sans Pro"/>
          <w:color w:val="3A3A3A" w:themeColor="background2" w:themeShade="40"/>
          <w:sz w:val="22"/>
          <w:szCs w:val="22"/>
          <w:lang w:val="en-GB"/>
        </w:rPr>
      </w:pPr>
      <w:r w:rsidRPr="32CAF5A6">
        <w:rPr>
          <w:rFonts w:ascii="Source Sans Pro" w:eastAsia="Source Sans Pro" w:hAnsi="Source Sans Pro" w:cs="Source Sans Pro"/>
          <w:color w:val="3A3A3A" w:themeColor="background2" w:themeShade="40"/>
          <w:sz w:val="22"/>
          <w:szCs w:val="22"/>
          <w:lang w:val="en-GB"/>
        </w:rPr>
        <w:t xml:space="preserve">Horsey, K. and </w:t>
      </w:r>
      <w:proofErr w:type="spellStart"/>
      <w:r w:rsidRPr="32CAF5A6">
        <w:rPr>
          <w:rFonts w:ascii="Source Sans Pro" w:eastAsia="Source Sans Pro" w:hAnsi="Source Sans Pro" w:cs="Source Sans Pro"/>
          <w:color w:val="3A3A3A" w:themeColor="background2" w:themeShade="40"/>
          <w:sz w:val="22"/>
          <w:szCs w:val="22"/>
          <w:lang w:val="en-GB"/>
        </w:rPr>
        <w:t>Rackley</w:t>
      </w:r>
      <w:proofErr w:type="spellEnd"/>
      <w:r w:rsidRPr="32CAF5A6">
        <w:rPr>
          <w:rFonts w:ascii="Source Sans Pro" w:eastAsia="Source Sans Pro" w:hAnsi="Source Sans Pro" w:cs="Source Sans Pro"/>
          <w:color w:val="3A3A3A" w:themeColor="background2" w:themeShade="40"/>
          <w:sz w:val="22"/>
          <w:szCs w:val="22"/>
          <w:lang w:val="en-GB"/>
        </w:rPr>
        <w:t xml:space="preserve">, E. (2024) </w:t>
      </w:r>
      <w:r w:rsidRPr="32CAF5A6">
        <w:rPr>
          <w:rFonts w:ascii="Source Sans Pro" w:eastAsia="Source Sans Pro" w:hAnsi="Source Sans Pro" w:cs="Source Sans Pro"/>
          <w:i/>
          <w:iCs/>
          <w:color w:val="3A3A3A" w:themeColor="background2" w:themeShade="40"/>
          <w:sz w:val="22"/>
          <w:szCs w:val="22"/>
          <w:lang w:val="en-GB"/>
        </w:rPr>
        <w:t xml:space="preserve">Casebook on tort law / Kristy Horsey &amp; Erika </w:t>
      </w:r>
      <w:proofErr w:type="spellStart"/>
      <w:r w:rsidRPr="32CAF5A6">
        <w:rPr>
          <w:rFonts w:ascii="Source Sans Pro" w:eastAsia="Source Sans Pro" w:hAnsi="Source Sans Pro" w:cs="Source Sans Pro"/>
          <w:i/>
          <w:iCs/>
          <w:color w:val="3A3A3A" w:themeColor="background2" w:themeShade="40"/>
          <w:sz w:val="22"/>
          <w:szCs w:val="22"/>
          <w:lang w:val="en-GB"/>
        </w:rPr>
        <w:t>Rackley</w:t>
      </w:r>
      <w:proofErr w:type="spellEnd"/>
      <w:r w:rsidRPr="32CAF5A6">
        <w:rPr>
          <w:rFonts w:ascii="Source Sans Pro" w:eastAsia="Source Sans Pro" w:hAnsi="Source Sans Pro" w:cs="Source Sans Pro"/>
          <w:i/>
          <w:iCs/>
          <w:color w:val="3A3A3A" w:themeColor="background2" w:themeShade="40"/>
          <w:sz w:val="22"/>
          <w:szCs w:val="22"/>
          <w:lang w:val="en-GB"/>
        </w:rPr>
        <w:t>.</w:t>
      </w:r>
      <w:r w:rsidRPr="32CAF5A6">
        <w:rPr>
          <w:rFonts w:ascii="Source Sans Pro" w:eastAsia="Source Sans Pro" w:hAnsi="Source Sans Pro" w:cs="Source Sans Pro"/>
          <w:color w:val="3A3A3A" w:themeColor="background2" w:themeShade="40"/>
          <w:sz w:val="22"/>
          <w:szCs w:val="22"/>
          <w:lang w:val="en-GB"/>
        </w:rPr>
        <w:t xml:space="preserve"> 17th edition. Oxford: Oxford University Press.</w:t>
      </w:r>
    </w:p>
    <w:p w14:paraId="35DB86BA" w14:textId="66F6BAEA" w:rsidR="04A9C2DF" w:rsidRDefault="16AF1B0E" w:rsidP="32CAF5A6">
      <w:pPr>
        <w:rPr>
          <w:rFonts w:ascii="Helvetica" w:eastAsia="Helvetica" w:hAnsi="Helvetica" w:cs="Helvetica"/>
          <w:color w:val="555555"/>
          <w:sz w:val="21"/>
          <w:szCs w:val="21"/>
          <w:lang w:val="en-GB"/>
        </w:rPr>
      </w:pPr>
      <w:r w:rsidRPr="32CAF5A6">
        <w:rPr>
          <w:rFonts w:ascii="Helvetica" w:eastAsia="Helvetica" w:hAnsi="Helvetica" w:cs="Helvetica"/>
          <w:color w:val="555555"/>
          <w:sz w:val="21"/>
          <w:szCs w:val="21"/>
          <w:lang w:val="en-GB"/>
        </w:rPr>
        <w:t xml:space="preserve">Horsey, K. and </w:t>
      </w:r>
      <w:proofErr w:type="spellStart"/>
      <w:r w:rsidRPr="32CAF5A6">
        <w:rPr>
          <w:rFonts w:ascii="Helvetica" w:eastAsia="Helvetica" w:hAnsi="Helvetica" w:cs="Helvetica"/>
          <w:color w:val="555555"/>
          <w:sz w:val="21"/>
          <w:szCs w:val="21"/>
          <w:lang w:val="en-GB"/>
        </w:rPr>
        <w:t>Rackley</w:t>
      </w:r>
      <w:proofErr w:type="spellEnd"/>
      <w:r w:rsidRPr="32CAF5A6">
        <w:rPr>
          <w:rFonts w:ascii="Helvetica" w:eastAsia="Helvetica" w:hAnsi="Helvetica" w:cs="Helvetica"/>
          <w:color w:val="555555"/>
          <w:sz w:val="21"/>
          <w:szCs w:val="21"/>
          <w:lang w:val="en-GB"/>
        </w:rPr>
        <w:t xml:space="preserve">, E. (2021) </w:t>
      </w:r>
      <w:r w:rsidRPr="32CAF5A6">
        <w:rPr>
          <w:rFonts w:ascii="Helvetica" w:eastAsia="Helvetica" w:hAnsi="Helvetica" w:cs="Helvetica"/>
          <w:i/>
          <w:iCs/>
          <w:color w:val="555555"/>
          <w:sz w:val="21"/>
          <w:szCs w:val="21"/>
          <w:lang w:val="en-GB"/>
        </w:rPr>
        <w:t>TORT LAW. Sixteenth</w:t>
      </w:r>
      <w:r w:rsidRPr="32CAF5A6">
        <w:rPr>
          <w:rFonts w:ascii="Helvetica" w:eastAsia="Helvetica" w:hAnsi="Helvetica" w:cs="Helvetica"/>
          <w:color w:val="555555"/>
          <w:sz w:val="21"/>
          <w:szCs w:val="21"/>
          <w:lang w:val="en-GB"/>
        </w:rPr>
        <w:t xml:space="preserve"> Edition. Oxford: Oxford University Press.</w:t>
      </w:r>
    </w:p>
    <w:p w14:paraId="263B62C9" w14:textId="03B81995" w:rsidR="04A9C2DF" w:rsidRDefault="16AF1B0E" w:rsidP="32CAF5A6">
      <w:pPr>
        <w:rPr>
          <w:rFonts w:ascii="Helvetica" w:eastAsia="Helvetica" w:hAnsi="Helvetica" w:cs="Helvetica"/>
          <w:color w:val="555555"/>
          <w:sz w:val="21"/>
          <w:szCs w:val="21"/>
          <w:lang w:val="en-GB"/>
        </w:rPr>
      </w:pPr>
      <w:r w:rsidRPr="32CAF5A6">
        <w:rPr>
          <w:rFonts w:ascii="Helvetica" w:eastAsia="Helvetica" w:hAnsi="Helvetica" w:cs="Helvetica"/>
          <w:color w:val="555555"/>
          <w:sz w:val="21"/>
          <w:szCs w:val="21"/>
          <w:lang w:val="en-GB"/>
        </w:rPr>
        <w:t xml:space="preserve">Jones, M.A (2002) </w:t>
      </w:r>
      <w:r w:rsidRPr="32CAF5A6">
        <w:rPr>
          <w:rFonts w:ascii="Helvetica" w:eastAsia="Helvetica" w:hAnsi="Helvetica" w:cs="Helvetica"/>
          <w:i/>
          <w:iCs/>
          <w:color w:val="555555"/>
          <w:sz w:val="21"/>
          <w:szCs w:val="21"/>
          <w:lang w:val="en-GB"/>
        </w:rPr>
        <w:t xml:space="preserve">Torts. </w:t>
      </w:r>
      <w:r w:rsidRPr="32CAF5A6">
        <w:rPr>
          <w:rFonts w:ascii="Helvetica" w:eastAsia="Helvetica" w:hAnsi="Helvetica" w:cs="Helvetica"/>
          <w:color w:val="555555"/>
          <w:sz w:val="21"/>
          <w:szCs w:val="21"/>
          <w:lang w:val="en-GB"/>
        </w:rPr>
        <w:t>Eighth Edition. Oxford: Oxford University Press.</w:t>
      </w:r>
    </w:p>
    <w:p w14:paraId="13FC1C0D" w14:textId="503E77BE" w:rsidR="04A9C2DF" w:rsidRDefault="16AF1B0E" w:rsidP="32CAF5A6">
      <w:pPr>
        <w:rPr>
          <w:rFonts w:ascii="Source Sans Pro" w:eastAsia="Source Sans Pro" w:hAnsi="Source Sans Pro" w:cs="Source Sans Pro"/>
          <w:color w:val="3A3A3A" w:themeColor="background2" w:themeShade="40"/>
          <w:sz w:val="22"/>
          <w:szCs w:val="22"/>
          <w:lang w:val="en-GB"/>
        </w:rPr>
      </w:pPr>
      <w:proofErr w:type="spellStart"/>
      <w:r w:rsidRPr="32CAF5A6">
        <w:rPr>
          <w:rFonts w:ascii="Source Sans Pro" w:eastAsia="Source Sans Pro" w:hAnsi="Source Sans Pro" w:cs="Source Sans Pro"/>
          <w:color w:val="3A3A3A" w:themeColor="background2" w:themeShade="40"/>
          <w:sz w:val="22"/>
          <w:szCs w:val="22"/>
          <w:lang w:val="en-GB"/>
        </w:rPr>
        <w:t>Kidner</w:t>
      </w:r>
      <w:proofErr w:type="spellEnd"/>
      <w:r w:rsidRPr="32CAF5A6">
        <w:rPr>
          <w:rFonts w:ascii="Source Sans Pro" w:eastAsia="Source Sans Pro" w:hAnsi="Source Sans Pro" w:cs="Source Sans Pro"/>
          <w:color w:val="3A3A3A" w:themeColor="background2" w:themeShade="40"/>
          <w:sz w:val="22"/>
          <w:szCs w:val="22"/>
          <w:lang w:val="en-GB"/>
        </w:rPr>
        <w:t xml:space="preserve">, R. (2008) </w:t>
      </w:r>
      <w:r w:rsidRPr="32CAF5A6">
        <w:rPr>
          <w:rFonts w:ascii="Source Sans Pro" w:eastAsia="Source Sans Pro" w:hAnsi="Source Sans Pro" w:cs="Source Sans Pro"/>
          <w:i/>
          <w:iCs/>
          <w:color w:val="3A3A3A" w:themeColor="background2" w:themeShade="40"/>
          <w:sz w:val="22"/>
          <w:szCs w:val="22"/>
          <w:lang w:val="en-GB"/>
        </w:rPr>
        <w:t>Casebook on torts</w:t>
      </w:r>
      <w:r w:rsidRPr="32CAF5A6">
        <w:rPr>
          <w:rFonts w:ascii="Source Sans Pro" w:eastAsia="Source Sans Pro" w:hAnsi="Source Sans Pro" w:cs="Source Sans Pro"/>
          <w:color w:val="3A3A3A" w:themeColor="background2" w:themeShade="40"/>
          <w:sz w:val="22"/>
          <w:szCs w:val="22"/>
          <w:lang w:val="en-GB"/>
        </w:rPr>
        <w:t>. 10th ed. Oxford: Oxford University Press.</w:t>
      </w:r>
    </w:p>
    <w:p w14:paraId="2E651C4A" w14:textId="0A35B39D" w:rsidR="04A9C2DF" w:rsidRDefault="16AF1B0E" w:rsidP="32CAF5A6">
      <w:pPr>
        <w:rPr>
          <w:rFonts w:ascii="Source Sans Pro" w:eastAsia="Source Sans Pro" w:hAnsi="Source Sans Pro" w:cs="Source Sans Pro"/>
          <w:color w:val="000000" w:themeColor="text1"/>
          <w:sz w:val="22"/>
          <w:szCs w:val="22"/>
          <w:lang w:val="en-GB"/>
        </w:rPr>
      </w:pPr>
      <w:r w:rsidRPr="32CAF5A6">
        <w:rPr>
          <w:rFonts w:ascii="Arial" w:eastAsia="Arial" w:hAnsi="Arial" w:cs="Arial"/>
          <w:color w:val="000000" w:themeColor="text1"/>
          <w:sz w:val="18"/>
          <w:szCs w:val="18"/>
          <w:lang w:val="en-GB"/>
        </w:rPr>
        <w:t xml:space="preserve">Law, J. and Martin, E.A (2014) </w:t>
      </w:r>
      <w:r w:rsidRPr="32CAF5A6">
        <w:rPr>
          <w:rFonts w:ascii="Arial" w:eastAsia="Arial" w:hAnsi="Arial" w:cs="Arial"/>
          <w:i/>
          <w:iCs/>
          <w:color w:val="000000" w:themeColor="text1"/>
          <w:sz w:val="18"/>
          <w:szCs w:val="18"/>
          <w:lang w:val="en-GB"/>
        </w:rPr>
        <w:t xml:space="preserve">A Dictionary of Law. </w:t>
      </w:r>
      <w:r w:rsidRPr="32CAF5A6">
        <w:rPr>
          <w:rFonts w:ascii="Arial" w:eastAsia="Arial" w:hAnsi="Arial" w:cs="Arial"/>
          <w:color w:val="000000" w:themeColor="text1"/>
          <w:sz w:val="18"/>
          <w:szCs w:val="18"/>
          <w:lang w:val="en-GB"/>
        </w:rPr>
        <w:t xml:space="preserve">Available at: </w:t>
      </w:r>
      <w:hyperlink r:id="rId5">
        <w:r w:rsidRPr="32CAF5A6">
          <w:rPr>
            <w:rStyle w:val="Hyperlink"/>
            <w:rFonts w:ascii="Source Sans Pro" w:eastAsia="Source Sans Pro" w:hAnsi="Source Sans Pro" w:cs="Source Sans Pro"/>
            <w:sz w:val="22"/>
            <w:szCs w:val="22"/>
            <w:lang w:val="en-GB"/>
          </w:rPr>
          <w:t>https://www.oxfordreference.com/display/10.1093/acref/9780199551248.001.0001/acref-9780199551248</w:t>
        </w:r>
      </w:hyperlink>
      <w:r w:rsidRPr="32CAF5A6">
        <w:rPr>
          <w:rFonts w:ascii="Source Sans Pro" w:eastAsia="Source Sans Pro" w:hAnsi="Source Sans Pro" w:cs="Source Sans Pro"/>
          <w:color w:val="000000" w:themeColor="text1"/>
          <w:sz w:val="22"/>
          <w:szCs w:val="22"/>
          <w:lang w:val="en-GB"/>
        </w:rPr>
        <w:t xml:space="preserve"> (Accessed: 02/11/24)</w:t>
      </w:r>
    </w:p>
    <w:p w14:paraId="038493B9" w14:textId="42250325" w:rsidR="04A9C2DF" w:rsidRDefault="16AF1B0E" w:rsidP="32CAF5A6">
      <w:pPr>
        <w:rPr>
          <w:rFonts w:ascii="Source Sans Pro" w:eastAsia="Source Sans Pro" w:hAnsi="Source Sans Pro" w:cs="Source Sans Pro"/>
          <w:color w:val="3A3A3A" w:themeColor="background2" w:themeShade="40"/>
          <w:sz w:val="22"/>
          <w:szCs w:val="22"/>
          <w:lang w:val="en-GB"/>
        </w:rPr>
      </w:pPr>
      <w:r w:rsidRPr="32CAF5A6">
        <w:rPr>
          <w:rFonts w:ascii="Source Sans Pro" w:eastAsia="Source Sans Pro" w:hAnsi="Source Sans Pro" w:cs="Source Sans Pro"/>
          <w:color w:val="3A3A3A" w:themeColor="background2" w:themeShade="40"/>
          <w:sz w:val="22"/>
          <w:szCs w:val="22"/>
          <w:lang w:val="en-GB"/>
        </w:rPr>
        <w:t xml:space="preserve">Steele, J. (2022) </w:t>
      </w:r>
      <w:r w:rsidRPr="32CAF5A6">
        <w:rPr>
          <w:rFonts w:ascii="Source Sans Pro" w:eastAsia="Source Sans Pro" w:hAnsi="Source Sans Pro" w:cs="Source Sans Pro"/>
          <w:i/>
          <w:iCs/>
          <w:color w:val="3A3A3A" w:themeColor="background2" w:themeShade="40"/>
          <w:sz w:val="22"/>
          <w:szCs w:val="22"/>
          <w:lang w:val="en-GB"/>
        </w:rPr>
        <w:t xml:space="preserve">Tort </w:t>
      </w:r>
      <w:r w:rsidR="1646413E" w:rsidRPr="32CAF5A6">
        <w:rPr>
          <w:rFonts w:ascii="Source Sans Pro" w:eastAsia="Source Sans Pro" w:hAnsi="Source Sans Pro" w:cs="Source Sans Pro"/>
          <w:i/>
          <w:iCs/>
          <w:color w:val="3A3A3A" w:themeColor="background2" w:themeShade="40"/>
          <w:sz w:val="22"/>
          <w:szCs w:val="22"/>
          <w:lang w:val="en-GB"/>
        </w:rPr>
        <w:t>law:</w:t>
      </w:r>
      <w:r w:rsidRPr="32CAF5A6">
        <w:rPr>
          <w:rFonts w:ascii="Source Sans Pro" w:eastAsia="Source Sans Pro" w:hAnsi="Source Sans Pro" w:cs="Source Sans Pro"/>
          <w:i/>
          <w:iCs/>
          <w:color w:val="3A3A3A" w:themeColor="background2" w:themeShade="40"/>
          <w:sz w:val="22"/>
          <w:szCs w:val="22"/>
          <w:lang w:val="en-GB"/>
        </w:rPr>
        <w:t xml:space="preserve"> text, cases, and materials</w:t>
      </w:r>
      <w:r w:rsidRPr="32CAF5A6">
        <w:rPr>
          <w:rFonts w:ascii="Source Sans Pro" w:eastAsia="Source Sans Pro" w:hAnsi="Source Sans Pro" w:cs="Source Sans Pro"/>
          <w:color w:val="3A3A3A" w:themeColor="background2" w:themeShade="40"/>
          <w:sz w:val="22"/>
          <w:szCs w:val="22"/>
          <w:lang w:val="en-GB"/>
        </w:rPr>
        <w:t>. Fifth edition. Oxford: Oxford University Press.</w:t>
      </w:r>
    </w:p>
    <w:p w14:paraId="2ACDB5A7" w14:textId="5D86ADFE" w:rsidR="04A9C2DF" w:rsidRDefault="04A9C2DF" w:rsidP="32CAF5A6">
      <w:pPr>
        <w:rPr>
          <w:rFonts w:ascii="Arial" w:eastAsia="Arial" w:hAnsi="Arial" w:cs="Arial"/>
          <w:lang w:val="en-GB"/>
        </w:rPr>
      </w:pPr>
    </w:p>
    <w:p w14:paraId="24563038" w14:textId="3E4D45E8" w:rsidR="6910C863" w:rsidRDefault="6910C863" w:rsidP="32CAF5A6">
      <w:pPr>
        <w:rPr>
          <w:rFonts w:ascii="Arial" w:eastAsia="Arial" w:hAnsi="Arial" w:cs="Arial"/>
        </w:rPr>
      </w:pPr>
    </w:p>
    <w:p w14:paraId="38835165" w14:textId="0AE51C10" w:rsidR="6910C863" w:rsidRDefault="6910C863" w:rsidP="6910C863">
      <w:pPr>
        <w:rPr>
          <w:rFonts w:ascii="Arial" w:eastAsia="Arial" w:hAnsi="Arial" w:cs="Arial"/>
        </w:rPr>
      </w:pPr>
    </w:p>
    <w:p w14:paraId="51D296AB" w14:textId="5B3C0976" w:rsidR="7A30AC45" w:rsidRDefault="7A30AC45" w:rsidP="32CAF5A6">
      <w:pPr>
        <w:rPr>
          <w:rFonts w:ascii="Arial" w:eastAsia="Arial" w:hAnsi="Arial" w:cs="Arial"/>
          <w:u w:val="single"/>
        </w:rPr>
      </w:pPr>
      <w:r w:rsidRPr="32CAF5A6">
        <w:rPr>
          <w:rFonts w:ascii="Arial" w:eastAsia="Arial" w:hAnsi="Arial" w:cs="Arial"/>
          <w:u w:val="single"/>
        </w:rPr>
        <w:t>Case Law:</w:t>
      </w:r>
    </w:p>
    <w:p w14:paraId="725ACCB6" w14:textId="604E518F" w:rsidR="6F336E3E" w:rsidRDefault="6F336E3E" w:rsidP="32CAF5A6">
      <w:pPr>
        <w:rPr>
          <w:rFonts w:ascii="Arial" w:eastAsia="Arial" w:hAnsi="Arial" w:cs="Arial"/>
          <w:color w:val="000000" w:themeColor="text1"/>
        </w:rPr>
      </w:pPr>
      <w:r w:rsidRPr="32CAF5A6">
        <w:rPr>
          <w:rFonts w:ascii="Arial" w:eastAsia="Arial" w:hAnsi="Arial" w:cs="Arial"/>
          <w:color w:val="000000" w:themeColor="text1"/>
          <w:lang w:val="en-GB"/>
        </w:rPr>
        <w:t>Baker V Willoughby (1969) AC 467</w:t>
      </w:r>
    </w:p>
    <w:p w14:paraId="7257CFE8" w14:textId="2E4B1615" w:rsidR="6F336E3E" w:rsidRDefault="6F336E3E" w:rsidP="32CAF5A6">
      <w:pPr>
        <w:rPr>
          <w:rFonts w:ascii="Arial" w:eastAsia="Arial" w:hAnsi="Arial" w:cs="Arial"/>
          <w:color w:val="000000" w:themeColor="text1"/>
        </w:rPr>
      </w:pPr>
      <w:r w:rsidRPr="32CAF5A6">
        <w:rPr>
          <w:rFonts w:ascii="Arial" w:eastAsia="Arial" w:hAnsi="Arial" w:cs="Arial"/>
          <w:color w:val="000000" w:themeColor="text1"/>
          <w:lang w:val="en-GB"/>
        </w:rPr>
        <w:t xml:space="preserve">Barnett v </w:t>
      </w:r>
      <w:proofErr w:type="spellStart"/>
      <w:r w:rsidRPr="32CAF5A6">
        <w:rPr>
          <w:rFonts w:ascii="Arial" w:eastAsia="Arial" w:hAnsi="Arial" w:cs="Arial"/>
          <w:color w:val="000000" w:themeColor="text1"/>
          <w:lang w:val="en-GB"/>
        </w:rPr>
        <w:t>Chealsea</w:t>
      </w:r>
      <w:proofErr w:type="spellEnd"/>
      <w:r w:rsidRPr="32CAF5A6">
        <w:rPr>
          <w:rFonts w:ascii="Arial" w:eastAsia="Arial" w:hAnsi="Arial" w:cs="Arial"/>
          <w:color w:val="000000" w:themeColor="text1"/>
          <w:lang w:val="en-GB"/>
        </w:rPr>
        <w:t xml:space="preserve"> and Kensington Hospital Management Committee (1969)</w:t>
      </w:r>
    </w:p>
    <w:p w14:paraId="0B68D42A" w14:textId="1A61B3EB" w:rsidR="6F336E3E" w:rsidRDefault="6F336E3E" w:rsidP="32CAF5A6">
      <w:pPr>
        <w:rPr>
          <w:rFonts w:ascii="Arial" w:eastAsia="Arial" w:hAnsi="Arial" w:cs="Arial"/>
          <w:color w:val="000000" w:themeColor="text1"/>
        </w:rPr>
      </w:pPr>
      <w:proofErr w:type="spellStart"/>
      <w:r w:rsidRPr="32CAF5A6">
        <w:rPr>
          <w:rFonts w:ascii="Arial" w:eastAsia="Arial" w:hAnsi="Arial" w:cs="Arial"/>
          <w:color w:val="000000" w:themeColor="text1"/>
          <w:lang w:val="en-GB"/>
        </w:rPr>
        <w:t>Donoughe</w:t>
      </w:r>
      <w:proofErr w:type="spellEnd"/>
      <w:r w:rsidRPr="32CAF5A6">
        <w:rPr>
          <w:rFonts w:ascii="Arial" w:eastAsia="Arial" w:hAnsi="Arial" w:cs="Arial"/>
          <w:color w:val="000000" w:themeColor="text1"/>
          <w:lang w:val="en-GB"/>
        </w:rPr>
        <w:t xml:space="preserve"> v </w:t>
      </w:r>
      <w:proofErr w:type="spellStart"/>
      <w:r w:rsidRPr="32CAF5A6">
        <w:rPr>
          <w:rFonts w:ascii="Arial" w:eastAsia="Arial" w:hAnsi="Arial" w:cs="Arial"/>
          <w:color w:val="000000" w:themeColor="text1"/>
          <w:lang w:val="en-GB"/>
        </w:rPr>
        <w:t>Steveson</w:t>
      </w:r>
      <w:proofErr w:type="spellEnd"/>
      <w:r w:rsidRPr="32CAF5A6">
        <w:rPr>
          <w:rFonts w:ascii="Arial" w:eastAsia="Arial" w:hAnsi="Arial" w:cs="Arial"/>
          <w:color w:val="000000" w:themeColor="text1"/>
          <w:lang w:val="en-GB"/>
        </w:rPr>
        <w:t xml:space="preserve"> (1932)</w:t>
      </w:r>
    </w:p>
    <w:p w14:paraId="1DA5AA26" w14:textId="175554B0" w:rsidR="6F336E3E" w:rsidRDefault="6F336E3E" w:rsidP="32CAF5A6">
      <w:pPr>
        <w:rPr>
          <w:rFonts w:ascii="Arial" w:eastAsia="Arial" w:hAnsi="Arial" w:cs="Arial"/>
          <w:color w:val="000000" w:themeColor="text1"/>
        </w:rPr>
      </w:pPr>
      <w:r w:rsidRPr="32CAF5A6">
        <w:rPr>
          <w:rFonts w:ascii="Arial" w:eastAsia="Arial" w:hAnsi="Arial" w:cs="Arial"/>
          <w:color w:val="000000" w:themeColor="text1"/>
          <w:lang w:val="en-GB"/>
        </w:rPr>
        <w:t xml:space="preserve">Fairchild v  </w:t>
      </w:r>
      <w:proofErr w:type="spellStart"/>
      <w:r w:rsidRPr="32CAF5A6">
        <w:rPr>
          <w:rFonts w:ascii="Arial" w:eastAsia="Arial" w:hAnsi="Arial" w:cs="Arial"/>
          <w:color w:val="000000" w:themeColor="text1"/>
          <w:lang w:val="en-GB"/>
        </w:rPr>
        <w:t>Glenhaven</w:t>
      </w:r>
      <w:proofErr w:type="spellEnd"/>
      <w:r w:rsidRPr="32CAF5A6">
        <w:rPr>
          <w:rFonts w:ascii="Arial" w:eastAsia="Arial" w:hAnsi="Arial" w:cs="Arial"/>
          <w:color w:val="000000" w:themeColor="text1"/>
          <w:lang w:val="en-GB"/>
        </w:rPr>
        <w:t xml:space="preserve"> Funeral Services (2002) 3 AII ER 305</w:t>
      </w:r>
    </w:p>
    <w:p w14:paraId="14791AAD" w14:textId="6473FD9B" w:rsidR="6F336E3E" w:rsidRDefault="6F336E3E" w:rsidP="32CAF5A6">
      <w:pPr>
        <w:rPr>
          <w:rFonts w:ascii="Arial" w:eastAsia="Arial" w:hAnsi="Arial" w:cs="Arial"/>
          <w:color w:val="000000" w:themeColor="text1"/>
        </w:rPr>
      </w:pPr>
      <w:r w:rsidRPr="32CAF5A6">
        <w:rPr>
          <w:rFonts w:ascii="Arial" w:eastAsia="Arial" w:hAnsi="Arial" w:cs="Arial"/>
          <w:color w:val="000000" w:themeColor="text1"/>
          <w:lang w:val="en-GB"/>
        </w:rPr>
        <w:t>Home Office V Dorset Yacht Co Ltd (1970) AC 1004</w:t>
      </w:r>
    </w:p>
    <w:p w14:paraId="024917BE" w14:textId="197EC357" w:rsidR="6F336E3E" w:rsidRDefault="6F336E3E" w:rsidP="32CAF5A6">
      <w:pPr>
        <w:rPr>
          <w:rFonts w:ascii="Arial" w:eastAsia="Arial" w:hAnsi="Arial" w:cs="Arial"/>
          <w:color w:val="000000" w:themeColor="text1"/>
        </w:rPr>
      </w:pPr>
      <w:r w:rsidRPr="32CAF5A6">
        <w:rPr>
          <w:rFonts w:ascii="Arial" w:eastAsia="Arial" w:hAnsi="Arial" w:cs="Arial"/>
          <w:color w:val="000000" w:themeColor="text1"/>
          <w:lang w:val="en-GB"/>
        </w:rPr>
        <w:t>Reeves V Commissioner of Police for the Metropolis (2000) 1 AC 360</w:t>
      </w:r>
    </w:p>
    <w:p w14:paraId="4818FD38" w14:textId="0FEA7C88" w:rsidR="6F336E3E" w:rsidRDefault="6F336E3E" w:rsidP="32CAF5A6">
      <w:pPr>
        <w:rPr>
          <w:rFonts w:ascii="Arial" w:eastAsia="Arial" w:hAnsi="Arial" w:cs="Arial"/>
          <w:color w:val="000000" w:themeColor="text1"/>
        </w:rPr>
      </w:pPr>
      <w:r w:rsidRPr="32CAF5A6">
        <w:rPr>
          <w:rFonts w:ascii="Arial" w:eastAsia="Arial" w:hAnsi="Arial" w:cs="Arial"/>
          <w:color w:val="000000" w:themeColor="text1"/>
          <w:lang w:val="en-GB"/>
        </w:rPr>
        <w:t>Robinson v post office (1974) 2 AII ER 737</w:t>
      </w:r>
    </w:p>
    <w:p w14:paraId="2928524D" w14:textId="0E6083B2" w:rsidR="6F336E3E" w:rsidRDefault="6F336E3E" w:rsidP="32CAF5A6">
      <w:pPr>
        <w:rPr>
          <w:rFonts w:ascii="Arial" w:eastAsia="Arial" w:hAnsi="Arial" w:cs="Arial"/>
          <w:color w:val="000000" w:themeColor="text1"/>
        </w:rPr>
      </w:pPr>
      <w:proofErr w:type="spellStart"/>
      <w:r w:rsidRPr="32CAF5A6">
        <w:rPr>
          <w:rFonts w:ascii="Arial" w:eastAsia="Arial" w:hAnsi="Arial" w:cs="Arial"/>
          <w:color w:val="000000" w:themeColor="text1"/>
          <w:lang w:val="en-GB"/>
        </w:rPr>
        <w:t>Whilsher</w:t>
      </w:r>
      <w:proofErr w:type="spellEnd"/>
      <w:r w:rsidRPr="32CAF5A6">
        <w:rPr>
          <w:rFonts w:ascii="Arial" w:eastAsia="Arial" w:hAnsi="Arial" w:cs="Arial"/>
          <w:color w:val="000000" w:themeColor="text1"/>
          <w:lang w:val="en-GB"/>
        </w:rPr>
        <w:t xml:space="preserve"> V Essex Area Health Authority (1988)</w:t>
      </w:r>
    </w:p>
    <w:p w14:paraId="4030E8FC" w14:textId="37B1ABBF" w:rsidR="32CAF5A6" w:rsidRDefault="32CAF5A6" w:rsidP="32CAF5A6">
      <w:pPr>
        <w:rPr>
          <w:rFonts w:ascii="Arial" w:eastAsia="Arial" w:hAnsi="Arial" w:cs="Arial"/>
        </w:rPr>
      </w:pPr>
    </w:p>
    <w:sectPr w:rsidR="32CAF5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intelligence2.xml><?xml version="1.0" encoding="utf-8"?>
<int2:intelligence xmlns:int2="http://schemas.microsoft.com/office/intelligence/2020/intelligence" xmlns:oel="http://schemas.microsoft.com/office/2019/extlst">
  <int2:observations>
    <int2:textHash int2:hashCode="Io3FA2ttMTuuiN" int2:id="BQ5YIiT4">
      <int2:state int2:value="Rejected" int2:type="AugLoop_Text_Critique"/>
    </int2:textHash>
    <int2:textHash int2:hashCode="Bu7VkRvZ8+w4yc" int2:id="Y4pN7KZX">
      <int2:state int2:value="Rejected" int2:type="AugLoop_Text_Critique"/>
    </int2:textHash>
    <int2:textHash int2:hashCode="faixoCV5TgCbKl" int2:id="anjXjOZA">
      <int2:state int2:value="Rejected" int2:type="AugLoop_Text_Critique"/>
    </int2:textHash>
    <int2:textHash int2:hashCode="iIprbqnSGeYpPB" int2:id="uzXI4oPh">
      <int2:state int2:value="Rejected" int2:type="AugLoop_Text_Critique"/>
    </int2:textHash>
    <int2:bookmark int2:bookmarkName="_Int_rS5oB5XK" int2:invalidationBookmarkName="" int2:hashCode="cGB7lFgLDiGlgv" int2:id="aw61Rehx">
      <int2:state int2:value="Rejected" int2:type="AugLoop_Text_Critique"/>
    </int2:bookmark>
    <int2:bookmark int2:bookmarkName="_Int_u2TUrqDE" int2:invalidationBookmarkName="" int2:hashCode="QyrrgEMz/mvCKZ" int2:id="nCnodhfc">
      <int2:state int2:value="Rejected" int2:type="AugLoop_Text_Critique"/>
    </int2:bookmark>
    <int2:bookmark int2:bookmarkName="_Int_omqEl0uu" int2:invalidationBookmarkName="" int2:hashCode="p+UFE+s9FqxPO6" int2:id="qs2uN0SF">
      <int2:state int2:value="Rejected" int2:type="AugLoop_Text_Critique"/>
    </int2:bookmark>
    <int2:bookmark int2:bookmarkName="_Int_5xsUU3zV" int2:invalidationBookmarkName="" int2:hashCode="a2Elz8dU03M6CK" int2:id="tjJnuORF">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D4106E"/>
    <w:rsid w:val="002F28EB"/>
    <w:rsid w:val="00407BB9"/>
    <w:rsid w:val="0048A84F"/>
    <w:rsid w:val="00516227"/>
    <w:rsid w:val="005448B8"/>
    <w:rsid w:val="0056B284"/>
    <w:rsid w:val="00840612"/>
    <w:rsid w:val="008502D0"/>
    <w:rsid w:val="00945A88"/>
    <w:rsid w:val="009866B3"/>
    <w:rsid w:val="00A21A52"/>
    <w:rsid w:val="00A220B2"/>
    <w:rsid w:val="00B55F3F"/>
    <w:rsid w:val="00DF14B4"/>
    <w:rsid w:val="00EE4D3E"/>
    <w:rsid w:val="012EDB8B"/>
    <w:rsid w:val="014A7A82"/>
    <w:rsid w:val="017BB45F"/>
    <w:rsid w:val="019941CC"/>
    <w:rsid w:val="0206C2B5"/>
    <w:rsid w:val="020794CA"/>
    <w:rsid w:val="025B07B1"/>
    <w:rsid w:val="02662037"/>
    <w:rsid w:val="02D80F59"/>
    <w:rsid w:val="0400DE28"/>
    <w:rsid w:val="0415B698"/>
    <w:rsid w:val="04182457"/>
    <w:rsid w:val="0420D2A1"/>
    <w:rsid w:val="04A9C2DF"/>
    <w:rsid w:val="04BC81DE"/>
    <w:rsid w:val="04BEED39"/>
    <w:rsid w:val="04C5460D"/>
    <w:rsid w:val="04C6F74B"/>
    <w:rsid w:val="055735C5"/>
    <w:rsid w:val="056E7DCD"/>
    <w:rsid w:val="0599AD84"/>
    <w:rsid w:val="060C17B2"/>
    <w:rsid w:val="06140005"/>
    <w:rsid w:val="062697B8"/>
    <w:rsid w:val="062E5C36"/>
    <w:rsid w:val="06702F34"/>
    <w:rsid w:val="06767577"/>
    <w:rsid w:val="07720C0E"/>
    <w:rsid w:val="07F27E13"/>
    <w:rsid w:val="08378F51"/>
    <w:rsid w:val="08B96912"/>
    <w:rsid w:val="09B240F8"/>
    <w:rsid w:val="09B74381"/>
    <w:rsid w:val="09E7A380"/>
    <w:rsid w:val="0A2EDB72"/>
    <w:rsid w:val="0A9F812B"/>
    <w:rsid w:val="0B847611"/>
    <w:rsid w:val="0C417C4C"/>
    <w:rsid w:val="0C95D2D8"/>
    <w:rsid w:val="0C9C6353"/>
    <w:rsid w:val="0CD3FAC9"/>
    <w:rsid w:val="0CDAE874"/>
    <w:rsid w:val="0CF93211"/>
    <w:rsid w:val="0D8CE084"/>
    <w:rsid w:val="0E3E01D6"/>
    <w:rsid w:val="0E739E6B"/>
    <w:rsid w:val="0FCC5CA6"/>
    <w:rsid w:val="1003807E"/>
    <w:rsid w:val="1060EF9F"/>
    <w:rsid w:val="106591A6"/>
    <w:rsid w:val="10F7C17D"/>
    <w:rsid w:val="11AFD909"/>
    <w:rsid w:val="11EC45FA"/>
    <w:rsid w:val="1205FAA8"/>
    <w:rsid w:val="12295854"/>
    <w:rsid w:val="12A69152"/>
    <w:rsid w:val="131E7766"/>
    <w:rsid w:val="135842F3"/>
    <w:rsid w:val="136E9C8F"/>
    <w:rsid w:val="13EAD7C8"/>
    <w:rsid w:val="142586F0"/>
    <w:rsid w:val="143E36E8"/>
    <w:rsid w:val="1456D5CD"/>
    <w:rsid w:val="1597AFD8"/>
    <w:rsid w:val="15A26CCB"/>
    <w:rsid w:val="15D5924D"/>
    <w:rsid w:val="1646413E"/>
    <w:rsid w:val="16AF1B0E"/>
    <w:rsid w:val="170ADF5A"/>
    <w:rsid w:val="17959320"/>
    <w:rsid w:val="17AE992C"/>
    <w:rsid w:val="18661B69"/>
    <w:rsid w:val="1897D44A"/>
    <w:rsid w:val="19218DA2"/>
    <w:rsid w:val="19D4C0AA"/>
    <w:rsid w:val="1A25BC69"/>
    <w:rsid w:val="1A2BB240"/>
    <w:rsid w:val="1A696A1C"/>
    <w:rsid w:val="1A99620F"/>
    <w:rsid w:val="1AAF98B2"/>
    <w:rsid w:val="1AB7BFC5"/>
    <w:rsid w:val="1ADF0E8F"/>
    <w:rsid w:val="1BA3A812"/>
    <w:rsid w:val="1BCAAA30"/>
    <w:rsid w:val="1BFA487A"/>
    <w:rsid w:val="1C4CD3E5"/>
    <w:rsid w:val="1CBFC3C3"/>
    <w:rsid w:val="1D9E76B8"/>
    <w:rsid w:val="1DA32C88"/>
    <w:rsid w:val="1E27697B"/>
    <w:rsid w:val="202B1ADA"/>
    <w:rsid w:val="20CB67D3"/>
    <w:rsid w:val="21981147"/>
    <w:rsid w:val="2215CE97"/>
    <w:rsid w:val="222FB9B4"/>
    <w:rsid w:val="22717C40"/>
    <w:rsid w:val="228F0618"/>
    <w:rsid w:val="23398FD5"/>
    <w:rsid w:val="23608201"/>
    <w:rsid w:val="238EDB24"/>
    <w:rsid w:val="2396223C"/>
    <w:rsid w:val="23E60757"/>
    <w:rsid w:val="246274A3"/>
    <w:rsid w:val="24777D26"/>
    <w:rsid w:val="250C3BAD"/>
    <w:rsid w:val="251E0814"/>
    <w:rsid w:val="25524310"/>
    <w:rsid w:val="259CC83B"/>
    <w:rsid w:val="26580DD2"/>
    <w:rsid w:val="2692A440"/>
    <w:rsid w:val="26A07D29"/>
    <w:rsid w:val="26DA1A96"/>
    <w:rsid w:val="273A0897"/>
    <w:rsid w:val="27B6C9D8"/>
    <w:rsid w:val="27BF9183"/>
    <w:rsid w:val="28C7E6BD"/>
    <w:rsid w:val="29166F4F"/>
    <w:rsid w:val="2923AD76"/>
    <w:rsid w:val="293C8BCD"/>
    <w:rsid w:val="29690C27"/>
    <w:rsid w:val="29E8FE2E"/>
    <w:rsid w:val="2A45CC1A"/>
    <w:rsid w:val="2A464D3F"/>
    <w:rsid w:val="2A55B9F8"/>
    <w:rsid w:val="2A7FF864"/>
    <w:rsid w:val="2AF68710"/>
    <w:rsid w:val="2B57DB41"/>
    <w:rsid w:val="2B762B83"/>
    <w:rsid w:val="2BB722D5"/>
    <w:rsid w:val="2C3758A6"/>
    <w:rsid w:val="2C9DAC3C"/>
    <w:rsid w:val="2D142F13"/>
    <w:rsid w:val="2D4AEF8F"/>
    <w:rsid w:val="2DCF4D88"/>
    <w:rsid w:val="2E6F4E98"/>
    <w:rsid w:val="2E8C32DC"/>
    <w:rsid w:val="2ED7AD38"/>
    <w:rsid w:val="2F1B5009"/>
    <w:rsid w:val="2F303E52"/>
    <w:rsid w:val="2FE3CB71"/>
    <w:rsid w:val="302A7C9C"/>
    <w:rsid w:val="30F56A4E"/>
    <w:rsid w:val="3133FAAF"/>
    <w:rsid w:val="315C0F62"/>
    <w:rsid w:val="322C9749"/>
    <w:rsid w:val="329193DE"/>
    <w:rsid w:val="32AD11BA"/>
    <w:rsid w:val="32CAF5A6"/>
    <w:rsid w:val="33186A12"/>
    <w:rsid w:val="331A6744"/>
    <w:rsid w:val="3332559F"/>
    <w:rsid w:val="34188769"/>
    <w:rsid w:val="3448A3E6"/>
    <w:rsid w:val="349D133D"/>
    <w:rsid w:val="35081626"/>
    <w:rsid w:val="350F979B"/>
    <w:rsid w:val="35274F65"/>
    <w:rsid w:val="35403145"/>
    <w:rsid w:val="357AB03E"/>
    <w:rsid w:val="361FEC86"/>
    <w:rsid w:val="363FA8D3"/>
    <w:rsid w:val="36F182A7"/>
    <w:rsid w:val="37413DF4"/>
    <w:rsid w:val="375BFC96"/>
    <w:rsid w:val="37943351"/>
    <w:rsid w:val="37A0EBDA"/>
    <w:rsid w:val="3801D0F4"/>
    <w:rsid w:val="38062761"/>
    <w:rsid w:val="38576ABD"/>
    <w:rsid w:val="385DAF39"/>
    <w:rsid w:val="38B81668"/>
    <w:rsid w:val="38F6EF2F"/>
    <w:rsid w:val="39372B3E"/>
    <w:rsid w:val="39B3BDF2"/>
    <w:rsid w:val="3A672C26"/>
    <w:rsid w:val="3A90CA89"/>
    <w:rsid w:val="3B005292"/>
    <w:rsid w:val="3B8267E2"/>
    <w:rsid w:val="3BAA3D4F"/>
    <w:rsid w:val="3C35140E"/>
    <w:rsid w:val="3C4075E5"/>
    <w:rsid w:val="3CD9F37F"/>
    <w:rsid w:val="3D617335"/>
    <w:rsid w:val="3D7D0B0D"/>
    <w:rsid w:val="3D93E82F"/>
    <w:rsid w:val="3E310E27"/>
    <w:rsid w:val="3F64BA94"/>
    <w:rsid w:val="3FA0FFB9"/>
    <w:rsid w:val="3FD51984"/>
    <w:rsid w:val="3FEE6C63"/>
    <w:rsid w:val="401D6F47"/>
    <w:rsid w:val="4097B4BB"/>
    <w:rsid w:val="4099B502"/>
    <w:rsid w:val="40CBFE18"/>
    <w:rsid w:val="40F48B9F"/>
    <w:rsid w:val="42907BD4"/>
    <w:rsid w:val="42F50768"/>
    <w:rsid w:val="434E1D9B"/>
    <w:rsid w:val="43ACEA7C"/>
    <w:rsid w:val="44340AAB"/>
    <w:rsid w:val="449B4E9F"/>
    <w:rsid w:val="44F5CFAC"/>
    <w:rsid w:val="44FF1D1E"/>
    <w:rsid w:val="45D11747"/>
    <w:rsid w:val="45E3492E"/>
    <w:rsid w:val="467757FA"/>
    <w:rsid w:val="47AD8547"/>
    <w:rsid w:val="4818C28B"/>
    <w:rsid w:val="48A33223"/>
    <w:rsid w:val="48D083DA"/>
    <w:rsid w:val="48F8CE35"/>
    <w:rsid w:val="492198F7"/>
    <w:rsid w:val="4943E6AA"/>
    <w:rsid w:val="4A2AA732"/>
    <w:rsid w:val="4A479F2C"/>
    <w:rsid w:val="4B218198"/>
    <w:rsid w:val="4BA8B394"/>
    <w:rsid w:val="4BEB4CFA"/>
    <w:rsid w:val="4C14AD46"/>
    <w:rsid w:val="4C226678"/>
    <w:rsid w:val="4C804E6A"/>
    <w:rsid w:val="4CE9875D"/>
    <w:rsid w:val="4CF7A7DA"/>
    <w:rsid w:val="4D863CC7"/>
    <w:rsid w:val="4E269329"/>
    <w:rsid w:val="4ED8569E"/>
    <w:rsid w:val="4F27991D"/>
    <w:rsid w:val="4FD2B037"/>
    <w:rsid w:val="4FD4106E"/>
    <w:rsid w:val="4FD6A1BB"/>
    <w:rsid w:val="5024C317"/>
    <w:rsid w:val="5096AE71"/>
    <w:rsid w:val="50C5F263"/>
    <w:rsid w:val="50FBE03D"/>
    <w:rsid w:val="510BE2BB"/>
    <w:rsid w:val="51D36D3B"/>
    <w:rsid w:val="520442F6"/>
    <w:rsid w:val="5218074B"/>
    <w:rsid w:val="522B81C3"/>
    <w:rsid w:val="52BB9E02"/>
    <w:rsid w:val="53A6B638"/>
    <w:rsid w:val="54BB0BEF"/>
    <w:rsid w:val="54CB3647"/>
    <w:rsid w:val="55056D6C"/>
    <w:rsid w:val="5513307F"/>
    <w:rsid w:val="55A35467"/>
    <w:rsid w:val="561B8DB5"/>
    <w:rsid w:val="5681B432"/>
    <w:rsid w:val="575A6525"/>
    <w:rsid w:val="57934E1A"/>
    <w:rsid w:val="584C3DC8"/>
    <w:rsid w:val="590B1AF3"/>
    <w:rsid w:val="590CB33A"/>
    <w:rsid w:val="59287273"/>
    <w:rsid w:val="593DEADC"/>
    <w:rsid w:val="59782FE5"/>
    <w:rsid w:val="5AB790EF"/>
    <w:rsid w:val="5AEF942E"/>
    <w:rsid w:val="5B6F25D4"/>
    <w:rsid w:val="5BC8BABA"/>
    <w:rsid w:val="5C44328D"/>
    <w:rsid w:val="5C67562A"/>
    <w:rsid w:val="5C95B4ED"/>
    <w:rsid w:val="5CF491D1"/>
    <w:rsid w:val="5CF6CB06"/>
    <w:rsid w:val="5CFBDF9A"/>
    <w:rsid w:val="5D03506A"/>
    <w:rsid w:val="5D62C98D"/>
    <w:rsid w:val="5DFD60A0"/>
    <w:rsid w:val="5EFCC1F1"/>
    <w:rsid w:val="5F2C0EA4"/>
    <w:rsid w:val="6026CB29"/>
    <w:rsid w:val="60473485"/>
    <w:rsid w:val="6054F2D5"/>
    <w:rsid w:val="61043910"/>
    <w:rsid w:val="626B52EB"/>
    <w:rsid w:val="62CE3381"/>
    <w:rsid w:val="62CFDAE3"/>
    <w:rsid w:val="634556A8"/>
    <w:rsid w:val="634572A3"/>
    <w:rsid w:val="635E7E71"/>
    <w:rsid w:val="63D0E7AC"/>
    <w:rsid w:val="63EC0034"/>
    <w:rsid w:val="64019849"/>
    <w:rsid w:val="640377AB"/>
    <w:rsid w:val="64B0BFA2"/>
    <w:rsid w:val="65223001"/>
    <w:rsid w:val="6527C68F"/>
    <w:rsid w:val="6596AAFF"/>
    <w:rsid w:val="65D13498"/>
    <w:rsid w:val="665CF210"/>
    <w:rsid w:val="666717F1"/>
    <w:rsid w:val="66AFAC14"/>
    <w:rsid w:val="66FB232C"/>
    <w:rsid w:val="675EF74A"/>
    <w:rsid w:val="684BD964"/>
    <w:rsid w:val="68802D2B"/>
    <w:rsid w:val="68B772D9"/>
    <w:rsid w:val="6910C863"/>
    <w:rsid w:val="6999EE96"/>
    <w:rsid w:val="69EEA3B3"/>
    <w:rsid w:val="6A0A7E74"/>
    <w:rsid w:val="6A574F0A"/>
    <w:rsid w:val="6ACED07E"/>
    <w:rsid w:val="6ADE2009"/>
    <w:rsid w:val="6AF8FBEC"/>
    <w:rsid w:val="6B490670"/>
    <w:rsid w:val="6B5E19E7"/>
    <w:rsid w:val="6BD7372A"/>
    <w:rsid w:val="6BF79C37"/>
    <w:rsid w:val="6C4CE24F"/>
    <w:rsid w:val="6C653D65"/>
    <w:rsid w:val="6CA99337"/>
    <w:rsid w:val="6CBA7028"/>
    <w:rsid w:val="6DD1E23A"/>
    <w:rsid w:val="6E3A62F0"/>
    <w:rsid w:val="6E85DE60"/>
    <w:rsid w:val="6E9E2333"/>
    <w:rsid w:val="6EFEF694"/>
    <w:rsid w:val="6F336E3E"/>
    <w:rsid w:val="6F387E7F"/>
    <w:rsid w:val="6F8E8252"/>
    <w:rsid w:val="6FAA4817"/>
    <w:rsid w:val="70939B4E"/>
    <w:rsid w:val="7126756B"/>
    <w:rsid w:val="71574164"/>
    <w:rsid w:val="71BDDDC9"/>
    <w:rsid w:val="7291E643"/>
    <w:rsid w:val="73840C80"/>
    <w:rsid w:val="738C1865"/>
    <w:rsid w:val="73B7CD7B"/>
    <w:rsid w:val="748BAF04"/>
    <w:rsid w:val="74D08840"/>
    <w:rsid w:val="74DD23FC"/>
    <w:rsid w:val="7524C80F"/>
    <w:rsid w:val="753C1C36"/>
    <w:rsid w:val="75403687"/>
    <w:rsid w:val="754BC1B3"/>
    <w:rsid w:val="756862D9"/>
    <w:rsid w:val="7598586A"/>
    <w:rsid w:val="75FBF404"/>
    <w:rsid w:val="760EF5A8"/>
    <w:rsid w:val="766EE91A"/>
    <w:rsid w:val="76768F06"/>
    <w:rsid w:val="7698EF95"/>
    <w:rsid w:val="78CF25AD"/>
    <w:rsid w:val="78EB2B48"/>
    <w:rsid w:val="79435BFC"/>
    <w:rsid w:val="795F0C22"/>
    <w:rsid w:val="79AD992B"/>
    <w:rsid w:val="79C9DFB1"/>
    <w:rsid w:val="7A30AC45"/>
    <w:rsid w:val="7AA51432"/>
    <w:rsid w:val="7B0C5B26"/>
    <w:rsid w:val="7B2BA486"/>
    <w:rsid w:val="7B463423"/>
    <w:rsid w:val="7BD42C94"/>
    <w:rsid w:val="7C8AAFFC"/>
    <w:rsid w:val="7CF1F08A"/>
    <w:rsid w:val="7D313FFC"/>
    <w:rsid w:val="7D466518"/>
    <w:rsid w:val="7D4F070A"/>
    <w:rsid w:val="7D9CF370"/>
    <w:rsid w:val="7DD5BC3A"/>
    <w:rsid w:val="7DDE3FB3"/>
    <w:rsid w:val="7E45D748"/>
    <w:rsid w:val="7F2C76FA"/>
    <w:rsid w:val="7F5BB595"/>
    <w:rsid w:val="7F958F4D"/>
    <w:rsid w:val="7FF11F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4106E"/>
  <w15:chartTrackingRefBased/>
  <w15:docId w15:val="{6AC1A5E6-1A4E-4FBF-8C8F-508C43184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macintosh"/>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oxfordreference.com/display/10.1093/acref/9780199551248.001.0001/acref-978019955124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1834</Words>
  <Characters>10459</Characters>
  <Application>Microsoft Office Word</Application>
  <DocSecurity>4</DocSecurity>
  <Lines>87</Lines>
  <Paragraphs>24</Paragraphs>
  <ScaleCrop>false</ScaleCrop>
  <Company/>
  <LinksUpToDate>false</LinksUpToDate>
  <CharactersWithSpaces>12269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Oliver (2305145)</dc:creator>
  <cp:keywords/>
  <dc:description/>
  <cp:lastModifiedBy>Ffion Oliver (2305145)</cp:lastModifiedBy>
  <cp:revision>7</cp:revision>
  <dcterms:created xsi:type="dcterms:W3CDTF">2024-11-08T03:36:00Z</dcterms:created>
  <dcterms:modified xsi:type="dcterms:W3CDTF">2024-11-08T19:39:00Z</dcterms:modified>
</cp:coreProperties>
</file>