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96BCE" w14:textId="223BE28C" w:rsidR="00C95B6A" w:rsidRPr="002B78D6" w:rsidRDefault="007E7860" w:rsidP="00E92B1B">
      <w:pPr>
        <w:rPr>
          <w:rFonts w:ascii="Times New Roman" w:hAnsi="Times New Roman" w:cs="Times New Roman"/>
          <w:b/>
          <w:bCs/>
          <w:sz w:val="24"/>
          <w:szCs w:val="24"/>
        </w:rPr>
      </w:pPr>
      <w:r w:rsidRPr="002B78D6">
        <w:rPr>
          <w:rFonts w:ascii="Times New Roman" w:hAnsi="Times New Roman" w:cs="Times New Roman"/>
          <w:b/>
          <w:bCs/>
          <w:sz w:val="24"/>
          <w:szCs w:val="24"/>
        </w:rPr>
        <w:t>THE FISHER EFFECT</w:t>
      </w:r>
    </w:p>
    <w:p w14:paraId="6E6ECAF5" w14:textId="2B6CF864" w:rsidR="007E7860" w:rsidRPr="002B78D6" w:rsidRDefault="007E7860" w:rsidP="00E92B1B">
      <w:pPr>
        <w:rPr>
          <w:rFonts w:ascii="Times New Roman" w:hAnsi="Times New Roman" w:cs="Times New Roman"/>
          <w:b/>
          <w:bCs/>
          <w:sz w:val="24"/>
          <w:szCs w:val="24"/>
        </w:rPr>
      </w:pPr>
    </w:p>
    <w:p w14:paraId="3F2E9A94" w14:textId="77777777" w:rsidR="007E7860" w:rsidRPr="002B78D6" w:rsidRDefault="007E7860" w:rsidP="00E92B1B">
      <w:pPr>
        <w:rPr>
          <w:rFonts w:ascii="Times New Roman" w:eastAsia="Times New Roman" w:hAnsi="Times New Roman" w:cs="Times New Roman"/>
          <w:b/>
          <w:bCs/>
          <w:sz w:val="24"/>
          <w:szCs w:val="24"/>
          <w:lang w:eastAsia="en-GB"/>
        </w:rPr>
      </w:pPr>
      <w:r w:rsidRPr="002B78D6">
        <w:rPr>
          <w:rFonts w:ascii="Times New Roman" w:eastAsia="Times New Roman" w:hAnsi="Times New Roman" w:cs="Times New Roman"/>
          <w:b/>
          <w:bCs/>
          <w:sz w:val="24"/>
          <w:szCs w:val="24"/>
          <w:lang w:eastAsia="en-GB"/>
        </w:rPr>
        <w:t xml:space="preserve">What Is the Fisher Effect? </w:t>
      </w:r>
    </w:p>
    <w:p w14:paraId="79ECFE19" w14:textId="77777777" w:rsidR="007E7860" w:rsidRPr="00E92B1B" w:rsidRDefault="007E7860" w:rsidP="00E92B1B">
      <w:pPr>
        <w:rPr>
          <w:rFonts w:ascii="Times New Roman" w:eastAsia="Times New Roman" w:hAnsi="Times New Roman" w:cs="Times New Roman"/>
          <w:sz w:val="24"/>
          <w:szCs w:val="24"/>
          <w:lang w:eastAsia="en-GB"/>
        </w:rPr>
      </w:pPr>
      <w:r w:rsidRPr="00E92B1B">
        <w:rPr>
          <w:rFonts w:ascii="Times New Roman" w:eastAsia="Times New Roman" w:hAnsi="Times New Roman" w:cs="Times New Roman"/>
          <w:sz w:val="24"/>
          <w:szCs w:val="24"/>
          <w:lang w:eastAsia="en-GB"/>
        </w:rPr>
        <w:t xml:space="preserve">The Fisher Effect is an economic theory created by economist Irving Fisher that describes the relationship between inflation and both real and nominal interest rates. The Fisher Effect states that the </w:t>
      </w:r>
      <w:hyperlink r:id="rId4" w:history="1">
        <w:r w:rsidRPr="00E92B1B">
          <w:rPr>
            <w:rFonts w:ascii="Times New Roman" w:eastAsia="Times New Roman" w:hAnsi="Times New Roman" w:cs="Times New Roman"/>
            <w:sz w:val="24"/>
            <w:szCs w:val="24"/>
            <w:lang w:eastAsia="en-GB"/>
          </w:rPr>
          <w:t>real interest rate</w:t>
        </w:r>
      </w:hyperlink>
      <w:r w:rsidRPr="00E92B1B">
        <w:rPr>
          <w:rFonts w:ascii="Times New Roman" w:eastAsia="Times New Roman" w:hAnsi="Times New Roman" w:cs="Times New Roman"/>
          <w:sz w:val="24"/>
          <w:szCs w:val="24"/>
          <w:lang w:eastAsia="en-GB"/>
        </w:rPr>
        <w:t xml:space="preserve"> equals the </w:t>
      </w:r>
      <w:hyperlink r:id="rId5" w:history="1">
        <w:r w:rsidRPr="00E92B1B">
          <w:rPr>
            <w:rFonts w:ascii="Times New Roman" w:eastAsia="Times New Roman" w:hAnsi="Times New Roman" w:cs="Times New Roman"/>
            <w:sz w:val="24"/>
            <w:szCs w:val="24"/>
            <w:lang w:eastAsia="en-GB"/>
          </w:rPr>
          <w:t>nominal interest rate</w:t>
        </w:r>
      </w:hyperlink>
      <w:r w:rsidRPr="00E92B1B">
        <w:rPr>
          <w:rFonts w:ascii="Times New Roman" w:eastAsia="Times New Roman" w:hAnsi="Times New Roman" w:cs="Times New Roman"/>
          <w:sz w:val="24"/>
          <w:szCs w:val="24"/>
          <w:lang w:eastAsia="en-GB"/>
        </w:rPr>
        <w:t xml:space="preserve"> minus the expected inflation rate. Therefore, real interest rates fall as inflation increases, unless nominal rates increase at the same rate as inflation.</w:t>
      </w:r>
    </w:p>
    <w:p w14:paraId="4680E315" w14:textId="77777777" w:rsidR="007E7860" w:rsidRPr="002B78D6" w:rsidRDefault="007E7860" w:rsidP="00E92B1B">
      <w:pPr>
        <w:rPr>
          <w:rFonts w:ascii="Times New Roman" w:eastAsia="Times New Roman" w:hAnsi="Times New Roman" w:cs="Times New Roman"/>
          <w:b/>
          <w:bCs/>
          <w:sz w:val="24"/>
          <w:szCs w:val="24"/>
          <w:lang w:eastAsia="en-GB"/>
        </w:rPr>
      </w:pPr>
      <w:r w:rsidRPr="002B78D6">
        <w:rPr>
          <w:rFonts w:ascii="Times New Roman" w:eastAsia="Times New Roman" w:hAnsi="Times New Roman" w:cs="Times New Roman"/>
          <w:b/>
          <w:bCs/>
          <w:sz w:val="24"/>
          <w:szCs w:val="24"/>
          <w:lang w:eastAsia="en-GB"/>
        </w:rPr>
        <w:t xml:space="preserve">The Basics </w:t>
      </w:r>
      <w:proofErr w:type="gramStart"/>
      <w:r w:rsidRPr="002B78D6">
        <w:rPr>
          <w:rFonts w:ascii="Times New Roman" w:eastAsia="Times New Roman" w:hAnsi="Times New Roman" w:cs="Times New Roman"/>
          <w:b/>
          <w:bCs/>
          <w:sz w:val="24"/>
          <w:szCs w:val="24"/>
          <w:lang w:eastAsia="en-GB"/>
        </w:rPr>
        <w:t>Of</w:t>
      </w:r>
      <w:proofErr w:type="gramEnd"/>
      <w:r w:rsidRPr="002B78D6">
        <w:rPr>
          <w:rFonts w:ascii="Times New Roman" w:eastAsia="Times New Roman" w:hAnsi="Times New Roman" w:cs="Times New Roman"/>
          <w:b/>
          <w:bCs/>
          <w:sz w:val="24"/>
          <w:szCs w:val="24"/>
          <w:lang w:eastAsia="en-GB"/>
        </w:rPr>
        <w:t xml:space="preserve"> the Fisher Effect </w:t>
      </w:r>
    </w:p>
    <w:p w14:paraId="599483BB" w14:textId="77777777" w:rsidR="007E7860" w:rsidRPr="00E92B1B" w:rsidRDefault="007E7860" w:rsidP="00E92B1B">
      <w:pPr>
        <w:rPr>
          <w:rFonts w:ascii="Times New Roman" w:eastAsia="Times New Roman" w:hAnsi="Times New Roman" w:cs="Times New Roman"/>
          <w:sz w:val="24"/>
          <w:szCs w:val="24"/>
          <w:lang w:eastAsia="en-GB"/>
        </w:rPr>
      </w:pPr>
      <w:r w:rsidRPr="00E92B1B">
        <w:rPr>
          <w:rFonts w:ascii="Times New Roman" w:eastAsia="Times New Roman" w:hAnsi="Times New Roman" w:cs="Times New Roman"/>
          <w:sz w:val="24"/>
          <w:szCs w:val="24"/>
          <w:lang w:eastAsia="en-GB"/>
        </w:rPr>
        <w:t>Fisher's equation reflects that the real interest rate can be taken by subtracting the expected inflation rate from the nominal interest rate. In this equation, all the provided rates are compounded.</w:t>
      </w:r>
    </w:p>
    <w:p w14:paraId="318E7460" w14:textId="77777777" w:rsidR="007E7860" w:rsidRPr="002B78D6" w:rsidRDefault="007E7860" w:rsidP="00E92B1B">
      <w:pPr>
        <w:rPr>
          <w:rFonts w:ascii="Times New Roman" w:eastAsia="Times New Roman" w:hAnsi="Times New Roman" w:cs="Times New Roman"/>
          <w:b/>
          <w:bCs/>
          <w:sz w:val="24"/>
          <w:szCs w:val="24"/>
          <w:lang w:eastAsia="en-GB"/>
        </w:rPr>
      </w:pPr>
      <w:r w:rsidRPr="00E92B1B">
        <w:rPr>
          <w:rFonts w:ascii="Times New Roman" w:eastAsia="Times New Roman" w:hAnsi="Times New Roman" w:cs="Times New Roman"/>
          <w:sz w:val="24"/>
          <w:szCs w:val="24"/>
          <w:lang w:eastAsia="en-GB"/>
        </w:rPr>
        <w:t xml:space="preserve">The Fisher Effect can be seen each time you go to the bank; the interest </w:t>
      </w:r>
      <w:proofErr w:type="gramStart"/>
      <w:r w:rsidRPr="00E92B1B">
        <w:rPr>
          <w:rFonts w:ascii="Times New Roman" w:eastAsia="Times New Roman" w:hAnsi="Times New Roman" w:cs="Times New Roman"/>
          <w:sz w:val="24"/>
          <w:szCs w:val="24"/>
          <w:lang w:eastAsia="en-GB"/>
        </w:rPr>
        <w:t>rate</w:t>
      </w:r>
      <w:proofErr w:type="gramEnd"/>
      <w:r w:rsidRPr="00E92B1B">
        <w:rPr>
          <w:rFonts w:ascii="Times New Roman" w:eastAsia="Times New Roman" w:hAnsi="Times New Roman" w:cs="Times New Roman"/>
          <w:sz w:val="24"/>
          <w:szCs w:val="24"/>
          <w:lang w:eastAsia="en-GB"/>
        </w:rPr>
        <w:t xml:space="preserve"> an investor has on a savings account is really the nominal interest rate. For example, if the nominal interest rate on a savings account is 4% and the expected </w:t>
      </w:r>
      <w:hyperlink r:id="rId6" w:history="1">
        <w:r w:rsidRPr="00E92B1B">
          <w:rPr>
            <w:rFonts w:ascii="Times New Roman" w:eastAsia="Times New Roman" w:hAnsi="Times New Roman" w:cs="Times New Roman"/>
            <w:sz w:val="24"/>
            <w:szCs w:val="24"/>
            <w:lang w:eastAsia="en-GB"/>
          </w:rPr>
          <w:t>rate of inflation</w:t>
        </w:r>
      </w:hyperlink>
      <w:r w:rsidRPr="00E92B1B">
        <w:rPr>
          <w:rFonts w:ascii="Times New Roman" w:eastAsia="Times New Roman" w:hAnsi="Times New Roman" w:cs="Times New Roman"/>
          <w:sz w:val="24"/>
          <w:szCs w:val="24"/>
          <w:lang w:eastAsia="en-GB"/>
        </w:rPr>
        <w:t xml:space="preserve"> is 3%, then the money in the savings account is really growing at 1%. The smaller the real interest rate, the longer it will take for savings deposits to grow substantially when observed from a purchasing power perspective.</w:t>
      </w:r>
    </w:p>
    <w:p w14:paraId="1851681D" w14:textId="77777777" w:rsidR="007E7860" w:rsidRPr="002B78D6" w:rsidRDefault="007E7860" w:rsidP="00E92B1B">
      <w:pPr>
        <w:rPr>
          <w:rFonts w:ascii="Times New Roman" w:eastAsia="Times New Roman" w:hAnsi="Times New Roman" w:cs="Times New Roman"/>
          <w:b/>
          <w:bCs/>
          <w:sz w:val="24"/>
          <w:szCs w:val="24"/>
          <w:lang w:eastAsia="en-GB"/>
        </w:rPr>
      </w:pPr>
      <w:r w:rsidRPr="002B78D6">
        <w:rPr>
          <w:rFonts w:ascii="Times New Roman" w:eastAsia="Times New Roman" w:hAnsi="Times New Roman" w:cs="Times New Roman"/>
          <w:b/>
          <w:bCs/>
          <w:sz w:val="24"/>
          <w:szCs w:val="24"/>
          <w:lang w:eastAsia="en-GB"/>
        </w:rPr>
        <w:t xml:space="preserve">What Is Interest Rate Parity (IRP)? </w:t>
      </w:r>
    </w:p>
    <w:p w14:paraId="0613CD6C" w14:textId="77777777" w:rsidR="007E7860" w:rsidRPr="00E92B1B" w:rsidRDefault="007E7860" w:rsidP="00E92B1B">
      <w:pPr>
        <w:rPr>
          <w:rFonts w:ascii="Times New Roman" w:eastAsia="Times New Roman" w:hAnsi="Times New Roman" w:cs="Times New Roman"/>
          <w:sz w:val="24"/>
          <w:szCs w:val="24"/>
          <w:lang w:eastAsia="en-GB"/>
        </w:rPr>
      </w:pPr>
      <w:r w:rsidRPr="00E92B1B">
        <w:rPr>
          <w:rFonts w:ascii="Times New Roman" w:eastAsia="Times New Roman" w:hAnsi="Times New Roman" w:cs="Times New Roman"/>
          <w:sz w:val="24"/>
          <w:szCs w:val="24"/>
          <w:lang w:eastAsia="en-GB"/>
        </w:rPr>
        <w:t xml:space="preserve">Interest rate parity (IRP) is a theory in which the </w:t>
      </w:r>
      <w:hyperlink r:id="rId7" w:history="1">
        <w:r w:rsidRPr="00E92B1B">
          <w:rPr>
            <w:rFonts w:ascii="Times New Roman" w:eastAsia="Times New Roman" w:hAnsi="Times New Roman" w:cs="Times New Roman"/>
            <w:sz w:val="24"/>
            <w:szCs w:val="24"/>
            <w:lang w:eastAsia="en-GB"/>
          </w:rPr>
          <w:t>interest rate differential</w:t>
        </w:r>
      </w:hyperlink>
      <w:r w:rsidRPr="00E92B1B">
        <w:rPr>
          <w:rFonts w:ascii="Times New Roman" w:eastAsia="Times New Roman" w:hAnsi="Times New Roman" w:cs="Times New Roman"/>
          <w:sz w:val="24"/>
          <w:szCs w:val="24"/>
          <w:lang w:eastAsia="en-GB"/>
        </w:rPr>
        <w:t xml:space="preserve"> between two countries is equal to the differential between the forward exchange rate and the </w:t>
      </w:r>
      <w:hyperlink r:id="rId8" w:history="1">
        <w:r w:rsidRPr="00E92B1B">
          <w:rPr>
            <w:rFonts w:ascii="Times New Roman" w:eastAsia="Times New Roman" w:hAnsi="Times New Roman" w:cs="Times New Roman"/>
            <w:sz w:val="24"/>
            <w:szCs w:val="24"/>
            <w:lang w:eastAsia="en-GB"/>
          </w:rPr>
          <w:t>spot exchange rate</w:t>
        </w:r>
      </w:hyperlink>
      <w:r w:rsidRPr="00E92B1B">
        <w:rPr>
          <w:rFonts w:ascii="Times New Roman" w:eastAsia="Times New Roman" w:hAnsi="Times New Roman" w:cs="Times New Roman"/>
          <w:sz w:val="24"/>
          <w:szCs w:val="24"/>
          <w:lang w:eastAsia="en-GB"/>
        </w:rPr>
        <w:t>. Interest rate parity plays an essential role in foreign exchange markets, connecting interest rates, spot exchange rates and foreign exchange rates</w:t>
      </w:r>
    </w:p>
    <w:p w14:paraId="0888CDD5" w14:textId="6208A7FF" w:rsidR="007E7860" w:rsidRPr="002B78D6" w:rsidRDefault="007E7860" w:rsidP="00E92B1B">
      <w:pPr>
        <w:rPr>
          <w:rFonts w:ascii="Times New Roman" w:eastAsia="Times New Roman" w:hAnsi="Times New Roman" w:cs="Times New Roman"/>
          <w:b/>
          <w:bCs/>
          <w:sz w:val="24"/>
          <w:szCs w:val="24"/>
          <w:lang w:val="en" w:eastAsia="en-GB"/>
        </w:rPr>
      </w:pPr>
      <w:r w:rsidRPr="00E92B1B">
        <w:rPr>
          <w:rStyle w:val="vlist-s"/>
          <w:rFonts w:ascii="Times New Roman" w:hAnsi="Times New Roman" w:cs="Times New Roman"/>
          <w:sz w:val="24"/>
          <w:szCs w:val="24"/>
        </w:rPr>
        <w:t>​</w:t>
      </w:r>
    </w:p>
    <w:p w14:paraId="2BF09C26" w14:textId="77777777" w:rsidR="007E7860" w:rsidRPr="002B78D6" w:rsidRDefault="007E7860" w:rsidP="00E92B1B">
      <w:pPr>
        <w:rPr>
          <w:rFonts w:ascii="Times New Roman" w:eastAsia="Times New Roman" w:hAnsi="Times New Roman" w:cs="Times New Roman"/>
          <w:b/>
          <w:bCs/>
          <w:sz w:val="24"/>
          <w:szCs w:val="24"/>
          <w:lang w:val="en" w:eastAsia="en-GB"/>
        </w:rPr>
      </w:pPr>
      <w:r w:rsidRPr="002B78D6">
        <w:rPr>
          <w:rFonts w:ascii="Times New Roman" w:eastAsia="Times New Roman" w:hAnsi="Times New Roman" w:cs="Times New Roman"/>
          <w:b/>
          <w:bCs/>
          <w:sz w:val="24"/>
          <w:szCs w:val="24"/>
          <w:lang w:val="en" w:eastAsia="en-GB"/>
        </w:rPr>
        <w:t xml:space="preserve">How to Calculate Interest Rate Parity (IRP) </w:t>
      </w:r>
    </w:p>
    <w:p w14:paraId="48A31793" w14:textId="6EF80F23" w:rsidR="007E7860" w:rsidRPr="00E92B1B" w:rsidRDefault="007E7860" w:rsidP="00E92B1B">
      <w:pPr>
        <w:rPr>
          <w:rFonts w:ascii="Times New Roman" w:eastAsia="Times New Roman" w:hAnsi="Times New Roman" w:cs="Times New Roman"/>
          <w:sz w:val="24"/>
          <w:szCs w:val="24"/>
          <w:lang w:val="en" w:eastAsia="en-GB"/>
        </w:rPr>
      </w:pPr>
      <w:hyperlink r:id="rId9" w:history="1">
        <w:r w:rsidRPr="00E92B1B">
          <w:rPr>
            <w:rFonts w:ascii="Times New Roman" w:eastAsia="Times New Roman" w:hAnsi="Times New Roman" w:cs="Times New Roman"/>
            <w:sz w:val="24"/>
            <w:szCs w:val="24"/>
            <w:lang w:val="en" w:eastAsia="en-GB"/>
          </w:rPr>
          <w:t>Forward exchange rates</w:t>
        </w:r>
      </w:hyperlink>
      <w:r w:rsidRPr="00E92B1B">
        <w:rPr>
          <w:rFonts w:ascii="Times New Roman" w:eastAsia="Times New Roman" w:hAnsi="Times New Roman" w:cs="Times New Roman"/>
          <w:sz w:val="24"/>
          <w:szCs w:val="24"/>
          <w:lang w:val="en" w:eastAsia="en-GB"/>
        </w:rPr>
        <w:t xml:space="preserve"> for currencies are exchange rates at a future point in time, as opposed to spot exchange rates, which are current rates. An understanding of forward rates is fundamental to interest rate parity</w:t>
      </w:r>
      <w:r w:rsidRPr="00E92B1B">
        <w:rPr>
          <w:rFonts w:ascii="Times New Roman" w:eastAsia="Times New Roman" w:hAnsi="Times New Roman" w:cs="Times New Roman"/>
          <w:sz w:val="24"/>
          <w:szCs w:val="24"/>
          <w:lang w:val="en" w:eastAsia="en-GB"/>
        </w:rPr>
        <w:t>.</w:t>
      </w:r>
    </w:p>
    <w:p w14:paraId="33CC3DF7" w14:textId="77777777" w:rsidR="007E7860" w:rsidRPr="00E92B1B" w:rsidRDefault="007E7860" w:rsidP="00E92B1B">
      <w:pPr>
        <w:rPr>
          <w:rFonts w:ascii="Times New Roman" w:eastAsia="Times New Roman" w:hAnsi="Times New Roman" w:cs="Times New Roman"/>
          <w:sz w:val="24"/>
          <w:szCs w:val="24"/>
          <w:lang w:val="en" w:eastAsia="en-GB"/>
        </w:rPr>
      </w:pPr>
      <w:r w:rsidRPr="00E92B1B">
        <w:rPr>
          <w:rFonts w:ascii="Times New Roman" w:eastAsia="Times New Roman" w:hAnsi="Times New Roman" w:cs="Times New Roman"/>
          <w:sz w:val="24"/>
          <w:szCs w:val="24"/>
          <w:lang w:val="en" w:eastAsia="en-GB"/>
        </w:rPr>
        <w:t>Forward rates are available from banks and currency dealers for periods ranging from less than a week to as far out as five years and beyond. As with spot currency quotations, forwards are quoted with a bid-ask spread.</w:t>
      </w:r>
    </w:p>
    <w:p w14:paraId="3D720539" w14:textId="77777777" w:rsidR="007E7860" w:rsidRPr="00E92B1B" w:rsidRDefault="007E7860" w:rsidP="00E92B1B">
      <w:pPr>
        <w:rPr>
          <w:rFonts w:ascii="Times New Roman" w:eastAsia="Times New Roman" w:hAnsi="Times New Roman" w:cs="Times New Roman"/>
          <w:sz w:val="24"/>
          <w:szCs w:val="24"/>
          <w:lang w:val="en" w:eastAsia="en-GB"/>
        </w:rPr>
      </w:pPr>
      <w:r w:rsidRPr="00E92B1B">
        <w:rPr>
          <w:rFonts w:ascii="Times New Roman" w:eastAsia="Times New Roman" w:hAnsi="Times New Roman" w:cs="Times New Roman"/>
          <w:sz w:val="24"/>
          <w:szCs w:val="24"/>
          <w:lang w:val="en" w:eastAsia="en-GB"/>
        </w:rPr>
        <w:t>The difference between the forward rate and spot rate is known as swap points. If this difference (forward rate minus spot rate) is positive, it is known as a </w:t>
      </w:r>
      <w:r w:rsidRPr="00E92B1B">
        <w:rPr>
          <w:rFonts w:ascii="Times New Roman" w:eastAsia="Times New Roman" w:hAnsi="Times New Roman" w:cs="Times New Roman"/>
          <w:i/>
          <w:iCs/>
          <w:sz w:val="24"/>
          <w:szCs w:val="24"/>
          <w:lang w:val="en" w:eastAsia="en-GB"/>
        </w:rPr>
        <w:t>forward premium;</w:t>
      </w:r>
      <w:r w:rsidRPr="00E92B1B">
        <w:rPr>
          <w:rFonts w:ascii="Times New Roman" w:eastAsia="Times New Roman" w:hAnsi="Times New Roman" w:cs="Times New Roman"/>
          <w:sz w:val="24"/>
          <w:szCs w:val="24"/>
          <w:lang w:val="en" w:eastAsia="en-GB"/>
        </w:rPr>
        <w:t> a negative difference is termed a </w:t>
      </w:r>
      <w:r w:rsidRPr="00E92B1B">
        <w:rPr>
          <w:rFonts w:ascii="Times New Roman" w:eastAsia="Times New Roman" w:hAnsi="Times New Roman" w:cs="Times New Roman"/>
          <w:i/>
          <w:iCs/>
          <w:sz w:val="24"/>
          <w:szCs w:val="24"/>
          <w:lang w:val="en" w:eastAsia="en-GB"/>
        </w:rPr>
        <w:t>forward discount.</w:t>
      </w:r>
    </w:p>
    <w:p w14:paraId="5A3F230A" w14:textId="77777777" w:rsidR="007E7860" w:rsidRPr="00E92B1B" w:rsidRDefault="007E7860" w:rsidP="00E92B1B">
      <w:pPr>
        <w:rPr>
          <w:rFonts w:ascii="Times New Roman" w:eastAsia="Times New Roman" w:hAnsi="Times New Roman" w:cs="Times New Roman"/>
          <w:sz w:val="24"/>
          <w:szCs w:val="24"/>
          <w:lang w:val="en" w:eastAsia="en-GB"/>
        </w:rPr>
      </w:pPr>
      <w:r w:rsidRPr="00E92B1B">
        <w:rPr>
          <w:rFonts w:ascii="Times New Roman" w:eastAsia="Times New Roman" w:hAnsi="Times New Roman" w:cs="Times New Roman"/>
          <w:sz w:val="24"/>
          <w:szCs w:val="24"/>
          <w:lang w:val="en" w:eastAsia="en-GB"/>
        </w:rPr>
        <w:t>A currency with lower interest rates will trade at a forward premium in relation to a currency with a higher interest rate. For example, the U.S. dollar typically trades at a forward premium against the Canadian dollar; conversely, the Canadian dollar trades at a forward discount versus the U.S. dollar.</w:t>
      </w:r>
    </w:p>
    <w:p w14:paraId="43300D7A" w14:textId="77777777" w:rsidR="007E7860" w:rsidRPr="002B78D6" w:rsidRDefault="007E7860" w:rsidP="00E92B1B">
      <w:pPr>
        <w:rPr>
          <w:rFonts w:ascii="Times New Roman" w:eastAsia="Times New Roman" w:hAnsi="Times New Roman" w:cs="Times New Roman"/>
          <w:b/>
          <w:bCs/>
          <w:sz w:val="24"/>
          <w:szCs w:val="24"/>
          <w:lang w:val="en" w:eastAsia="en-GB"/>
        </w:rPr>
      </w:pPr>
      <w:r w:rsidRPr="002B78D6">
        <w:rPr>
          <w:rFonts w:ascii="Times New Roman" w:eastAsia="Times New Roman" w:hAnsi="Times New Roman" w:cs="Times New Roman"/>
          <w:b/>
          <w:bCs/>
          <w:sz w:val="24"/>
          <w:szCs w:val="24"/>
          <w:lang w:val="en" w:eastAsia="en-GB"/>
        </w:rPr>
        <w:t xml:space="preserve">What Does Interest Rate Parity (IRP) Tell You? </w:t>
      </w:r>
    </w:p>
    <w:p w14:paraId="2581C8CE" w14:textId="7A34E464" w:rsidR="007E7860" w:rsidRDefault="007E7860" w:rsidP="00E92B1B">
      <w:pPr>
        <w:rPr>
          <w:rFonts w:ascii="Times New Roman" w:eastAsia="Times New Roman" w:hAnsi="Times New Roman" w:cs="Times New Roman"/>
          <w:sz w:val="24"/>
          <w:szCs w:val="24"/>
          <w:lang w:val="en" w:eastAsia="en-GB"/>
        </w:rPr>
      </w:pPr>
      <w:r w:rsidRPr="00E92B1B">
        <w:rPr>
          <w:rFonts w:ascii="Times New Roman" w:eastAsia="Times New Roman" w:hAnsi="Times New Roman" w:cs="Times New Roman"/>
          <w:sz w:val="24"/>
          <w:szCs w:val="24"/>
          <w:lang w:val="en" w:eastAsia="en-GB"/>
        </w:rPr>
        <w:t xml:space="preserve">Interest rate parity is the fundamental equation that governs the relationship between interest rates and </w:t>
      </w:r>
      <w:hyperlink r:id="rId10" w:history="1">
        <w:r w:rsidRPr="00E92B1B">
          <w:rPr>
            <w:rFonts w:ascii="Times New Roman" w:eastAsia="Times New Roman" w:hAnsi="Times New Roman" w:cs="Times New Roman"/>
            <w:sz w:val="24"/>
            <w:szCs w:val="24"/>
            <w:lang w:val="en" w:eastAsia="en-GB"/>
          </w:rPr>
          <w:t>currency exchange rates</w:t>
        </w:r>
      </w:hyperlink>
      <w:r w:rsidRPr="00E92B1B">
        <w:rPr>
          <w:rFonts w:ascii="Times New Roman" w:eastAsia="Times New Roman" w:hAnsi="Times New Roman" w:cs="Times New Roman"/>
          <w:sz w:val="24"/>
          <w:szCs w:val="24"/>
          <w:lang w:val="en" w:eastAsia="en-GB"/>
        </w:rPr>
        <w:t>. The basic premise of interest rate parity is that hedged returns from investing in different currencies should be the same, regardless of the level of their interest rates.</w:t>
      </w:r>
    </w:p>
    <w:p w14:paraId="5A2ACA16" w14:textId="77777777" w:rsidR="002B78D6" w:rsidRPr="00E92B1B" w:rsidRDefault="002B78D6" w:rsidP="00E92B1B">
      <w:pPr>
        <w:rPr>
          <w:rFonts w:ascii="Times New Roman" w:eastAsia="Times New Roman" w:hAnsi="Times New Roman" w:cs="Times New Roman"/>
          <w:sz w:val="24"/>
          <w:szCs w:val="24"/>
          <w:lang w:val="en" w:eastAsia="en-GB"/>
        </w:rPr>
      </w:pPr>
      <w:bookmarkStart w:id="0" w:name="_GoBack"/>
      <w:bookmarkEnd w:id="0"/>
    </w:p>
    <w:p w14:paraId="77BFAF9D" w14:textId="77777777" w:rsidR="008D6824" w:rsidRPr="002B78D6" w:rsidRDefault="008D6824" w:rsidP="00E92B1B">
      <w:pPr>
        <w:rPr>
          <w:rFonts w:ascii="Times New Roman" w:eastAsia="Times New Roman" w:hAnsi="Times New Roman" w:cs="Times New Roman"/>
          <w:b/>
          <w:bCs/>
          <w:sz w:val="24"/>
          <w:szCs w:val="24"/>
          <w:lang w:eastAsia="en-GB"/>
        </w:rPr>
      </w:pPr>
      <w:r w:rsidRPr="002B78D6">
        <w:rPr>
          <w:rFonts w:ascii="Times New Roman" w:eastAsia="Times New Roman" w:hAnsi="Times New Roman" w:cs="Times New Roman"/>
          <w:b/>
          <w:bCs/>
          <w:sz w:val="24"/>
          <w:szCs w:val="24"/>
          <w:lang w:eastAsia="en-GB"/>
        </w:rPr>
        <w:t>Example</w:t>
      </w:r>
    </w:p>
    <w:p w14:paraId="0FC100EA" w14:textId="77777777" w:rsidR="008D6824" w:rsidRPr="00E92B1B" w:rsidRDefault="008D6824" w:rsidP="00E92B1B">
      <w:pPr>
        <w:rPr>
          <w:rFonts w:ascii="Times New Roman" w:eastAsia="Times New Roman" w:hAnsi="Times New Roman" w:cs="Times New Roman"/>
          <w:sz w:val="24"/>
          <w:szCs w:val="24"/>
          <w:lang w:eastAsia="en-GB"/>
        </w:rPr>
      </w:pPr>
      <w:r w:rsidRPr="00E92B1B">
        <w:rPr>
          <w:rFonts w:ascii="Times New Roman" w:eastAsia="Times New Roman" w:hAnsi="Times New Roman" w:cs="Times New Roman"/>
          <w:sz w:val="24"/>
          <w:szCs w:val="24"/>
          <w:lang w:eastAsia="en-GB"/>
        </w:rPr>
        <w:t xml:space="preserve">Suppose mid-market USD/CAD spot exchange rate is 1.2500 CAD and </w:t>
      </w:r>
      <w:proofErr w:type="gramStart"/>
      <w:r w:rsidRPr="00E92B1B">
        <w:rPr>
          <w:rFonts w:ascii="Times New Roman" w:eastAsia="Times New Roman" w:hAnsi="Times New Roman" w:cs="Times New Roman"/>
          <w:sz w:val="24"/>
          <w:szCs w:val="24"/>
          <w:lang w:eastAsia="en-GB"/>
        </w:rPr>
        <w:t>one year</w:t>
      </w:r>
      <w:proofErr w:type="gramEnd"/>
      <w:r w:rsidRPr="00E92B1B">
        <w:rPr>
          <w:rFonts w:ascii="Times New Roman" w:eastAsia="Times New Roman" w:hAnsi="Times New Roman" w:cs="Times New Roman"/>
          <w:sz w:val="24"/>
          <w:szCs w:val="24"/>
          <w:lang w:eastAsia="en-GB"/>
        </w:rPr>
        <w:t xml:space="preserve"> forward rate is 1.2380 CAD. </w:t>
      </w:r>
      <w:proofErr w:type="gramStart"/>
      <w:r w:rsidRPr="00E92B1B">
        <w:rPr>
          <w:rFonts w:ascii="Times New Roman" w:eastAsia="Times New Roman" w:hAnsi="Times New Roman" w:cs="Times New Roman"/>
          <w:sz w:val="24"/>
          <w:szCs w:val="24"/>
          <w:lang w:eastAsia="en-GB"/>
        </w:rPr>
        <w:t>Also</w:t>
      </w:r>
      <w:proofErr w:type="gramEnd"/>
      <w:r w:rsidRPr="00E92B1B">
        <w:rPr>
          <w:rFonts w:ascii="Times New Roman" w:eastAsia="Times New Roman" w:hAnsi="Times New Roman" w:cs="Times New Roman"/>
          <w:sz w:val="24"/>
          <w:szCs w:val="24"/>
          <w:lang w:eastAsia="en-GB"/>
        </w:rPr>
        <w:t xml:space="preserve"> the risk-free interest rate is 4% for USD and 3% for CAD. Check whether interest rate parity exist between USD and CAD?</w:t>
      </w:r>
    </w:p>
    <w:p w14:paraId="7A4CD39E" w14:textId="77777777" w:rsidR="008D6824" w:rsidRPr="00E92B1B" w:rsidRDefault="008D6824" w:rsidP="00E92B1B">
      <w:pPr>
        <w:rPr>
          <w:rFonts w:ascii="Times New Roman" w:eastAsia="Times New Roman" w:hAnsi="Times New Roman" w:cs="Times New Roman"/>
          <w:sz w:val="24"/>
          <w:szCs w:val="24"/>
          <w:lang w:eastAsia="en-GB"/>
        </w:rPr>
      </w:pPr>
      <w:r w:rsidRPr="00E92B1B">
        <w:rPr>
          <w:rFonts w:ascii="Times New Roman" w:eastAsia="Times New Roman" w:hAnsi="Times New Roman" w:cs="Times New Roman"/>
          <w:sz w:val="24"/>
          <w:szCs w:val="24"/>
          <w:lang w:eastAsia="en-GB"/>
        </w:rPr>
        <w:t>Solution:</w:t>
      </w:r>
    </w:p>
    <w:p w14:paraId="705F4098" w14:textId="77777777" w:rsidR="008D6824" w:rsidRPr="00E92B1B" w:rsidRDefault="008D6824" w:rsidP="00E92B1B">
      <w:pPr>
        <w:rPr>
          <w:rFonts w:ascii="Times New Roman" w:eastAsia="Times New Roman" w:hAnsi="Times New Roman" w:cs="Times New Roman"/>
          <w:sz w:val="24"/>
          <w:szCs w:val="24"/>
          <w:lang w:eastAsia="en-GB"/>
        </w:rPr>
      </w:pPr>
      <w:r w:rsidRPr="00E92B1B">
        <w:rPr>
          <w:rFonts w:ascii="Times New Roman" w:eastAsia="Times New Roman" w:hAnsi="Times New Roman" w:cs="Times New Roman"/>
          <w:sz w:val="24"/>
          <w:szCs w:val="24"/>
          <w:lang w:eastAsia="en-GB"/>
        </w:rPr>
        <w:t>Ratio of Forward to Spot</w:t>
      </w:r>
      <w:r w:rsidRPr="00E92B1B">
        <w:rPr>
          <w:rFonts w:ascii="Times New Roman" w:eastAsia="Times New Roman" w:hAnsi="Times New Roman" w:cs="Times New Roman"/>
          <w:sz w:val="24"/>
          <w:szCs w:val="24"/>
          <w:lang w:eastAsia="en-GB"/>
        </w:rPr>
        <w:br/>
        <w:t>= 1.2380 ÷ 1.2500</w:t>
      </w:r>
      <w:r w:rsidRPr="00E92B1B">
        <w:rPr>
          <w:rFonts w:ascii="Times New Roman" w:eastAsia="Times New Roman" w:hAnsi="Times New Roman" w:cs="Times New Roman"/>
          <w:sz w:val="24"/>
          <w:szCs w:val="24"/>
          <w:lang w:eastAsia="en-GB"/>
        </w:rPr>
        <w:br/>
        <w:t>= 0.9904</w:t>
      </w:r>
    </w:p>
    <w:p w14:paraId="113DEC26" w14:textId="77777777" w:rsidR="008D6824" w:rsidRPr="00E92B1B" w:rsidRDefault="008D6824" w:rsidP="00E92B1B">
      <w:pPr>
        <w:rPr>
          <w:rFonts w:ascii="Times New Roman" w:eastAsia="Times New Roman" w:hAnsi="Times New Roman" w:cs="Times New Roman"/>
          <w:sz w:val="24"/>
          <w:szCs w:val="24"/>
          <w:lang w:eastAsia="en-GB"/>
        </w:rPr>
      </w:pPr>
      <w:r w:rsidRPr="00E92B1B">
        <w:rPr>
          <w:rFonts w:ascii="Times New Roman" w:eastAsia="Times New Roman" w:hAnsi="Times New Roman" w:cs="Times New Roman"/>
          <w:sz w:val="24"/>
          <w:szCs w:val="24"/>
          <w:lang w:eastAsia="en-GB"/>
        </w:rPr>
        <w:t>Ratio of Returns</w:t>
      </w:r>
      <w:r w:rsidRPr="00E92B1B">
        <w:rPr>
          <w:rFonts w:ascii="Times New Roman" w:eastAsia="Times New Roman" w:hAnsi="Times New Roman" w:cs="Times New Roman"/>
          <w:sz w:val="24"/>
          <w:szCs w:val="24"/>
          <w:lang w:eastAsia="en-GB"/>
        </w:rPr>
        <w:br/>
        <w:t>= [(1+3%) ÷ (1+4%</w:t>
      </w:r>
      <w:proofErr w:type="gramStart"/>
      <w:r w:rsidRPr="00E92B1B">
        <w:rPr>
          <w:rFonts w:ascii="Times New Roman" w:eastAsia="Times New Roman" w:hAnsi="Times New Roman" w:cs="Times New Roman"/>
          <w:sz w:val="24"/>
          <w:szCs w:val="24"/>
          <w:lang w:eastAsia="en-GB"/>
        </w:rPr>
        <w:t>)]^</w:t>
      </w:r>
      <w:proofErr w:type="gramEnd"/>
      <w:r w:rsidRPr="00E92B1B">
        <w:rPr>
          <w:rFonts w:ascii="Times New Roman" w:eastAsia="Times New Roman" w:hAnsi="Times New Roman" w:cs="Times New Roman"/>
          <w:sz w:val="24"/>
          <w:szCs w:val="24"/>
          <w:lang w:eastAsia="en-GB"/>
        </w:rPr>
        <w:t>1</w:t>
      </w:r>
      <w:r w:rsidRPr="00E92B1B">
        <w:rPr>
          <w:rFonts w:ascii="Times New Roman" w:eastAsia="Times New Roman" w:hAnsi="Times New Roman" w:cs="Times New Roman"/>
          <w:sz w:val="24"/>
          <w:szCs w:val="24"/>
          <w:lang w:eastAsia="en-GB"/>
        </w:rPr>
        <w:br/>
        <w:t>≈ 0.9904</w:t>
      </w:r>
    </w:p>
    <w:p w14:paraId="0F993B0F" w14:textId="77777777" w:rsidR="008D6824" w:rsidRPr="00E92B1B" w:rsidRDefault="008D6824" w:rsidP="00E92B1B">
      <w:pPr>
        <w:rPr>
          <w:rFonts w:ascii="Times New Roman" w:eastAsia="Times New Roman" w:hAnsi="Times New Roman" w:cs="Times New Roman"/>
          <w:sz w:val="24"/>
          <w:szCs w:val="24"/>
          <w:lang w:eastAsia="en-GB"/>
        </w:rPr>
      </w:pPr>
      <w:r w:rsidRPr="00E92B1B">
        <w:rPr>
          <w:rFonts w:ascii="Times New Roman" w:eastAsia="Times New Roman" w:hAnsi="Times New Roman" w:cs="Times New Roman"/>
          <w:sz w:val="24"/>
          <w:szCs w:val="24"/>
          <w:lang w:eastAsia="en-GB"/>
        </w:rPr>
        <w:t xml:space="preserve">Since the two values are approximately equal, therefore interest rate parity </w:t>
      </w:r>
      <w:proofErr w:type="gramStart"/>
      <w:r w:rsidRPr="00E92B1B">
        <w:rPr>
          <w:rFonts w:ascii="Times New Roman" w:eastAsia="Times New Roman" w:hAnsi="Times New Roman" w:cs="Times New Roman"/>
          <w:sz w:val="24"/>
          <w:szCs w:val="24"/>
          <w:lang w:eastAsia="en-GB"/>
        </w:rPr>
        <w:t>exist</w:t>
      </w:r>
      <w:proofErr w:type="gramEnd"/>
    </w:p>
    <w:p w14:paraId="0E81D0A6" w14:textId="77777777" w:rsidR="007E7860" w:rsidRPr="00E92B1B" w:rsidRDefault="007E7860" w:rsidP="00E92B1B">
      <w:pPr>
        <w:rPr>
          <w:rFonts w:ascii="Times New Roman" w:hAnsi="Times New Roman" w:cs="Times New Roman"/>
          <w:sz w:val="24"/>
          <w:szCs w:val="24"/>
        </w:rPr>
      </w:pPr>
    </w:p>
    <w:sectPr w:rsidR="007E7860" w:rsidRPr="00E92B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860"/>
    <w:rsid w:val="002B78D6"/>
    <w:rsid w:val="007E7860"/>
    <w:rsid w:val="008D6824"/>
    <w:rsid w:val="00C95B6A"/>
    <w:rsid w:val="00E92B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97955"/>
  <w15:chartTrackingRefBased/>
  <w15:docId w15:val="{681D658B-8190-4BDB-9C60-BBEACD206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ord">
    <w:name w:val="mord"/>
    <w:basedOn w:val="DefaultParagraphFont"/>
    <w:rsid w:val="007E7860"/>
  </w:style>
  <w:style w:type="character" w:customStyle="1" w:styleId="vlist-s">
    <w:name w:val="vlist-s"/>
    <w:basedOn w:val="DefaultParagraphFont"/>
    <w:rsid w:val="007E7860"/>
  </w:style>
  <w:style w:type="character" w:customStyle="1" w:styleId="mrel">
    <w:name w:val="mrel"/>
    <w:basedOn w:val="DefaultParagraphFont"/>
    <w:rsid w:val="007E7860"/>
  </w:style>
  <w:style w:type="character" w:customStyle="1" w:styleId="mbin">
    <w:name w:val="mbin"/>
    <w:basedOn w:val="DefaultParagraphFont"/>
    <w:rsid w:val="007E7860"/>
  </w:style>
  <w:style w:type="character" w:customStyle="1" w:styleId="delimsizing">
    <w:name w:val="delimsizing"/>
    <w:basedOn w:val="DefaultParagraphFont"/>
    <w:rsid w:val="007E7860"/>
  </w:style>
  <w:style w:type="paragraph" w:styleId="NoSpacing">
    <w:name w:val="No Spacing"/>
    <w:uiPriority w:val="1"/>
    <w:qFormat/>
    <w:rsid w:val="00E92B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208699">
      <w:bodyDiv w:val="1"/>
      <w:marLeft w:val="0"/>
      <w:marRight w:val="0"/>
      <w:marTop w:val="0"/>
      <w:marBottom w:val="0"/>
      <w:divBdr>
        <w:top w:val="none" w:sz="0" w:space="0" w:color="auto"/>
        <w:left w:val="none" w:sz="0" w:space="0" w:color="auto"/>
        <w:bottom w:val="none" w:sz="0" w:space="0" w:color="auto"/>
        <w:right w:val="none" w:sz="0" w:space="0" w:color="auto"/>
      </w:divBdr>
    </w:div>
    <w:div w:id="527988312">
      <w:bodyDiv w:val="1"/>
      <w:marLeft w:val="0"/>
      <w:marRight w:val="0"/>
      <w:marTop w:val="0"/>
      <w:marBottom w:val="0"/>
      <w:divBdr>
        <w:top w:val="none" w:sz="0" w:space="0" w:color="auto"/>
        <w:left w:val="none" w:sz="0" w:space="0" w:color="auto"/>
        <w:bottom w:val="none" w:sz="0" w:space="0" w:color="auto"/>
        <w:right w:val="none" w:sz="0" w:space="0" w:color="auto"/>
      </w:divBdr>
    </w:div>
    <w:div w:id="1583832850">
      <w:bodyDiv w:val="1"/>
      <w:marLeft w:val="0"/>
      <w:marRight w:val="0"/>
      <w:marTop w:val="0"/>
      <w:marBottom w:val="0"/>
      <w:divBdr>
        <w:top w:val="none" w:sz="0" w:space="0" w:color="auto"/>
        <w:left w:val="none" w:sz="0" w:space="0" w:color="auto"/>
        <w:bottom w:val="none" w:sz="0" w:space="0" w:color="auto"/>
        <w:right w:val="none" w:sz="0" w:space="0" w:color="auto"/>
      </w:divBdr>
    </w:div>
    <w:div w:id="1690183624">
      <w:bodyDiv w:val="1"/>
      <w:marLeft w:val="0"/>
      <w:marRight w:val="0"/>
      <w:marTop w:val="0"/>
      <w:marBottom w:val="0"/>
      <w:divBdr>
        <w:top w:val="none" w:sz="0" w:space="0" w:color="auto"/>
        <w:left w:val="none" w:sz="0" w:space="0" w:color="auto"/>
        <w:bottom w:val="none" w:sz="0" w:space="0" w:color="auto"/>
        <w:right w:val="none" w:sz="0" w:space="0" w:color="auto"/>
      </w:divBdr>
      <w:divsChild>
        <w:div w:id="1414282494">
          <w:marLeft w:val="0"/>
          <w:marRight w:val="0"/>
          <w:marTop w:val="0"/>
          <w:marBottom w:val="0"/>
          <w:divBdr>
            <w:top w:val="none" w:sz="0" w:space="0" w:color="auto"/>
            <w:left w:val="none" w:sz="0" w:space="0" w:color="auto"/>
            <w:bottom w:val="none" w:sz="0" w:space="0" w:color="auto"/>
            <w:right w:val="none" w:sz="0" w:space="0" w:color="auto"/>
          </w:divBdr>
          <w:divsChild>
            <w:div w:id="1875536689">
              <w:marLeft w:val="0"/>
              <w:marRight w:val="0"/>
              <w:marTop w:val="0"/>
              <w:marBottom w:val="0"/>
              <w:divBdr>
                <w:top w:val="none" w:sz="0" w:space="0" w:color="auto"/>
                <w:left w:val="none" w:sz="0" w:space="0" w:color="auto"/>
                <w:bottom w:val="none" w:sz="0" w:space="0" w:color="auto"/>
                <w:right w:val="none" w:sz="0" w:space="0" w:color="auto"/>
              </w:divBdr>
              <w:divsChild>
                <w:div w:id="173425188">
                  <w:marLeft w:val="0"/>
                  <w:marRight w:val="0"/>
                  <w:marTop w:val="0"/>
                  <w:marBottom w:val="0"/>
                  <w:divBdr>
                    <w:top w:val="none" w:sz="0" w:space="0" w:color="auto"/>
                    <w:left w:val="none" w:sz="0" w:space="0" w:color="auto"/>
                    <w:bottom w:val="none" w:sz="0" w:space="0" w:color="auto"/>
                    <w:right w:val="none" w:sz="0" w:space="0" w:color="auto"/>
                  </w:divBdr>
                  <w:divsChild>
                    <w:div w:id="846140264">
                      <w:marLeft w:val="0"/>
                      <w:marRight w:val="0"/>
                      <w:marTop w:val="0"/>
                      <w:marBottom w:val="0"/>
                      <w:divBdr>
                        <w:top w:val="none" w:sz="0" w:space="0" w:color="auto"/>
                        <w:left w:val="none" w:sz="0" w:space="0" w:color="auto"/>
                        <w:bottom w:val="none" w:sz="0" w:space="0" w:color="auto"/>
                        <w:right w:val="none" w:sz="0" w:space="0" w:color="auto"/>
                      </w:divBdr>
                    </w:div>
                    <w:div w:id="122428018">
                      <w:marLeft w:val="0"/>
                      <w:marRight w:val="0"/>
                      <w:marTop w:val="0"/>
                      <w:marBottom w:val="0"/>
                      <w:divBdr>
                        <w:top w:val="none" w:sz="0" w:space="0" w:color="auto"/>
                        <w:left w:val="none" w:sz="0" w:space="0" w:color="auto"/>
                        <w:bottom w:val="none" w:sz="0" w:space="0" w:color="auto"/>
                        <w:right w:val="none" w:sz="0" w:space="0" w:color="auto"/>
                      </w:divBdr>
                    </w:div>
                    <w:div w:id="655961474">
                      <w:marLeft w:val="0"/>
                      <w:marRight w:val="0"/>
                      <w:marTop w:val="0"/>
                      <w:marBottom w:val="0"/>
                      <w:divBdr>
                        <w:top w:val="none" w:sz="0" w:space="0" w:color="auto"/>
                        <w:left w:val="none" w:sz="0" w:space="0" w:color="auto"/>
                        <w:bottom w:val="none" w:sz="0" w:space="0" w:color="auto"/>
                        <w:right w:val="none" w:sz="0" w:space="0" w:color="auto"/>
                      </w:divBdr>
                    </w:div>
                    <w:div w:id="1635793446">
                      <w:marLeft w:val="0"/>
                      <w:marRight w:val="0"/>
                      <w:marTop w:val="0"/>
                      <w:marBottom w:val="0"/>
                      <w:divBdr>
                        <w:top w:val="none" w:sz="0" w:space="0" w:color="auto"/>
                        <w:left w:val="none" w:sz="0" w:space="0" w:color="auto"/>
                        <w:bottom w:val="none" w:sz="0" w:space="0" w:color="auto"/>
                        <w:right w:val="none" w:sz="0" w:space="0" w:color="auto"/>
                      </w:divBdr>
                    </w:div>
                    <w:div w:id="1270822121">
                      <w:marLeft w:val="0"/>
                      <w:marRight w:val="0"/>
                      <w:marTop w:val="0"/>
                      <w:marBottom w:val="0"/>
                      <w:divBdr>
                        <w:top w:val="none" w:sz="0" w:space="0" w:color="auto"/>
                        <w:left w:val="none" w:sz="0" w:space="0" w:color="auto"/>
                        <w:bottom w:val="none" w:sz="0" w:space="0" w:color="auto"/>
                        <w:right w:val="none" w:sz="0" w:space="0" w:color="auto"/>
                      </w:divBdr>
                    </w:div>
                    <w:div w:id="1696805537">
                      <w:marLeft w:val="0"/>
                      <w:marRight w:val="0"/>
                      <w:marTop w:val="0"/>
                      <w:marBottom w:val="0"/>
                      <w:divBdr>
                        <w:top w:val="none" w:sz="0" w:space="0" w:color="auto"/>
                        <w:left w:val="none" w:sz="0" w:space="0" w:color="auto"/>
                        <w:bottom w:val="none" w:sz="0" w:space="0" w:color="auto"/>
                        <w:right w:val="none" w:sz="0" w:space="0" w:color="auto"/>
                      </w:divBdr>
                    </w:div>
                    <w:div w:id="181988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40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s/spotexchangerate.asp" TargetMode="External"/><Relationship Id="rId3" Type="http://schemas.openxmlformats.org/officeDocument/2006/relationships/webSettings" Target="webSettings.xml"/><Relationship Id="rId7" Type="http://schemas.openxmlformats.org/officeDocument/2006/relationships/hyperlink" Target="https://www.investopedia.com/terms/i/interest-rate-differential.asp"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vestopedia.com/video/play/what-is-inflation/" TargetMode="External"/><Relationship Id="rId11" Type="http://schemas.openxmlformats.org/officeDocument/2006/relationships/fontTable" Target="fontTable.xml"/><Relationship Id="rId5" Type="http://schemas.openxmlformats.org/officeDocument/2006/relationships/hyperlink" Target="https://www.investopedia.com/terms/n/nominalinterestrate.asp" TargetMode="External"/><Relationship Id="rId10" Type="http://schemas.openxmlformats.org/officeDocument/2006/relationships/hyperlink" Target="https://www.investopedia.com/terms/forex/i/international-currency-exchange-rates.asp" TargetMode="External"/><Relationship Id="rId4" Type="http://schemas.openxmlformats.org/officeDocument/2006/relationships/hyperlink" Target="https://www.investopedia.com/terms/r/realinterestrate.asp" TargetMode="External"/><Relationship Id="rId9" Type="http://schemas.openxmlformats.org/officeDocument/2006/relationships/hyperlink" Target="https://www.investopedia.com/terms/f/forward-exchange-contract.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583</Words>
  <Characters>3329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1</cp:revision>
  <dcterms:created xsi:type="dcterms:W3CDTF">2019-12-01T16:09:00Z</dcterms:created>
  <dcterms:modified xsi:type="dcterms:W3CDTF">2019-12-01T16:54:00Z</dcterms:modified>
</cp:coreProperties>
</file>