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F92276" w:rsidRDefault="00F92276" w14:paraId="3E1B614C" w14:textId="77777777"/>
    <w:p w:rsidR="00F92276" w:rsidRDefault="00F92276" w14:paraId="3B7078CD" w14:textId="77777777"/>
    <w:p w:rsidR="00F92276" w:rsidRDefault="00F92276" w14:paraId="64D7224B" w14:textId="77777777"/>
    <w:p w:rsidR="00F92276" w:rsidRDefault="000A344B" w14:paraId="2C4B7E93" w14:textId="77777777">
      <w:pPr>
        <w:jc w:val="center"/>
      </w:pPr>
      <w:r>
        <w:rPr>
          <w:b/>
          <w:color w:val="1F4E79"/>
          <w:sz w:val="22"/>
        </w:rPr>
        <w:t>LCBB5014 | DATA HANDLING &amp; BUSINESS INTELLIGENCE</w:t>
      </w:r>
    </w:p>
    <w:p w:rsidR="00F92276" w:rsidRDefault="000A344B" w14:paraId="67439362" w14:textId="77777777">
      <w:pPr>
        <w:pStyle w:val="Title"/>
        <w:jc w:val="center"/>
      </w:pPr>
      <w:r>
        <w:t>Film Data Analysis and Business Recommendations</w:t>
      </w:r>
    </w:p>
    <w:p w:rsidR="00F92276" w:rsidRDefault="000A344B" w14:paraId="267A0978" w14:textId="77777777">
      <w:pPr>
        <w:pStyle w:val="Subtitle"/>
        <w:jc w:val="center"/>
      </w:pPr>
      <w:r>
        <w:t>Excel/SPSS-equivalent analysis of the Letterboxd movie dataset</w:t>
      </w:r>
    </w:p>
    <w:p w:rsidR="00F92276" w:rsidRDefault="000A344B" w14:paraId="32CA0587" w14:textId="2F02CAA4">
      <w:pPr>
        <w:jc w:val="center"/>
      </w:pPr>
      <w:r>
        <w:rPr>
          <w:b/>
          <w:color w:val="1F4E79"/>
          <w:sz w:val="28"/>
        </w:rPr>
        <w:t>Everyman Media Group plc</w:t>
      </w:r>
    </w:p>
    <w:p w:rsidR="00F92276" w:rsidRDefault="00F92276" w14:paraId="0B42EA15" w14:textId="77777777"/>
    <w:tbl>
      <w:tblPr>
        <w:tblW w:w="9360" w:type="dxa"/>
        <w:tblInd w:w="120" w:type="dxa"/>
        <w:tblBorders>
          <w:top w:val="single" w:color="AAB7C4" w:sz="6" w:space="0"/>
          <w:left w:val="single" w:color="AAB7C4" w:sz="6" w:space="0"/>
          <w:bottom w:val="single" w:color="AAB7C4" w:sz="6" w:space="0"/>
          <w:right w:val="single" w:color="AAB7C4" w:sz="6" w:space="0"/>
          <w:insideH w:val="single" w:color="AAB7C4" w:sz="6" w:space="0"/>
          <w:insideV w:val="single" w:color="AAB7C4" w:sz="6" w:space="0"/>
        </w:tblBorders>
        <w:tblLayout w:type="fixed"/>
        <w:tblLook w:val="04A0" w:firstRow="1" w:lastRow="0" w:firstColumn="1" w:lastColumn="0" w:noHBand="0" w:noVBand="1"/>
      </w:tblPr>
      <w:tblGrid>
        <w:gridCol w:w="2700"/>
        <w:gridCol w:w="6660"/>
      </w:tblGrid>
      <w:tr w:rsidR="00F92276" w:rsidTr="299321A3" w14:paraId="1C0BD45F" w14:textId="77777777">
        <w:tc>
          <w:tcPr>
            <w:tcW w:w="2700" w:type="dxa"/>
            <w:shd w:val="clear" w:color="auto" w:fill="EAF0F6"/>
            <w:tcMar>
              <w:top w:w="100" w:type="dxa"/>
              <w:left w:w="120" w:type="dxa"/>
              <w:bottom w:w="100" w:type="dxa"/>
              <w:right w:w="120" w:type="dxa"/>
            </w:tcMar>
            <w:vAlign w:val="center"/>
          </w:tcPr>
          <w:p w:rsidR="00F92276" w:rsidRDefault="000A344B" w14:paraId="211AD989" w14:textId="77777777">
            <w:pPr>
              <w:spacing w:after="0" w:line="276" w:lineRule="auto"/>
            </w:pPr>
            <w:r>
              <w:rPr>
                <w:b/>
                <w:sz w:val="22"/>
              </w:rPr>
              <w:t>Student name</w:t>
            </w:r>
          </w:p>
        </w:tc>
        <w:tc>
          <w:tcPr>
            <w:tcW w:w="6660" w:type="dxa"/>
            <w:tcMar>
              <w:top w:w="100" w:type="dxa"/>
              <w:left w:w="120" w:type="dxa"/>
              <w:bottom w:w="100" w:type="dxa"/>
              <w:right w:w="120" w:type="dxa"/>
            </w:tcMar>
            <w:vAlign w:val="center"/>
          </w:tcPr>
          <w:p w:rsidR="00F92276" w:rsidRDefault="000A344B" w14:paraId="1E180F33" w14:textId="643DB70A">
            <w:pPr>
              <w:spacing w:after="0" w:line="276" w:lineRule="auto"/>
            </w:pPr>
            <w:r w:rsidRPr="299321A3" w:rsidR="60214403">
              <w:rPr>
                <w:sz w:val="22"/>
                <w:szCs w:val="22"/>
              </w:rPr>
              <w:t>Florina Petre</w:t>
            </w:r>
          </w:p>
        </w:tc>
      </w:tr>
      <w:tr w:rsidR="00F92276" w:rsidTr="299321A3" w14:paraId="131723F8" w14:textId="77777777">
        <w:tc>
          <w:tcPr>
            <w:tcW w:w="2700" w:type="dxa"/>
            <w:shd w:val="clear" w:color="auto" w:fill="EAF0F6"/>
            <w:tcMar>
              <w:top w:w="100" w:type="dxa"/>
              <w:left w:w="120" w:type="dxa"/>
              <w:bottom w:w="100" w:type="dxa"/>
              <w:right w:w="120" w:type="dxa"/>
            </w:tcMar>
            <w:vAlign w:val="center"/>
          </w:tcPr>
          <w:p w:rsidR="00F92276" w:rsidRDefault="000A344B" w14:paraId="0CDF06DF" w14:textId="77777777">
            <w:pPr>
              <w:spacing w:after="0" w:line="276" w:lineRule="auto"/>
            </w:pPr>
            <w:r>
              <w:rPr>
                <w:b/>
                <w:sz w:val="22"/>
              </w:rPr>
              <w:t>Student ID</w:t>
            </w:r>
          </w:p>
        </w:tc>
        <w:tc>
          <w:tcPr>
            <w:tcW w:w="6660" w:type="dxa"/>
            <w:tcMar>
              <w:top w:w="100" w:type="dxa"/>
              <w:left w:w="120" w:type="dxa"/>
              <w:bottom w:w="100" w:type="dxa"/>
              <w:right w:w="120" w:type="dxa"/>
            </w:tcMar>
            <w:vAlign w:val="center"/>
          </w:tcPr>
          <w:p w:rsidR="00F92276" w:rsidRDefault="000A344B" w14:paraId="631761FD" w14:textId="2CE3BCC2">
            <w:pPr>
              <w:spacing w:after="0" w:line="276" w:lineRule="auto"/>
            </w:pPr>
            <w:r w:rsidRPr="299321A3" w:rsidR="59F79C40">
              <w:rPr>
                <w:sz w:val="22"/>
                <w:szCs w:val="22"/>
              </w:rPr>
              <w:t>2326724</w:t>
            </w:r>
          </w:p>
        </w:tc>
      </w:tr>
      <w:tr w:rsidR="00F92276" w:rsidTr="299321A3" w14:paraId="5A917EB9" w14:textId="77777777">
        <w:tc>
          <w:tcPr>
            <w:tcW w:w="2700" w:type="dxa"/>
            <w:shd w:val="clear" w:color="auto" w:fill="EAF0F6"/>
            <w:tcMar>
              <w:top w:w="100" w:type="dxa"/>
              <w:left w:w="120" w:type="dxa"/>
              <w:bottom w:w="100" w:type="dxa"/>
              <w:right w:w="120" w:type="dxa"/>
            </w:tcMar>
            <w:vAlign w:val="center"/>
          </w:tcPr>
          <w:p w:rsidR="00F92276" w:rsidRDefault="000A344B" w14:paraId="79CB9AA3" w14:textId="77777777">
            <w:pPr>
              <w:spacing w:after="0" w:line="276" w:lineRule="auto"/>
            </w:pPr>
            <w:r>
              <w:rPr>
                <w:b/>
                <w:sz w:val="22"/>
              </w:rPr>
              <w:t>Module</w:t>
            </w:r>
          </w:p>
        </w:tc>
        <w:tc>
          <w:tcPr>
            <w:tcW w:w="6660" w:type="dxa"/>
            <w:tcMar>
              <w:top w:w="100" w:type="dxa"/>
              <w:left w:w="120" w:type="dxa"/>
              <w:bottom w:w="100" w:type="dxa"/>
              <w:right w:w="120" w:type="dxa"/>
            </w:tcMar>
            <w:vAlign w:val="center"/>
          </w:tcPr>
          <w:p w:rsidR="00F92276" w:rsidRDefault="000A344B" w14:paraId="12F84C3D" w14:textId="77777777">
            <w:pPr>
              <w:spacing w:after="0" w:line="276" w:lineRule="auto"/>
            </w:pPr>
            <w:r>
              <w:rPr>
                <w:sz w:val="22"/>
              </w:rPr>
              <w:t>LCBB5014 Data Handling &amp; Business Intelligence</w:t>
            </w:r>
          </w:p>
        </w:tc>
      </w:tr>
      <w:tr w:rsidR="00F92276" w:rsidTr="299321A3" w14:paraId="18D333CC" w14:textId="77777777">
        <w:tc>
          <w:tcPr>
            <w:tcW w:w="2700" w:type="dxa"/>
            <w:shd w:val="clear" w:color="auto" w:fill="EAF0F6"/>
            <w:tcMar>
              <w:top w:w="100" w:type="dxa"/>
              <w:left w:w="120" w:type="dxa"/>
              <w:bottom w:w="100" w:type="dxa"/>
              <w:right w:w="120" w:type="dxa"/>
            </w:tcMar>
            <w:vAlign w:val="center"/>
          </w:tcPr>
          <w:p w:rsidR="00F92276" w:rsidRDefault="000A344B" w14:paraId="1AB772C0" w14:textId="77777777">
            <w:pPr>
              <w:spacing w:after="0" w:line="276" w:lineRule="auto"/>
            </w:pPr>
            <w:r>
              <w:rPr>
                <w:b/>
                <w:sz w:val="22"/>
              </w:rPr>
              <w:t>Assessment</w:t>
            </w:r>
          </w:p>
        </w:tc>
        <w:tc>
          <w:tcPr>
            <w:tcW w:w="6660" w:type="dxa"/>
            <w:tcMar>
              <w:top w:w="100" w:type="dxa"/>
              <w:left w:w="120" w:type="dxa"/>
              <w:bottom w:w="100" w:type="dxa"/>
              <w:right w:w="120" w:type="dxa"/>
            </w:tcMar>
            <w:vAlign w:val="center"/>
          </w:tcPr>
          <w:p w:rsidR="00F92276" w:rsidRDefault="000A344B" w14:paraId="0AB9E6AD" w14:textId="77777777">
            <w:pPr>
              <w:spacing w:after="0" w:line="276" w:lineRule="auto"/>
            </w:pPr>
            <w:r>
              <w:rPr>
                <w:sz w:val="22"/>
              </w:rPr>
              <w:t>Individual Report</w:t>
            </w:r>
          </w:p>
        </w:tc>
      </w:tr>
    </w:tbl>
    <w:p w:rsidR="00F92276" w:rsidRDefault="000A344B" w14:paraId="7C23AF22" w14:textId="77777777">
      <w:r>
        <w:br w:type="page"/>
      </w:r>
    </w:p>
    <w:p w:rsidR="00F92276" w:rsidRDefault="000A344B" w14:paraId="0002B3CD" w14:textId="77777777">
      <w:pPr>
        <w:pStyle w:val="Heading1"/>
      </w:pPr>
      <w:r>
        <w:lastRenderedPageBreak/>
        <w:t>1. Introduction</w:t>
      </w:r>
    </w:p>
    <w:p w:rsidR="00F92276" w:rsidRDefault="000A344B" w14:paraId="02B86A1C" w14:textId="77777777">
      <w:r>
        <w:t xml:space="preserve">This report analyses a public Letterboxd </w:t>
      </w:r>
      <w:r>
        <w:t xml:space="preserve">movie-classification dataset to identify factors associated with film ratings and audience engagement, then translates the findings into decisions for Everyman Media Group plc, a UK cinema operator positioned around a premium customer experience (Everyman </w:t>
      </w:r>
      <w:r>
        <w:t>Media Group plc, 2024). The source contains 10,002 records and variables including film title, director, genres, runtime, original language, average rating, watches, likes and fan counts.</w:t>
      </w:r>
    </w:p>
    <w:p w:rsidR="00F92276" w:rsidRDefault="000A344B" w14:paraId="77CB7535" w14:textId="77777777">
      <w:r>
        <w:t>The objectives are to clean and standardise the data; summarise nume</w:t>
      </w:r>
      <w:r>
        <w:t>rical and categorical variables; compare ratings across genres and languages; test whether English- and non-English-language films differ; examine correlations among runtime and engagement; and estimate a multiple regression for average rating. Excel-style</w:t>
      </w:r>
      <w:r>
        <w:t xml:space="preserve"> preparation logic and SPSS-equivalent statistical procedures are documented. The analysis is observational: it can identify associations useful for programming and marketing, but cannot establish that any feature causes commercial success.</w:t>
      </w:r>
    </w:p>
    <w:p w:rsidR="00F92276" w:rsidRDefault="000A344B" w14:paraId="535C7367" w14:textId="77777777">
      <w:r>
        <w:t>The business qu</w:t>
      </w:r>
      <w:r>
        <w:t>estion is deliberately broader than ‘which films are rated highest’. Everyman must allocate scarce screens and marketing attention, so quality perception, potential audience size and operational fit should be assessed separately. Descriptive analysis was c</w:t>
      </w:r>
      <w:r>
        <w:t>ompleted using spreadsheet-equivalent transformations; Welch’s t-test, Pearson and Spearman correlations, and multiple regression mirror standard IBM SPSS procedures. Reproducible syntax is supplied in Appendix A so the reported values can be checked again</w:t>
      </w:r>
      <w:r>
        <w:t>st the cleaned file.</w:t>
      </w:r>
    </w:p>
    <w:p w:rsidR="00F92276" w:rsidRDefault="000A344B" w14:paraId="1CC425B0" w14:textId="77777777">
      <w:pPr>
        <w:pStyle w:val="Heading1"/>
      </w:pPr>
      <w:r>
        <w:t>2. Data Cleaning and Preparation</w:t>
      </w:r>
    </w:p>
    <w:p w:rsidR="00F92276" w:rsidRDefault="000A344B" w14:paraId="2BE6A0AA" w14:textId="77777777">
      <w:r>
        <w:t>The CSV was imported with explicit numeric conversion for Average_rating, Runtime, Watches, Likes, Fans and Total_ratings. Thirty-one exact duplicate rows were removed. Missingness was then profiled: 57</w:t>
      </w:r>
      <w:r>
        <w:t>9 ratings, 10 runtimes, 24 genres and three original-language values were absent after de-duplication. Watches, Likes and Fans had no missing values. Genres were stored as list-like text, so the first listed value was extracted as Primary_genre; language l</w:t>
      </w:r>
      <w:r>
        <w:t>abels were trimmed and compared case-insensitively. Runtime values at or below zero were treated as invalid.</w:t>
      </w:r>
    </w:p>
    <w:p w:rsidR="00F92276" w:rsidRDefault="000A344B" w14:paraId="49AE576C" w14:textId="77777777">
      <w:r>
        <w:lastRenderedPageBreak/>
        <w:t>For inferential analysis, complete-case filtering was used for rating, runtime, watches, likes, fans and language, producing 9,387 films. Outcome r</w:t>
      </w:r>
      <w:r>
        <w:t>atings were not mean-imputed because imputation can compress variance and bias relationships (Little and Rubin, 2019; van Buuren, 2018). In Excel, the equivalent workflow uses Power Query data types, Trim/Clean, Remove Duplicates, conditional error flags a</w:t>
      </w:r>
      <w:r>
        <w:t>nd a documented transformation log. The original data should remain read-only, with a separate cleaned table and unique Film_URL key. Potential alternate editions require review rather than automatic title-based deletion. This audit trail is essential beca</w:t>
      </w:r>
      <w:r>
        <w:t>use analytical validity cannot exceed source-data quality.</w:t>
      </w:r>
    </w:p>
    <w:p w:rsidR="00F92276" w:rsidRDefault="000A344B" w14:paraId="405CB6E1" w14:textId="77777777">
      <w:r>
        <w:t>Outlier handling was conservative. Very long runtimes and very large engagement counts were retained because they may be genuine films or long-form works and are commercially informative, but their</w:t>
      </w:r>
      <w:r>
        <w:t xml:space="preserve"> influence was reduced through medians, log transformations and robust standard errors. Winsorising or deleting them solely because they are unusual would change the population being described. A sensitivity analysis should repeat the model for conventiona</w:t>
      </w:r>
      <w:r>
        <w:t>l feature-length films, for example 60-240 minutes, and compare conclusions. Categorical standardisation should also preserve the original multi-genre field in addition to Primary_genre, allowing later multi-label analysis rather than permanently collapsin</w:t>
      </w:r>
      <w:r>
        <w:t>g information.</w:t>
      </w:r>
    </w:p>
    <w:p w:rsidR="00F92276" w:rsidRDefault="000A344B" w14:paraId="3FE0BE1D" w14:textId="77777777">
      <w:pPr>
        <w:pStyle w:val="Heading1"/>
      </w:pPr>
      <w:r>
        <w:t>3. Descriptive Statistics and Summary</w:t>
      </w:r>
    </w:p>
    <w:p w:rsidR="00F92276" w:rsidRDefault="000A344B" w14:paraId="2BEA395A" w14:textId="77777777">
      <w:r>
        <w:t xml:space="preserve">The cleaned sample has a mean Average_rating of 3.269 (SD = 0.542) and median of 3.30. Ratings are moderately concentrated, ranging from 1.08 to 4.71 and showing slight negative skew (-0.40). </w:t>
      </w:r>
      <w:r>
        <w:t>Runtime averages 103.9 minutes, but the maximum of 907 minutes and skew of 5.91 indicate long-form and episodic outliers. For cinema planning, the median runtime of 100 minutes is more representative than the mean.</w:t>
      </w:r>
    </w:p>
    <w:p w:rsidR="00F92276" w:rsidRDefault="000A344B" w14:paraId="53A6EADD" w14:textId="77777777">
      <w:r>
        <w:t>Audience measures are extremely right-ske</w:t>
      </w:r>
      <w:r>
        <w:t>wed. Median watches are 22,970 compared with a mean of 181,120; median likes are 4,121 compared with 46,543; and median fans are 32 compared with 1,760. A small number of globally prominent titles therefore dominate arithmetic averages. Medians, interquart</w:t>
      </w:r>
      <w:r>
        <w:t xml:space="preserve">ile ranges and logarithmic charts should accompany means when Everyman benchmarks potential demand. Standard </w:t>
      </w:r>
      <w:r>
        <w:lastRenderedPageBreak/>
        <w:t>deviations are also very large, so a statement such as ‘average watches’ is commercially misleading without distribution context.</w:t>
      </w:r>
    </w:p>
    <w:p w:rsidR="00F92276" w:rsidRDefault="000A344B" w14:paraId="458D10D4" w14:textId="77777777">
      <w:r>
        <w:t>The rating histog</w:t>
      </w:r>
      <w:r>
        <w:t>ram confirms a central mass around 3-4 rather than a normal distribution. Large samples make classical tests relatively robust, but statistical significance can occur for operationally trivial effects; effect size and decision relevance must therefore be r</w:t>
      </w:r>
      <w:r>
        <w:t>eported alongside p-values (Wasserstein, Schirm and Lazar, 2019). Frequency analysis also shows English dominates the sample (7,613 complete cases), so language comparisons are unbalanced and reflect Letterboxd’s users and coverage rather than the UK cinem</w:t>
      </w:r>
      <w:r>
        <w:t>a-going population.</w:t>
      </w:r>
    </w:p>
    <w:p w:rsidR="00F92276" w:rsidRDefault="000A344B" w14:paraId="4FCB681C" w14:textId="77777777">
      <w:r>
        <w:t xml:space="preserve">Quartiles reinforce the skew: 75% of films have no more than 120,948 watches, 22,459 likes and 342 fans, far below the respective maxima of 5,195,503, 2,730,813 and 326,000. These gaps suggest a long-tail catalogue in which a small hit </w:t>
      </w:r>
      <w:r>
        <w:t>segment behaves differently from most films. For decision-making, engagement should therefore be reported in percentile bands or log scale. A film moving from the 50th to the 75th percentile may be more actionable than a raw comparison with a global blockb</w:t>
      </w:r>
      <w:r>
        <w:t>uster.</w:t>
      </w:r>
    </w:p>
    <w:p w:rsidR="00F92276" w:rsidRDefault="000A344B" w14:paraId="4965E4DF" w14:textId="77777777">
      <w:r>
        <w:t xml:space="preserve">Categorical summaries depend on how multi-valued genres are represented. Using only the first listed genre creates mutually exclusive groups suitable for a simple bar chart, but it makes the result sensitive to list order. A fuller Excel data model </w:t>
      </w:r>
      <w:r>
        <w:t>would split the genre list into a bridge table so one film can contribute to several genres, with distinct-film counts used to avoid double counting. This would better support programming questions about combinations such as comedy-drama or science-fiction</w:t>
      </w:r>
      <w:r>
        <w:t xml:space="preserve"> horror.</w:t>
      </w:r>
    </w:p>
    <w:tbl>
      <w:tblPr>
        <w:tblW w:w="9360" w:type="dxa"/>
        <w:tblInd w:w="120" w:type="dxa"/>
        <w:tblBorders>
          <w:top w:val="single" w:color="AAB7C4" w:sz="6" w:space="0"/>
          <w:left w:val="single" w:color="AAB7C4" w:sz="6" w:space="0"/>
          <w:bottom w:val="single" w:color="AAB7C4" w:sz="6" w:space="0"/>
          <w:right w:val="single" w:color="AAB7C4" w:sz="6" w:space="0"/>
          <w:insideH w:val="single" w:color="AAB7C4" w:sz="6" w:space="0"/>
          <w:insideV w:val="single" w:color="AAB7C4" w:sz="6" w:space="0"/>
        </w:tblBorders>
        <w:tblLayout w:type="fixed"/>
        <w:tblLook w:val="04A0" w:firstRow="1" w:lastRow="0" w:firstColumn="1" w:lastColumn="0" w:noHBand="0" w:noVBand="1"/>
      </w:tblPr>
      <w:tblGrid>
        <w:gridCol w:w="1960"/>
        <w:gridCol w:w="900"/>
        <w:gridCol w:w="1200"/>
        <w:gridCol w:w="1200"/>
        <w:gridCol w:w="1200"/>
        <w:gridCol w:w="1450"/>
        <w:gridCol w:w="1450"/>
      </w:tblGrid>
      <w:tr w:rsidR="00F92276" w14:paraId="7DA89AD2" w14:textId="77777777">
        <w:tc>
          <w:tcPr>
            <w:tcW w:w="1960" w:type="dxa"/>
            <w:shd w:val="clear" w:color="auto" w:fill="EAF0F6"/>
            <w:tcMar>
              <w:top w:w="100" w:type="dxa"/>
              <w:left w:w="120" w:type="dxa"/>
              <w:bottom w:w="100" w:type="dxa"/>
              <w:right w:w="120" w:type="dxa"/>
            </w:tcMar>
            <w:vAlign w:val="center"/>
          </w:tcPr>
          <w:p w:rsidR="00F92276" w:rsidRDefault="000A344B" w14:paraId="650A0BA9" w14:textId="77777777">
            <w:pPr>
              <w:spacing w:after="0" w:line="264" w:lineRule="auto"/>
              <w:jc w:val="left"/>
            </w:pPr>
            <w:r>
              <w:rPr>
                <w:b/>
                <w:color w:val="1F4E79"/>
                <w:sz w:val="18"/>
              </w:rPr>
              <w:t>Variable</w:t>
            </w:r>
          </w:p>
        </w:tc>
        <w:tc>
          <w:tcPr>
            <w:tcW w:w="900" w:type="dxa"/>
            <w:shd w:val="clear" w:color="auto" w:fill="EAF0F6"/>
            <w:tcMar>
              <w:top w:w="100" w:type="dxa"/>
              <w:left w:w="120" w:type="dxa"/>
              <w:bottom w:w="100" w:type="dxa"/>
              <w:right w:w="120" w:type="dxa"/>
            </w:tcMar>
            <w:vAlign w:val="center"/>
          </w:tcPr>
          <w:p w:rsidR="00F92276" w:rsidRDefault="000A344B" w14:paraId="4D6E4BA1" w14:textId="77777777">
            <w:pPr>
              <w:spacing w:after="0" w:line="264" w:lineRule="auto"/>
              <w:jc w:val="left"/>
            </w:pPr>
            <w:r>
              <w:rPr>
                <w:b/>
                <w:color w:val="1F4E79"/>
                <w:sz w:val="18"/>
              </w:rPr>
              <w:t>N</w:t>
            </w:r>
          </w:p>
        </w:tc>
        <w:tc>
          <w:tcPr>
            <w:tcW w:w="1200" w:type="dxa"/>
            <w:shd w:val="clear" w:color="auto" w:fill="EAF0F6"/>
            <w:tcMar>
              <w:top w:w="100" w:type="dxa"/>
              <w:left w:w="120" w:type="dxa"/>
              <w:bottom w:w="100" w:type="dxa"/>
              <w:right w:w="120" w:type="dxa"/>
            </w:tcMar>
            <w:vAlign w:val="center"/>
          </w:tcPr>
          <w:p w:rsidR="00F92276" w:rsidRDefault="000A344B" w14:paraId="1B583549" w14:textId="77777777">
            <w:pPr>
              <w:spacing w:after="0" w:line="264" w:lineRule="auto"/>
              <w:jc w:val="left"/>
            </w:pPr>
            <w:r>
              <w:rPr>
                <w:b/>
                <w:color w:val="1F4E79"/>
                <w:sz w:val="18"/>
              </w:rPr>
              <w:t>Mean</w:t>
            </w:r>
          </w:p>
        </w:tc>
        <w:tc>
          <w:tcPr>
            <w:tcW w:w="1200" w:type="dxa"/>
            <w:shd w:val="clear" w:color="auto" w:fill="EAF0F6"/>
            <w:tcMar>
              <w:top w:w="100" w:type="dxa"/>
              <w:left w:w="120" w:type="dxa"/>
              <w:bottom w:w="100" w:type="dxa"/>
              <w:right w:w="120" w:type="dxa"/>
            </w:tcMar>
            <w:vAlign w:val="center"/>
          </w:tcPr>
          <w:p w:rsidR="00F92276" w:rsidRDefault="000A344B" w14:paraId="2200E42C" w14:textId="77777777">
            <w:pPr>
              <w:spacing w:after="0" w:line="264" w:lineRule="auto"/>
              <w:jc w:val="left"/>
            </w:pPr>
            <w:r>
              <w:rPr>
                <w:b/>
                <w:color w:val="1F4E79"/>
                <w:sz w:val="18"/>
              </w:rPr>
              <w:t>SD</w:t>
            </w:r>
          </w:p>
        </w:tc>
        <w:tc>
          <w:tcPr>
            <w:tcW w:w="1200" w:type="dxa"/>
            <w:shd w:val="clear" w:color="auto" w:fill="EAF0F6"/>
            <w:tcMar>
              <w:top w:w="100" w:type="dxa"/>
              <w:left w:w="120" w:type="dxa"/>
              <w:bottom w:w="100" w:type="dxa"/>
              <w:right w:w="120" w:type="dxa"/>
            </w:tcMar>
            <w:vAlign w:val="center"/>
          </w:tcPr>
          <w:p w:rsidR="00F92276" w:rsidRDefault="000A344B" w14:paraId="173E3DBC" w14:textId="77777777">
            <w:pPr>
              <w:spacing w:after="0" w:line="264" w:lineRule="auto"/>
              <w:jc w:val="left"/>
            </w:pPr>
            <w:r>
              <w:rPr>
                <w:b/>
                <w:color w:val="1F4E79"/>
                <w:sz w:val="18"/>
              </w:rPr>
              <w:t>Median</w:t>
            </w:r>
          </w:p>
        </w:tc>
        <w:tc>
          <w:tcPr>
            <w:tcW w:w="1450" w:type="dxa"/>
            <w:shd w:val="clear" w:color="auto" w:fill="EAF0F6"/>
            <w:tcMar>
              <w:top w:w="100" w:type="dxa"/>
              <w:left w:w="120" w:type="dxa"/>
              <w:bottom w:w="100" w:type="dxa"/>
              <w:right w:w="120" w:type="dxa"/>
            </w:tcMar>
            <w:vAlign w:val="center"/>
          </w:tcPr>
          <w:p w:rsidR="00F92276" w:rsidRDefault="000A344B" w14:paraId="49D30F4B" w14:textId="77777777">
            <w:pPr>
              <w:spacing w:after="0" w:line="264" w:lineRule="auto"/>
              <w:jc w:val="left"/>
            </w:pPr>
            <w:r>
              <w:rPr>
                <w:b/>
                <w:color w:val="1F4E79"/>
                <w:sz w:val="18"/>
              </w:rPr>
              <w:t>Min</w:t>
            </w:r>
          </w:p>
        </w:tc>
        <w:tc>
          <w:tcPr>
            <w:tcW w:w="1450" w:type="dxa"/>
            <w:shd w:val="clear" w:color="auto" w:fill="EAF0F6"/>
            <w:tcMar>
              <w:top w:w="100" w:type="dxa"/>
              <w:left w:w="120" w:type="dxa"/>
              <w:bottom w:w="100" w:type="dxa"/>
              <w:right w:w="120" w:type="dxa"/>
            </w:tcMar>
            <w:vAlign w:val="center"/>
          </w:tcPr>
          <w:p w:rsidR="00F92276" w:rsidRDefault="000A344B" w14:paraId="40FE7A5A" w14:textId="77777777">
            <w:pPr>
              <w:spacing w:after="0" w:line="264" w:lineRule="auto"/>
              <w:jc w:val="left"/>
            </w:pPr>
            <w:r>
              <w:rPr>
                <w:b/>
                <w:color w:val="1F4E79"/>
                <w:sz w:val="18"/>
              </w:rPr>
              <w:t>Max</w:t>
            </w:r>
          </w:p>
        </w:tc>
      </w:tr>
      <w:tr w:rsidR="00F92276" w14:paraId="029DD5BE" w14:textId="77777777">
        <w:tc>
          <w:tcPr>
            <w:tcW w:w="1960" w:type="dxa"/>
            <w:tcMar>
              <w:top w:w="100" w:type="dxa"/>
              <w:left w:w="120" w:type="dxa"/>
              <w:bottom w:w="100" w:type="dxa"/>
              <w:right w:w="120" w:type="dxa"/>
            </w:tcMar>
            <w:vAlign w:val="center"/>
          </w:tcPr>
          <w:p w:rsidR="00F92276" w:rsidRDefault="000A344B" w14:paraId="4848591C" w14:textId="77777777">
            <w:pPr>
              <w:spacing w:after="0" w:line="264" w:lineRule="auto"/>
              <w:jc w:val="left"/>
            </w:pPr>
            <w:r>
              <w:rPr>
                <w:sz w:val="18"/>
              </w:rPr>
              <w:t>Average rating</w:t>
            </w:r>
          </w:p>
        </w:tc>
        <w:tc>
          <w:tcPr>
            <w:tcW w:w="900" w:type="dxa"/>
            <w:tcMar>
              <w:top w:w="100" w:type="dxa"/>
              <w:left w:w="120" w:type="dxa"/>
              <w:bottom w:w="100" w:type="dxa"/>
              <w:right w:w="120" w:type="dxa"/>
            </w:tcMar>
            <w:vAlign w:val="center"/>
          </w:tcPr>
          <w:p w:rsidR="00F92276" w:rsidRDefault="000A344B" w14:paraId="1A8F5387" w14:textId="77777777">
            <w:pPr>
              <w:spacing w:after="0" w:line="264" w:lineRule="auto"/>
              <w:jc w:val="left"/>
            </w:pPr>
            <w:r>
              <w:rPr>
                <w:sz w:val="18"/>
              </w:rPr>
              <w:t>9,387</w:t>
            </w:r>
          </w:p>
        </w:tc>
        <w:tc>
          <w:tcPr>
            <w:tcW w:w="1200" w:type="dxa"/>
            <w:tcMar>
              <w:top w:w="100" w:type="dxa"/>
              <w:left w:w="120" w:type="dxa"/>
              <w:bottom w:w="100" w:type="dxa"/>
              <w:right w:w="120" w:type="dxa"/>
            </w:tcMar>
            <w:vAlign w:val="center"/>
          </w:tcPr>
          <w:p w:rsidR="00F92276" w:rsidRDefault="000A344B" w14:paraId="0784190B" w14:textId="77777777">
            <w:pPr>
              <w:spacing w:after="0" w:line="264" w:lineRule="auto"/>
              <w:jc w:val="left"/>
            </w:pPr>
            <w:r>
              <w:rPr>
                <w:sz w:val="18"/>
              </w:rPr>
              <w:t>3.27</w:t>
            </w:r>
          </w:p>
        </w:tc>
        <w:tc>
          <w:tcPr>
            <w:tcW w:w="1200" w:type="dxa"/>
            <w:tcMar>
              <w:top w:w="100" w:type="dxa"/>
              <w:left w:w="120" w:type="dxa"/>
              <w:bottom w:w="100" w:type="dxa"/>
              <w:right w:w="120" w:type="dxa"/>
            </w:tcMar>
            <w:vAlign w:val="center"/>
          </w:tcPr>
          <w:p w:rsidR="00F92276" w:rsidRDefault="000A344B" w14:paraId="71C17AE8" w14:textId="77777777">
            <w:pPr>
              <w:spacing w:after="0" w:line="264" w:lineRule="auto"/>
              <w:jc w:val="left"/>
            </w:pPr>
            <w:r>
              <w:rPr>
                <w:sz w:val="18"/>
              </w:rPr>
              <w:t>0.54</w:t>
            </w:r>
          </w:p>
        </w:tc>
        <w:tc>
          <w:tcPr>
            <w:tcW w:w="1200" w:type="dxa"/>
            <w:tcMar>
              <w:top w:w="100" w:type="dxa"/>
              <w:left w:w="120" w:type="dxa"/>
              <w:bottom w:w="100" w:type="dxa"/>
              <w:right w:w="120" w:type="dxa"/>
            </w:tcMar>
            <w:vAlign w:val="center"/>
          </w:tcPr>
          <w:p w:rsidR="00F92276" w:rsidRDefault="000A344B" w14:paraId="2695142A" w14:textId="77777777">
            <w:pPr>
              <w:spacing w:after="0" w:line="264" w:lineRule="auto"/>
              <w:jc w:val="left"/>
            </w:pPr>
            <w:r>
              <w:rPr>
                <w:sz w:val="18"/>
              </w:rPr>
              <w:t>3.30</w:t>
            </w:r>
          </w:p>
        </w:tc>
        <w:tc>
          <w:tcPr>
            <w:tcW w:w="1450" w:type="dxa"/>
            <w:tcMar>
              <w:top w:w="100" w:type="dxa"/>
              <w:left w:w="120" w:type="dxa"/>
              <w:bottom w:w="100" w:type="dxa"/>
              <w:right w:w="120" w:type="dxa"/>
            </w:tcMar>
            <w:vAlign w:val="center"/>
          </w:tcPr>
          <w:p w:rsidR="00F92276" w:rsidRDefault="000A344B" w14:paraId="403348BA" w14:textId="77777777">
            <w:pPr>
              <w:spacing w:after="0" w:line="264" w:lineRule="auto"/>
              <w:jc w:val="left"/>
            </w:pPr>
            <w:r>
              <w:rPr>
                <w:sz w:val="18"/>
              </w:rPr>
              <w:t>1.08</w:t>
            </w:r>
          </w:p>
        </w:tc>
        <w:tc>
          <w:tcPr>
            <w:tcW w:w="1450" w:type="dxa"/>
            <w:tcMar>
              <w:top w:w="100" w:type="dxa"/>
              <w:left w:w="120" w:type="dxa"/>
              <w:bottom w:w="100" w:type="dxa"/>
              <w:right w:w="120" w:type="dxa"/>
            </w:tcMar>
            <w:vAlign w:val="center"/>
          </w:tcPr>
          <w:p w:rsidR="00F92276" w:rsidRDefault="000A344B" w14:paraId="0A79EDA0" w14:textId="77777777">
            <w:pPr>
              <w:spacing w:after="0" w:line="264" w:lineRule="auto"/>
              <w:jc w:val="left"/>
            </w:pPr>
            <w:r>
              <w:rPr>
                <w:sz w:val="18"/>
              </w:rPr>
              <w:t>4.71</w:t>
            </w:r>
          </w:p>
        </w:tc>
      </w:tr>
      <w:tr w:rsidR="00F92276" w14:paraId="70502AB6" w14:textId="77777777">
        <w:tc>
          <w:tcPr>
            <w:tcW w:w="1960" w:type="dxa"/>
            <w:tcMar>
              <w:top w:w="100" w:type="dxa"/>
              <w:left w:w="120" w:type="dxa"/>
              <w:bottom w:w="100" w:type="dxa"/>
              <w:right w:w="120" w:type="dxa"/>
            </w:tcMar>
            <w:vAlign w:val="center"/>
          </w:tcPr>
          <w:p w:rsidR="00F92276" w:rsidRDefault="000A344B" w14:paraId="7C1D797D" w14:textId="77777777">
            <w:pPr>
              <w:spacing w:after="0" w:line="264" w:lineRule="auto"/>
              <w:jc w:val="left"/>
            </w:pPr>
            <w:r>
              <w:rPr>
                <w:sz w:val="18"/>
              </w:rPr>
              <w:t>Watches</w:t>
            </w:r>
          </w:p>
        </w:tc>
        <w:tc>
          <w:tcPr>
            <w:tcW w:w="900" w:type="dxa"/>
            <w:tcMar>
              <w:top w:w="100" w:type="dxa"/>
              <w:left w:w="120" w:type="dxa"/>
              <w:bottom w:w="100" w:type="dxa"/>
              <w:right w:w="120" w:type="dxa"/>
            </w:tcMar>
            <w:vAlign w:val="center"/>
          </w:tcPr>
          <w:p w:rsidR="00F92276" w:rsidRDefault="000A344B" w14:paraId="11CABBB5" w14:textId="77777777">
            <w:pPr>
              <w:spacing w:after="0" w:line="264" w:lineRule="auto"/>
              <w:jc w:val="left"/>
            </w:pPr>
            <w:r>
              <w:rPr>
                <w:sz w:val="18"/>
              </w:rPr>
              <w:t>9,387</w:t>
            </w:r>
          </w:p>
        </w:tc>
        <w:tc>
          <w:tcPr>
            <w:tcW w:w="1200" w:type="dxa"/>
            <w:tcMar>
              <w:top w:w="100" w:type="dxa"/>
              <w:left w:w="120" w:type="dxa"/>
              <w:bottom w:w="100" w:type="dxa"/>
              <w:right w:w="120" w:type="dxa"/>
            </w:tcMar>
            <w:vAlign w:val="center"/>
          </w:tcPr>
          <w:p w:rsidR="00F92276" w:rsidRDefault="000A344B" w14:paraId="298FCC92" w14:textId="77777777">
            <w:pPr>
              <w:spacing w:after="0" w:line="264" w:lineRule="auto"/>
              <w:jc w:val="left"/>
            </w:pPr>
            <w:r>
              <w:rPr>
                <w:sz w:val="18"/>
              </w:rPr>
              <w:t>181,120.19</w:t>
            </w:r>
          </w:p>
        </w:tc>
        <w:tc>
          <w:tcPr>
            <w:tcW w:w="1200" w:type="dxa"/>
            <w:tcMar>
              <w:top w:w="100" w:type="dxa"/>
              <w:left w:w="120" w:type="dxa"/>
              <w:bottom w:w="100" w:type="dxa"/>
              <w:right w:w="120" w:type="dxa"/>
            </w:tcMar>
            <w:vAlign w:val="center"/>
          </w:tcPr>
          <w:p w:rsidR="00F92276" w:rsidRDefault="000A344B" w14:paraId="0CA7D143" w14:textId="77777777">
            <w:pPr>
              <w:spacing w:after="0" w:line="264" w:lineRule="auto"/>
              <w:jc w:val="left"/>
            </w:pPr>
            <w:r>
              <w:rPr>
                <w:sz w:val="18"/>
              </w:rPr>
              <w:t>470,931.74</w:t>
            </w:r>
          </w:p>
        </w:tc>
        <w:tc>
          <w:tcPr>
            <w:tcW w:w="1200" w:type="dxa"/>
            <w:tcMar>
              <w:top w:w="100" w:type="dxa"/>
              <w:left w:w="120" w:type="dxa"/>
              <w:bottom w:w="100" w:type="dxa"/>
              <w:right w:w="120" w:type="dxa"/>
            </w:tcMar>
            <w:vAlign w:val="center"/>
          </w:tcPr>
          <w:p w:rsidR="00F92276" w:rsidRDefault="000A344B" w14:paraId="1D13B11D" w14:textId="77777777">
            <w:pPr>
              <w:spacing w:after="0" w:line="264" w:lineRule="auto"/>
              <w:jc w:val="left"/>
            </w:pPr>
            <w:r>
              <w:rPr>
                <w:sz w:val="18"/>
              </w:rPr>
              <w:t>22,970.00</w:t>
            </w:r>
          </w:p>
        </w:tc>
        <w:tc>
          <w:tcPr>
            <w:tcW w:w="1450" w:type="dxa"/>
            <w:tcMar>
              <w:top w:w="100" w:type="dxa"/>
              <w:left w:w="120" w:type="dxa"/>
              <w:bottom w:w="100" w:type="dxa"/>
              <w:right w:w="120" w:type="dxa"/>
            </w:tcMar>
            <w:vAlign w:val="center"/>
          </w:tcPr>
          <w:p w:rsidR="00F92276" w:rsidRDefault="000A344B" w14:paraId="177E5ABD" w14:textId="77777777">
            <w:pPr>
              <w:spacing w:after="0" w:line="264" w:lineRule="auto"/>
              <w:jc w:val="left"/>
            </w:pPr>
            <w:r>
              <w:rPr>
                <w:sz w:val="18"/>
              </w:rPr>
              <w:t>259.00</w:t>
            </w:r>
          </w:p>
        </w:tc>
        <w:tc>
          <w:tcPr>
            <w:tcW w:w="1450" w:type="dxa"/>
            <w:tcMar>
              <w:top w:w="100" w:type="dxa"/>
              <w:left w:w="120" w:type="dxa"/>
              <w:bottom w:w="100" w:type="dxa"/>
              <w:right w:w="120" w:type="dxa"/>
            </w:tcMar>
            <w:vAlign w:val="center"/>
          </w:tcPr>
          <w:p w:rsidR="00F92276" w:rsidRDefault="000A344B" w14:paraId="656BB6C9" w14:textId="77777777">
            <w:pPr>
              <w:spacing w:after="0" w:line="264" w:lineRule="auto"/>
              <w:jc w:val="left"/>
            </w:pPr>
            <w:r>
              <w:rPr>
                <w:sz w:val="18"/>
              </w:rPr>
              <w:t>5,195,503.00</w:t>
            </w:r>
          </w:p>
        </w:tc>
      </w:tr>
      <w:tr w:rsidR="00F92276" w14:paraId="6D6D7C5D" w14:textId="77777777">
        <w:tc>
          <w:tcPr>
            <w:tcW w:w="1960" w:type="dxa"/>
            <w:tcMar>
              <w:top w:w="100" w:type="dxa"/>
              <w:left w:w="120" w:type="dxa"/>
              <w:bottom w:w="100" w:type="dxa"/>
              <w:right w:w="120" w:type="dxa"/>
            </w:tcMar>
            <w:vAlign w:val="center"/>
          </w:tcPr>
          <w:p w:rsidR="00F92276" w:rsidRDefault="000A344B" w14:paraId="4E838552" w14:textId="77777777">
            <w:pPr>
              <w:spacing w:after="0" w:line="264" w:lineRule="auto"/>
              <w:jc w:val="left"/>
            </w:pPr>
            <w:r>
              <w:rPr>
                <w:sz w:val="18"/>
              </w:rPr>
              <w:t>Likes</w:t>
            </w:r>
          </w:p>
        </w:tc>
        <w:tc>
          <w:tcPr>
            <w:tcW w:w="900" w:type="dxa"/>
            <w:tcMar>
              <w:top w:w="100" w:type="dxa"/>
              <w:left w:w="120" w:type="dxa"/>
              <w:bottom w:w="100" w:type="dxa"/>
              <w:right w:w="120" w:type="dxa"/>
            </w:tcMar>
            <w:vAlign w:val="center"/>
          </w:tcPr>
          <w:p w:rsidR="00F92276" w:rsidRDefault="000A344B" w14:paraId="269E88B6" w14:textId="77777777">
            <w:pPr>
              <w:spacing w:after="0" w:line="264" w:lineRule="auto"/>
              <w:jc w:val="left"/>
            </w:pPr>
            <w:r>
              <w:rPr>
                <w:sz w:val="18"/>
              </w:rPr>
              <w:t>9,387</w:t>
            </w:r>
          </w:p>
        </w:tc>
        <w:tc>
          <w:tcPr>
            <w:tcW w:w="1200" w:type="dxa"/>
            <w:tcMar>
              <w:top w:w="100" w:type="dxa"/>
              <w:left w:w="120" w:type="dxa"/>
              <w:bottom w:w="100" w:type="dxa"/>
              <w:right w:w="120" w:type="dxa"/>
            </w:tcMar>
            <w:vAlign w:val="center"/>
          </w:tcPr>
          <w:p w:rsidR="00F92276" w:rsidRDefault="000A344B" w14:paraId="2AEF7381" w14:textId="77777777">
            <w:pPr>
              <w:spacing w:after="0" w:line="264" w:lineRule="auto"/>
              <w:jc w:val="left"/>
            </w:pPr>
            <w:r>
              <w:rPr>
                <w:sz w:val="18"/>
              </w:rPr>
              <w:t>46,542.85</w:t>
            </w:r>
          </w:p>
        </w:tc>
        <w:tc>
          <w:tcPr>
            <w:tcW w:w="1200" w:type="dxa"/>
            <w:tcMar>
              <w:top w:w="100" w:type="dxa"/>
              <w:left w:w="120" w:type="dxa"/>
              <w:bottom w:w="100" w:type="dxa"/>
              <w:right w:w="120" w:type="dxa"/>
            </w:tcMar>
            <w:vAlign w:val="center"/>
          </w:tcPr>
          <w:p w:rsidR="00F92276" w:rsidRDefault="000A344B" w14:paraId="3F2ED6FB" w14:textId="77777777">
            <w:pPr>
              <w:spacing w:after="0" w:line="264" w:lineRule="auto"/>
              <w:jc w:val="left"/>
            </w:pPr>
            <w:r>
              <w:rPr>
                <w:sz w:val="18"/>
              </w:rPr>
              <w:t>155,968.63</w:t>
            </w:r>
          </w:p>
        </w:tc>
        <w:tc>
          <w:tcPr>
            <w:tcW w:w="1200" w:type="dxa"/>
            <w:tcMar>
              <w:top w:w="100" w:type="dxa"/>
              <w:left w:w="120" w:type="dxa"/>
              <w:bottom w:w="100" w:type="dxa"/>
              <w:right w:w="120" w:type="dxa"/>
            </w:tcMar>
            <w:vAlign w:val="center"/>
          </w:tcPr>
          <w:p w:rsidR="00F92276" w:rsidRDefault="000A344B" w14:paraId="02FA4117" w14:textId="77777777">
            <w:pPr>
              <w:spacing w:after="0" w:line="264" w:lineRule="auto"/>
              <w:jc w:val="left"/>
            </w:pPr>
            <w:r>
              <w:rPr>
                <w:sz w:val="18"/>
              </w:rPr>
              <w:t>4,121.00</w:t>
            </w:r>
          </w:p>
        </w:tc>
        <w:tc>
          <w:tcPr>
            <w:tcW w:w="1450" w:type="dxa"/>
            <w:tcMar>
              <w:top w:w="100" w:type="dxa"/>
              <w:left w:w="120" w:type="dxa"/>
              <w:bottom w:w="100" w:type="dxa"/>
              <w:right w:w="120" w:type="dxa"/>
            </w:tcMar>
            <w:vAlign w:val="center"/>
          </w:tcPr>
          <w:p w:rsidR="00F92276" w:rsidRDefault="000A344B" w14:paraId="559FC407" w14:textId="77777777">
            <w:pPr>
              <w:spacing w:after="0" w:line="264" w:lineRule="auto"/>
              <w:jc w:val="left"/>
            </w:pPr>
            <w:r>
              <w:rPr>
                <w:sz w:val="18"/>
              </w:rPr>
              <w:t>15.00</w:t>
            </w:r>
          </w:p>
        </w:tc>
        <w:tc>
          <w:tcPr>
            <w:tcW w:w="1450" w:type="dxa"/>
            <w:tcMar>
              <w:top w:w="100" w:type="dxa"/>
              <w:left w:w="120" w:type="dxa"/>
              <w:bottom w:w="100" w:type="dxa"/>
              <w:right w:w="120" w:type="dxa"/>
            </w:tcMar>
            <w:vAlign w:val="center"/>
          </w:tcPr>
          <w:p w:rsidR="00F92276" w:rsidRDefault="000A344B" w14:paraId="6D3034FB" w14:textId="77777777">
            <w:pPr>
              <w:spacing w:after="0" w:line="264" w:lineRule="auto"/>
              <w:jc w:val="left"/>
            </w:pPr>
            <w:r>
              <w:rPr>
                <w:sz w:val="18"/>
              </w:rPr>
              <w:t>2,730,813.00</w:t>
            </w:r>
          </w:p>
        </w:tc>
      </w:tr>
      <w:tr w:rsidR="00F92276" w14:paraId="3B909797" w14:textId="77777777">
        <w:tc>
          <w:tcPr>
            <w:tcW w:w="1960" w:type="dxa"/>
            <w:tcMar>
              <w:top w:w="100" w:type="dxa"/>
              <w:left w:w="120" w:type="dxa"/>
              <w:bottom w:w="100" w:type="dxa"/>
              <w:right w:w="120" w:type="dxa"/>
            </w:tcMar>
            <w:vAlign w:val="center"/>
          </w:tcPr>
          <w:p w:rsidR="00F92276" w:rsidRDefault="000A344B" w14:paraId="1C48ED4E" w14:textId="77777777">
            <w:pPr>
              <w:spacing w:after="0" w:line="264" w:lineRule="auto"/>
              <w:jc w:val="left"/>
            </w:pPr>
            <w:r>
              <w:rPr>
                <w:sz w:val="18"/>
              </w:rPr>
              <w:t>Fans</w:t>
            </w:r>
          </w:p>
        </w:tc>
        <w:tc>
          <w:tcPr>
            <w:tcW w:w="900" w:type="dxa"/>
            <w:tcMar>
              <w:top w:w="100" w:type="dxa"/>
              <w:left w:w="120" w:type="dxa"/>
              <w:bottom w:w="100" w:type="dxa"/>
              <w:right w:w="120" w:type="dxa"/>
            </w:tcMar>
            <w:vAlign w:val="center"/>
          </w:tcPr>
          <w:p w:rsidR="00F92276" w:rsidRDefault="000A344B" w14:paraId="34C48401" w14:textId="77777777">
            <w:pPr>
              <w:spacing w:after="0" w:line="264" w:lineRule="auto"/>
              <w:jc w:val="left"/>
            </w:pPr>
            <w:r>
              <w:rPr>
                <w:sz w:val="18"/>
              </w:rPr>
              <w:t>9,387</w:t>
            </w:r>
          </w:p>
        </w:tc>
        <w:tc>
          <w:tcPr>
            <w:tcW w:w="1200" w:type="dxa"/>
            <w:tcMar>
              <w:top w:w="100" w:type="dxa"/>
              <w:left w:w="120" w:type="dxa"/>
              <w:bottom w:w="100" w:type="dxa"/>
              <w:right w:w="120" w:type="dxa"/>
            </w:tcMar>
            <w:vAlign w:val="center"/>
          </w:tcPr>
          <w:p w:rsidR="00F92276" w:rsidRDefault="000A344B" w14:paraId="7208FCD1" w14:textId="77777777">
            <w:pPr>
              <w:spacing w:after="0" w:line="264" w:lineRule="auto"/>
              <w:jc w:val="left"/>
            </w:pPr>
            <w:r>
              <w:rPr>
                <w:sz w:val="18"/>
              </w:rPr>
              <w:t>1,760.20</w:t>
            </w:r>
          </w:p>
        </w:tc>
        <w:tc>
          <w:tcPr>
            <w:tcW w:w="1200" w:type="dxa"/>
            <w:tcMar>
              <w:top w:w="100" w:type="dxa"/>
              <w:left w:w="120" w:type="dxa"/>
              <w:bottom w:w="100" w:type="dxa"/>
              <w:right w:w="120" w:type="dxa"/>
            </w:tcMar>
            <w:vAlign w:val="center"/>
          </w:tcPr>
          <w:p w:rsidR="00F92276" w:rsidRDefault="000A344B" w14:paraId="5DD7D1B0" w14:textId="77777777">
            <w:pPr>
              <w:spacing w:after="0" w:line="264" w:lineRule="auto"/>
              <w:jc w:val="left"/>
            </w:pPr>
            <w:r>
              <w:rPr>
                <w:sz w:val="18"/>
              </w:rPr>
              <w:t>9,659.55</w:t>
            </w:r>
          </w:p>
        </w:tc>
        <w:tc>
          <w:tcPr>
            <w:tcW w:w="1200" w:type="dxa"/>
            <w:tcMar>
              <w:top w:w="100" w:type="dxa"/>
              <w:left w:w="120" w:type="dxa"/>
              <w:bottom w:w="100" w:type="dxa"/>
              <w:right w:w="120" w:type="dxa"/>
            </w:tcMar>
            <w:vAlign w:val="center"/>
          </w:tcPr>
          <w:p w:rsidR="00F92276" w:rsidRDefault="000A344B" w14:paraId="3B943F34" w14:textId="77777777">
            <w:pPr>
              <w:spacing w:after="0" w:line="264" w:lineRule="auto"/>
              <w:jc w:val="left"/>
            </w:pPr>
            <w:r>
              <w:rPr>
                <w:sz w:val="18"/>
              </w:rPr>
              <w:t>32.00</w:t>
            </w:r>
          </w:p>
        </w:tc>
        <w:tc>
          <w:tcPr>
            <w:tcW w:w="1450" w:type="dxa"/>
            <w:tcMar>
              <w:top w:w="100" w:type="dxa"/>
              <w:left w:w="120" w:type="dxa"/>
              <w:bottom w:w="100" w:type="dxa"/>
              <w:right w:w="120" w:type="dxa"/>
            </w:tcMar>
            <w:vAlign w:val="center"/>
          </w:tcPr>
          <w:p w:rsidR="00F92276" w:rsidRDefault="000A344B" w14:paraId="414987CE" w14:textId="77777777">
            <w:pPr>
              <w:spacing w:after="0" w:line="264" w:lineRule="auto"/>
              <w:jc w:val="left"/>
            </w:pPr>
            <w:r>
              <w:rPr>
                <w:sz w:val="18"/>
              </w:rPr>
              <w:t>0.00</w:t>
            </w:r>
          </w:p>
        </w:tc>
        <w:tc>
          <w:tcPr>
            <w:tcW w:w="1450" w:type="dxa"/>
            <w:tcMar>
              <w:top w:w="100" w:type="dxa"/>
              <w:left w:w="120" w:type="dxa"/>
              <w:bottom w:w="100" w:type="dxa"/>
              <w:right w:w="120" w:type="dxa"/>
            </w:tcMar>
            <w:vAlign w:val="center"/>
          </w:tcPr>
          <w:p w:rsidR="00F92276" w:rsidRDefault="000A344B" w14:paraId="3CEBC27A" w14:textId="77777777">
            <w:pPr>
              <w:spacing w:after="0" w:line="264" w:lineRule="auto"/>
              <w:jc w:val="left"/>
            </w:pPr>
            <w:r>
              <w:rPr>
                <w:sz w:val="18"/>
              </w:rPr>
              <w:t>326,000.00</w:t>
            </w:r>
          </w:p>
        </w:tc>
      </w:tr>
      <w:tr w:rsidR="00F92276" w14:paraId="5ADDDC28" w14:textId="77777777">
        <w:tc>
          <w:tcPr>
            <w:tcW w:w="1960" w:type="dxa"/>
            <w:tcMar>
              <w:top w:w="100" w:type="dxa"/>
              <w:left w:w="120" w:type="dxa"/>
              <w:bottom w:w="100" w:type="dxa"/>
              <w:right w:w="120" w:type="dxa"/>
            </w:tcMar>
            <w:vAlign w:val="center"/>
          </w:tcPr>
          <w:p w:rsidR="00F92276" w:rsidRDefault="000A344B" w14:paraId="35144A75" w14:textId="77777777">
            <w:pPr>
              <w:spacing w:after="0" w:line="264" w:lineRule="auto"/>
              <w:jc w:val="left"/>
            </w:pPr>
            <w:r>
              <w:rPr>
                <w:sz w:val="18"/>
              </w:rPr>
              <w:t>Runtime (min)</w:t>
            </w:r>
          </w:p>
        </w:tc>
        <w:tc>
          <w:tcPr>
            <w:tcW w:w="900" w:type="dxa"/>
            <w:tcMar>
              <w:top w:w="100" w:type="dxa"/>
              <w:left w:w="120" w:type="dxa"/>
              <w:bottom w:w="100" w:type="dxa"/>
              <w:right w:w="120" w:type="dxa"/>
            </w:tcMar>
            <w:vAlign w:val="center"/>
          </w:tcPr>
          <w:p w:rsidR="00F92276" w:rsidRDefault="000A344B" w14:paraId="667932BC" w14:textId="77777777">
            <w:pPr>
              <w:spacing w:after="0" w:line="264" w:lineRule="auto"/>
              <w:jc w:val="left"/>
            </w:pPr>
            <w:r>
              <w:rPr>
                <w:sz w:val="18"/>
              </w:rPr>
              <w:t>9,387</w:t>
            </w:r>
          </w:p>
        </w:tc>
        <w:tc>
          <w:tcPr>
            <w:tcW w:w="1200" w:type="dxa"/>
            <w:tcMar>
              <w:top w:w="100" w:type="dxa"/>
              <w:left w:w="120" w:type="dxa"/>
              <w:bottom w:w="100" w:type="dxa"/>
              <w:right w:w="120" w:type="dxa"/>
            </w:tcMar>
            <w:vAlign w:val="center"/>
          </w:tcPr>
          <w:p w:rsidR="00F92276" w:rsidRDefault="000A344B" w14:paraId="529C3408" w14:textId="77777777">
            <w:pPr>
              <w:spacing w:after="0" w:line="264" w:lineRule="auto"/>
              <w:jc w:val="left"/>
            </w:pPr>
            <w:r>
              <w:rPr>
                <w:sz w:val="18"/>
              </w:rPr>
              <w:t>103.92</w:t>
            </w:r>
          </w:p>
        </w:tc>
        <w:tc>
          <w:tcPr>
            <w:tcW w:w="1200" w:type="dxa"/>
            <w:tcMar>
              <w:top w:w="100" w:type="dxa"/>
              <w:left w:w="120" w:type="dxa"/>
              <w:bottom w:w="100" w:type="dxa"/>
              <w:right w:w="120" w:type="dxa"/>
            </w:tcMar>
            <w:vAlign w:val="center"/>
          </w:tcPr>
          <w:p w:rsidR="00F92276" w:rsidRDefault="000A344B" w14:paraId="4D84F9A9" w14:textId="77777777">
            <w:pPr>
              <w:spacing w:after="0" w:line="264" w:lineRule="auto"/>
              <w:jc w:val="left"/>
            </w:pPr>
            <w:r>
              <w:rPr>
                <w:sz w:val="18"/>
              </w:rPr>
              <w:t>37.90</w:t>
            </w:r>
          </w:p>
        </w:tc>
        <w:tc>
          <w:tcPr>
            <w:tcW w:w="1200" w:type="dxa"/>
            <w:tcMar>
              <w:top w:w="100" w:type="dxa"/>
              <w:left w:w="120" w:type="dxa"/>
              <w:bottom w:w="100" w:type="dxa"/>
              <w:right w:w="120" w:type="dxa"/>
            </w:tcMar>
            <w:vAlign w:val="center"/>
          </w:tcPr>
          <w:p w:rsidR="00F92276" w:rsidRDefault="000A344B" w14:paraId="016AB1AC" w14:textId="77777777">
            <w:pPr>
              <w:spacing w:after="0" w:line="264" w:lineRule="auto"/>
              <w:jc w:val="left"/>
            </w:pPr>
            <w:r>
              <w:rPr>
                <w:sz w:val="18"/>
              </w:rPr>
              <w:t>100.00</w:t>
            </w:r>
          </w:p>
        </w:tc>
        <w:tc>
          <w:tcPr>
            <w:tcW w:w="1450" w:type="dxa"/>
            <w:tcMar>
              <w:top w:w="100" w:type="dxa"/>
              <w:left w:w="120" w:type="dxa"/>
              <w:bottom w:w="100" w:type="dxa"/>
              <w:right w:w="120" w:type="dxa"/>
            </w:tcMar>
            <w:vAlign w:val="center"/>
          </w:tcPr>
          <w:p w:rsidR="00F92276" w:rsidRDefault="000A344B" w14:paraId="752ECED3" w14:textId="77777777">
            <w:pPr>
              <w:spacing w:after="0" w:line="264" w:lineRule="auto"/>
              <w:jc w:val="left"/>
            </w:pPr>
            <w:r>
              <w:rPr>
                <w:sz w:val="18"/>
              </w:rPr>
              <w:t>2.00</w:t>
            </w:r>
          </w:p>
        </w:tc>
        <w:tc>
          <w:tcPr>
            <w:tcW w:w="1450" w:type="dxa"/>
            <w:tcMar>
              <w:top w:w="100" w:type="dxa"/>
              <w:left w:w="120" w:type="dxa"/>
              <w:bottom w:w="100" w:type="dxa"/>
              <w:right w:w="120" w:type="dxa"/>
            </w:tcMar>
            <w:vAlign w:val="center"/>
          </w:tcPr>
          <w:p w:rsidR="00F92276" w:rsidRDefault="000A344B" w14:paraId="1FC16F77" w14:textId="77777777">
            <w:pPr>
              <w:spacing w:after="0" w:line="264" w:lineRule="auto"/>
              <w:jc w:val="left"/>
            </w:pPr>
            <w:r>
              <w:rPr>
                <w:sz w:val="18"/>
              </w:rPr>
              <w:t>907.00</w:t>
            </w:r>
          </w:p>
        </w:tc>
      </w:tr>
    </w:tbl>
    <w:p w:rsidR="00F92276" w:rsidRDefault="00F92276" w14:paraId="0C53BFA7" w14:textId="77777777">
      <w:pPr>
        <w:spacing w:after="0"/>
      </w:pPr>
    </w:p>
    <w:p w:rsidR="00F92276" w:rsidRDefault="000A344B" w14:paraId="03EC2A56" w14:textId="77777777">
      <w:pPr>
        <w:keepNext/>
        <w:jc w:val="center"/>
      </w:pPr>
      <w:r>
        <w:rPr>
          <w:noProof/>
        </w:rPr>
        <w:lastRenderedPageBreak/>
        <w:drawing>
          <wp:inline distT="0" distB="0" distL="0" distR="0" wp14:anchorId="300C35CD" wp14:editId="5F78C958">
            <wp:extent cx="5623560" cy="32023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_distribution.png"/>
                    <pic:cNvPicPr/>
                  </pic:nvPicPr>
                  <pic:blipFill>
                    <a:blip r:embed="rId8"/>
                    <a:stretch>
                      <a:fillRect/>
                    </a:stretch>
                  </pic:blipFill>
                  <pic:spPr>
                    <a:xfrm>
                      <a:off x="0" y="0"/>
                      <a:ext cx="5623560" cy="3202305"/>
                    </a:xfrm>
                    <a:prstGeom prst="rect">
                      <a:avLst/>
                    </a:prstGeom>
                  </pic:spPr>
                </pic:pic>
              </a:graphicData>
            </a:graphic>
          </wp:inline>
        </w:drawing>
      </w:r>
    </w:p>
    <w:p w:rsidR="00F92276" w:rsidRDefault="000A344B" w14:paraId="1620CF5B" w14:textId="77777777">
      <w:pPr>
        <w:keepNext/>
        <w:spacing w:after="40"/>
        <w:jc w:val="center"/>
      </w:pPr>
      <w:r>
        <w:rPr>
          <w:b/>
          <w:sz w:val="20"/>
        </w:rPr>
        <w:t>Figure 1. Distribution of average film ratings</w:t>
      </w:r>
    </w:p>
    <w:p w:rsidR="00F92276" w:rsidRDefault="000A344B" w14:paraId="03BF8CAF" w14:textId="77777777">
      <w:pPr>
        <w:spacing w:after="160"/>
        <w:jc w:val="center"/>
      </w:pPr>
      <w:r>
        <w:rPr>
          <w:i/>
          <w:color w:val="595959"/>
          <w:sz w:val="18"/>
        </w:rPr>
        <w:t>Source: Author’s analysis of Movie_Data_File.csv.</w:t>
      </w:r>
    </w:p>
    <w:p w:rsidR="00F92276" w:rsidRDefault="000A344B" w14:paraId="6684D902" w14:textId="77777777">
      <w:pPr>
        <w:pStyle w:val="Heading1"/>
      </w:pPr>
      <w:r>
        <w:t>4. Trend Analysis and Visualisation</w:t>
      </w:r>
    </w:p>
    <w:p w:rsidR="00F92276" w:rsidRDefault="000A344B" w14:paraId="11860DDA" w14:textId="77777777">
      <w:r>
        <w:t xml:space="preserve">Primary-genre averages reveal a </w:t>
      </w:r>
      <w:r>
        <w:t>quality-versus-scale distinction. Among genres with at least 250 films, Documentary has the highest mean rating (3.668), followed by Drama (3.485), Crime (3.381) and Romance (3.360). Horror is lowest (2.976), with Science Fiction (3.011) and Action (3.049)</w:t>
      </w:r>
      <w:r>
        <w:t xml:space="preserve"> also below the overall mean. These values do not imply that documentary screenings will sell more tickets: Documentary’s median watches (4,952) and fans (4) are low, whereas Romance has median watches of 38,282 and 101 fans. Rating and audience volume mea</w:t>
      </w:r>
      <w:r>
        <w:t>sure different dimensions of success.</w:t>
      </w:r>
    </w:p>
    <w:p w:rsidR="00F92276" w:rsidRDefault="000A344B" w14:paraId="5ECE1BCA" w14:textId="77777777">
      <w:r>
        <w:t>Language shows a similar pattern. French (3.612) and Japanese (3.611) films have higher mean ratings than English films (3.208), while English films have much higher median watches (29,590) than French (24,764), Japane</w:t>
      </w:r>
      <w:r>
        <w:t xml:space="preserve">se (15,600), Korean (5,672) or Italian (4,691) films. Selection effects are plausible: only internationally visible non-English films may receive substantial Letterboxd attention, while English contains a broader quality range. Genre and language are also </w:t>
      </w:r>
      <w:r>
        <w:t>confounded with release era, distribution and user composition.</w:t>
      </w:r>
    </w:p>
    <w:p w:rsidR="00F92276" w:rsidRDefault="000A344B" w14:paraId="240D0C0C" w14:textId="77777777">
      <w:r>
        <w:lastRenderedPageBreak/>
        <w:t>For Everyman, the useful implication is portfolio design rather than replacing mainstream programming. Higher-rated international and documentary titles can support curated events, member comm</w:t>
      </w:r>
      <w:r>
        <w:t>unications and lower-frequency premium slots. Popular English-language titles remain important for volume. A dashboard should therefore separate predicted attendance, rating, fan intensity and local conversion. Bar charts should display minimum sample thre</w:t>
      </w:r>
      <w:r>
        <w:t>sholds, and scatter plots should use logarithmic axes because engagement counts span several orders of magnitude. Visual design must expose uncertainty instead of presenting rankings as precise causal facts.</w:t>
      </w:r>
    </w:p>
    <w:p w:rsidR="00F92276" w:rsidRDefault="000A344B" w14:paraId="2393DEE9" w14:textId="77777777">
      <w:r>
        <w:t>The watches-likes scatter plot shows a tight upw</w:t>
      </w:r>
      <w:r>
        <w:t>ard relationship after logarithmic transformation, but heteroscedasticity remains: highly watched films display a wider range of like counts. A useful derived indicator is likes per thousand watches, calculated only above a minimum exposure threshold to av</w:t>
      </w:r>
      <w:r>
        <w:t>oid unstable ratios. Fan count is a stronger expression of intensity, but it is also rarer and more skewed. Everyman should track these variables as a small scorecard rather than combine them immediately into a single opaque index.</w:t>
      </w:r>
    </w:p>
    <w:p w:rsidR="00F92276" w:rsidRDefault="000A344B" w14:paraId="7ADB4D1C" w14:textId="77777777">
      <w:pPr>
        <w:keepNext/>
        <w:jc w:val="center"/>
      </w:pPr>
      <w:r>
        <w:rPr>
          <w:noProof/>
        </w:rPr>
        <w:drawing>
          <wp:inline distT="0" distB="0" distL="0" distR="0" wp14:anchorId="37D126EF" wp14:editId="6DCF833A">
            <wp:extent cx="5623560" cy="32023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re_mean_ratings.png"/>
                    <pic:cNvPicPr/>
                  </pic:nvPicPr>
                  <pic:blipFill>
                    <a:blip r:embed="rId9"/>
                    <a:stretch>
                      <a:fillRect/>
                    </a:stretch>
                  </pic:blipFill>
                  <pic:spPr>
                    <a:xfrm>
                      <a:off x="0" y="0"/>
                      <a:ext cx="5623560" cy="3202305"/>
                    </a:xfrm>
                    <a:prstGeom prst="rect">
                      <a:avLst/>
                    </a:prstGeom>
                  </pic:spPr>
                </pic:pic>
              </a:graphicData>
            </a:graphic>
          </wp:inline>
        </w:drawing>
      </w:r>
    </w:p>
    <w:p w:rsidR="00F92276" w:rsidRDefault="000A344B" w14:paraId="4A2A1B6A" w14:textId="77777777">
      <w:pPr>
        <w:keepNext/>
        <w:spacing w:after="40"/>
        <w:jc w:val="center"/>
      </w:pPr>
      <w:r>
        <w:rPr>
          <w:b/>
          <w:sz w:val="20"/>
        </w:rPr>
        <w:t xml:space="preserve">Figure 2. Mean </w:t>
      </w:r>
      <w:r>
        <w:rPr>
          <w:b/>
          <w:sz w:val="20"/>
        </w:rPr>
        <w:t>rating by primary genre</w:t>
      </w:r>
    </w:p>
    <w:p w:rsidR="00F92276" w:rsidRDefault="000A344B" w14:paraId="4C6A8F3E" w14:textId="77777777">
      <w:pPr>
        <w:spacing w:after="160"/>
        <w:jc w:val="center"/>
      </w:pPr>
      <w:r>
        <w:rPr>
          <w:i/>
          <w:color w:val="595959"/>
          <w:sz w:val="18"/>
        </w:rPr>
        <w:t>Source: Author’s analysis; only genres with at least 250 complete cases.</w:t>
      </w:r>
    </w:p>
    <w:p w:rsidR="00F92276" w:rsidRDefault="000A344B" w14:paraId="2F062048" w14:textId="77777777">
      <w:pPr>
        <w:keepNext/>
        <w:jc w:val="center"/>
      </w:pPr>
      <w:r>
        <w:rPr>
          <w:noProof/>
        </w:rPr>
        <w:lastRenderedPageBreak/>
        <w:drawing>
          <wp:inline distT="0" distB="0" distL="0" distR="0" wp14:anchorId="4CEA3132" wp14:editId="4F6E1F02">
            <wp:extent cx="5623560" cy="32023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tches_likes_scatter.png"/>
                    <pic:cNvPicPr/>
                  </pic:nvPicPr>
                  <pic:blipFill>
                    <a:blip r:embed="rId10"/>
                    <a:stretch>
                      <a:fillRect/>
                    </a:stretch>
                  </pic:blipFill>
                  <pic:spPr>
                    <a:xfrm>
                      <a:off x="0" y="0"/>
                      <a:ext cx="5623560" cy="3202305"/>
                    </a:xfrm>
                    <a:prstGeom prst="rect">
                      <a:avLst/>
                    </a:prstGeom>
                  </pic:spPr>
                </pic:pic>
              </a:graphicData>
            </a:graphic>
          </wp:inline>
        </w:drawing>
      </w:r>
    </w:p>
    <w:p w:rsidR="00F92276" w:rsidRDefault="000A344B" w14:paraId="19112D12" w14:textId="77777777">
      <w:pPr>
        <w:keepNext/>
        <w:spacing w:after="40"/>
        <w:jc w:val="center"/>
      </w:pPr>
      <w:r>
        <w:rPr>
          <w:b/>
          <w:sz w:val="20"/>
        </w:rPr>
        <w:t>Figure 3. Relationship between watches and likes</w:t>
      </w:r>
    </w:p>
    <w:p w:rsidR="00F92276" w:rsidRDefault="000A344B" w14:paraId="42FAC6E2" w14:textId="77777777">
      <w:pPr>
        <w:spacing w:after="160"/>
        <w:jc w:val="center"/>
      </w:pPr>
      <w:r>
        <w:rPr>
          <w:i/>
          <w:color w:val="595959"/>
          <w:sz w:val="18"/>
        </w:rPr>
        <w:t>Source: Author’s analysis; reproducible random sample of 6,000 films, log scales.</w:t>
      </w:r>
    </w:p>
    <w:p w:rsidR="00F92276" w:rsidRDefault="000A344B" w14:paraId="29ACA08C" w14:textId="77777777">
      <w:pPr>
        <w:keepNext/>
        <w:jc w:val="center"/>
      </w:pPr>
      <w:r>
        <w:rPr>
          <w:noProof/>
        </w:rPr>
        <w:drawing>
          <wp:inline distT="0" distB="0" distL="0" distR="0" wp14:anchorId="4EA87361" wp14:editId="2F5F4068">
            <wp:extent cx="5623560" cy="32023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guage_rating_boxplot.png"/>
                    <pic:cNvPicPr/>
                  </pic:nvPicPr>
                  <pic:blipFill>
                    <a:blip r:embed="rId11"/>
                    <a:stretch>
                      <a:fillRect/>
                    </a:stretch>
                  </pic:blipFill>
                  <pic:spPr>
                    <a:xfrm>
                      <a:off x="0" y="0"/>
                      <a:ext cx="5623560" cy="3202305"/>
                    </a:xfrm>
                    <a:prstGeom prst="rect">
                      <a:avLst/>
                    </a:prstGeom>
                  </pic:spPr>
                </pic:pic>
              </a:graphicData>
            </a:graphic>
          </wp:inline>
        </w:drawing>
      </w:r>
    </w:p>
    <w:p w:rsidR="00F92276" w:rsidRDefault="000A344B" w14:paraId="5E97E988" w14:textId="77777777">
      <w:pPr>
        <w:keepNext/>
        <w:spacing w:after="40"/>
        <w:jc w:val="center"/>
      </w:pPr>
      <w:r>
        <w:rPr>
          <w:b/>
          <w:sz w:val="20"/>
        </w:rPr>
        <w:t xml:space="preserve">Figure 4. Rating </w:t>
      </w:r>
      <w:r>
        <w:rPr>
          <w:b/>
          <w:sz w:val="20"/>
        </w:rPr>
        <w:t>distribution by original-language group</w:t>
      </w:r>
    </w:p>
    <w:p w:rsidR="00F92276" w:rsidRDefault="000A344B" w14:paraId="04E6FBF9" w14:textId="77777777">
      <w:pPr>
        <w:spacing w:after="160"/>
        <w:jc w:val="center"/>
      </w:pPr>
      <w:r>
        <w:rPr>
          <w:i/>
          <w:color w:val="595959"/>
          <w:sz w:val="18"/>
        </w:rPr>
        <w:t>Source: Author’s analysis; whiskers show the 5th and 95th percentiles.</w:t>
      </w:r>
    </w:p>
    <w:p w:rsidR="00F92276" w:rsidRDefault="000A344B" w14:paraId="2C5D32B6" w14:textId="77777777">
      <w:pPr>
        <w:pStyle w:val="Heading1"/>
      </w:pPr>
      <w:r>
        <w:lastRenderedPageBreak/>
        <w:t>5. Statistical Analysis Using SPSS-Equivalent Procedures</w:t>
      </w:r>
    </w:p>
    <w:p w:rsidR="00F92276" w:rsidRDefault="000A344B" w14:paraId="0E6F2CE3" w14:textId="77777777">
      <w:r>
        <w:t xml:space="preserve">A Welch independent-samples t-test compared English with non-English original languages </w:t>
      </w:r>
      <w:r>
        <w:t xml:space="preserve">because group sizes and variances differ. English films (n = 7,613, M = 3.208, SD = 0.539) rated lower than non-English films (n = 1,774, M = 3.529, SD = 0.474), t(approximately 2,937) = -24.97, p &lt; .001. Cohen’s d = -0.61 indicates a moderate difference, </w:t>
      </w:r>
      <w:r>
        <w:t>not merely a large-sample artefact. Nevertheless, the test does not control for genre, year or selection into the dataset, so language should not be interpreted causally (Field, 2018).</w:t>
      </w:r>
    </w:p>
    <w:p w:rsidR="00F92276" w:rsidRDefault="000A344B" w14:paraId="5A19BFDA" w14:textId="77777777">
      <w:r>
        <w:t>Pearson correlations show weak positive relationships between runtime a</w:t>
      </w:r>
      <w:r>
        <w:t>nd watches (r = .144), likes (r = .128) and fans (r = .087), all p &lt; .001. Spearman correlations are larger (.343, .338 and .374 respectively), consistent with skew and monotonic rather than linear relationships. Watches and likes are extremely strongly re</w:t>
      </w:r>
      <w:r>
        <w:t>lated (Pearson r = .951; Spearman rho = .981). They should not be treated as independent evidence of demand in the same simple model because multicollinearity can destabilise coefficients (Schober, Boer and Schwarte, 2018).</w:t>
      </w:r>
    </w:p>
    <w:p w:rsidR="00F92276" w:rsidRDefault="000A344B" w14:paraId="28E201A9" w14:textId="77777777">
      <w:r>
        <w:t>An OLS regression predicted Aver</w:t>
      </w:r>
      <w:r>
        <w:t>age_rating using log(1 + Fans), log(1 + Likes), Runtime and an English indicator, with HC3 robust standard errors. The model is significant, F(4, 9,382) = 1,159.47, p &lt; .001, and explains 33.1% of rating variance (adjusted R-squared = .331). Log Fans is po</w:t>
      </w:r>
      <w:r>
        <w:t>sitive (B = .147, p &lt; .001); English is negative (B = -.314, p &lt; .001); runtime is positive but economically tiny (B = .00083 per minute); and log Likes becomes negative (B = -.063) after controlling for Fans. That sign reversal likely reflects overlapping</w:t>
      </w:r>
      <w:r>
        <w:t xml:space="preserve"> engagement measures and omitted variables, so it is not evidence that likes reduce ratings. Residual diagnostics, variance-inflation factors and out-of-sample validation should precede deployment (Gelman, Hill and Vehtari, 2020; James et al., 2021).</w:t>
      </w:r>
    </w:p>
    <w:p w:rsidR="00F92276" w:rsidRDefault="000A344B" w14:paraId="016686B7" w14:textId="77777777">
      <w:r>
        <w:t>Assum</w:t>
      </w:r>
      <w:r>
        <w:t>ptions were assessed in relation to purpose rather than by mechanical normality tests. Ratings are bounded, engagement is skewed and observations may cluster by director, franchise or release period. With thousands of cases, a Shapiro-Wilk test would rejec</w:t>
      </w:r>
      <w:r>
        <w:t xml:space="preserve">t minor deviations and add little practical information (Ghasemi and Zahediasl, 2012). Welch’s test addresses unequal variances, Spearman correlation </w:t>
      </w:r>
      <w:r>
        <w:lastRenderedPageBreak/>
        <w:t xml:space="preserve">checks monotonic robustness, logarithms reduce engagement skew and HC3 standard errors reduce sensitivity </w:t>
      </w:r>
      <w:r>
        <w:t>to heteroscedasticity. Independence, however, cannot be guaranteed and remains a limitation.</w:t>
      </w:r>
    </w:p>
    <w:p w:rsidR="00F92276" w:rsidRDefault="000A344B" w14:paraId="554AD78C" w14:textId="77777777">
      <w:r>
        <w:t>Regression coefficients are conditional associations. Because Fans and Likes are strongly related to exposure and to each other, their coefficients describe change</w:t>
      </w:r>
      <w:r>
        <w:t>s holding an unrealistic amount of overlapping engagement constant. Variance-inflation factors and alternative models containing one engagement measure at a time should be compared. Prediction performance should be evaluated on a held-out set using root me</w:t>
      </w:r>
      <w:r>
        <w:t>an squared error and mean absolute error, not only in-sample R-squared. A cross-validation split should be grouped by franchise or director where possible to reduce information leakage from closely related titles (James et al., 2021).</w:t>
      </w:r>
    </w:p>
    <w:tbl>
      <w:tblPr>
        <w:tblW w:w="9360" w:type="dxa"/>
        <w:tblInd w:w="120" w:type="dxa"/>
        <w:tblBorders>
          <w:top w:val="single" w:color="AAB7C4" w:sz="6" w:space="0"/>
          <w:left w:val="single" w:color="AAB7C4" w:sz="6" w:space="0"/>
          <w:bottom w:val="single" w:color="AAB7C4" w:sz="6" w:space="0"/>
          <w:right w:val="single" w:color="AAB7C4" w:sz="6" w:space="0"/>
          <w:insideH w:val="single" w:color="AAB7C4" w:sz="6" w:space="0"/>
          <w:insideV w:val="single" w:color="AAB7C4" w:sz="6" w:space="0"/>
        </w:tblBorders>
        <w:tblLayout w:type="fixed"/>
        <w:tblLook w:val="04A0" w:firstRow="1" w:lastRow="0" w:firstColumn="1" w:lastColumn="0" w:noHBand="0" w:noVBand="1"/>
      </w:tblPr>
      <w:tblGrid>
        <w:gridCol w:w="2400"/>
        <w:gridCol w:w="3000"/>
        <w:gridCol w:w="3960"/>
      </w:tblGrid>
      <w:tr w:rsidR="00F92276" w14:paraId="44E4FF38" w14:textId="77777777">
        <w:tc>
          <w:tcPr>
            <w:tcW w:w="2400" w:type="dxa"/>
            <w:shd w:val="clear" w:color="auto" w:fill="EAF0F6"/>
            <w:tcMar>
              <w:top w:w="100" w:type="dxa"/>
              <w:left w:w="120" w:type="dxa"/>
              <w:bottom w:w="100" w:type="dxa"/>
              <w:right w:w="120" w:type="dxa"/>
            </w:tcMar>
            <w:vAlign w:val="center"/>
          </w:tcPr>
          <w:p w:rsidR="00F92276" w:rsidRDefault="000A344B" w14:paraId="333BF120" w14:textId="77777777">
            <w:pPr>
              <w:spacing w:after="0" w:line="264" w:lineRule="auto"/>
              <w:jc w:val="left"/>
            </w:pPr>
            <w:r>
              <w:rPr>
                <w:b/>
                <w:color w:val="1F4E79"/>
                <w:sz w:val="19"/>
              </w:rPr>
              <w:t>Analysis</w:t>
            </w:r>
          </w:p>
        </w:tc>
        <w:tc>
          <w:tcPr>
            <w:tcW w:w="3000" w:type="dxa"/>
            <w:shd w:val="clear" w:color="auto" w:fill="EAF0F6"/>
            <w:tcMar>
              <w:top w:w="100" w:type="dxa"/>
              <w:left w:w="120" w:type="dxa"/>
              <w:bottom w:w="100" w:type="dxa"/>
              <w:right w:w="120" w:type="dxa"/>
            </w:tcMar>
            <w:vAlign w:val="center"/>
          </w:tcPr>
          <w:p w:rsidR="00F92276" w:rsidRDefault="000A344B" w14:paraId="1D9E20B5" w14:textId="77777777">
            <w:pPr>
              <w:spacing w:after="0" w:line="264" w:lineRule="auto"/>
              <w:jc w:val="left"/>
            </w:pPr>
            <w:r>
              <w:rPr>
                <w:b/>
                <w:color w:val="1F4E79"/>
                <w:sz w:val="19"/>
              </w:rPr>
              <w:t>Result</w:t>
            </w:r>
          </w:p>
        </w:tc>
        <w:tc>
          <w:tcPr>
            <w:tcW w:w="3960" w:type="dxa"/>
            <w:shd w:val="clear" w:color="auto" w:fill="EAF0F6"/>
            <w:tcMar>
              <w:top w:w="100" w:type="dxa"/>
              <w:left w:w="120" w:type="dxa"/>
              <w:bottom w:w="100" w:type="dxa"/>
              <w:right w:w="120" w:type="dxa"/>
            </w:tcMar>
            <w:vAlign w:val="center"/>
          </w:tcPr>
          <w:p w:rsidR="00F92276" w:rsidRDefault="000A344B" w14:paraId="56598F8D" w14:textId="77777777">
            <w:pPr>
              <w:spacing w:after="0" w:line="264" w:lineRule="auto"/>
              <w:jc w:val="left"/>
            </w:pPr>
            <w:r>
              <w:rPr>
                <w:b/>
                <w:color w:val="1F4E79"/>
                <w:sz w:val="19"/>
              </w:rPr>
              <w:t>Inter</w:t>
            </w:r>
            <w:r>
              <w:rPr>
                <w:b/>
                <w:color w:val="1F4E79"/>
                <w:sz w:val="19"/>
              </w:rPr>
              <w:t>pretation</w:t>
            </w:r>
          </w:p>
        </w:tc>
      </w:tr>
      <w:tr w:rsidR="00F92276" w14:paraId="32E3C143" w14:textId="77777777">
        <w:tc>
          <w:tcPr>
            <w:tcW w:w="2400" w:type="dxa"/>
            <w:tcMar>
              <w:top w:w="100" w:type="dxa"/>
              <w:left w:w="120" w:type="dxa"/>
              <w:bottom w:w="100" w:type="dxa"/>
              <w:right w:w="120" w:type="dxa"/>
            </w:tcMar>
            <w:vAlign w:val="center"/>
          </w:tcPr>
          <w:p w:rsidR="00F92276" w:rsidRDefault="000A344B" w14:paraId="201FEFDF" w14:textId="77777777">
            <w:pPr>
              <w:spacing w:after="0" w:line="264" w:lineRule="auto"/>
              <w:jc w:val="left"/>
            </w:pPr>
            <w:r>
              <w:rPr>
                <w:sz w:val="19"/>
              </w:rPr>
              <w:t>Welch t-test</w:t>
            </w:r>
          </w:p>
        </w:tc>
        <w:tc>
          <w:tcPr>
            <w:tcW w:w="3000" w:type="dxa"/>
            <w:tcMar>
              <w:top w:w="100" w:type="dxa"/>
              <w:left w:w="120" w:type="dxa"/>
              <w:bottom w:w="100" w:type="dxa"/>
              <w:right w:w="120" w:type="dxa"/>
            </w:tcMar>
            <w:vAlign w:val="center"/>
          </w:tcPr>
          <w:p w:rsidR="00F92276" w:rsidRDefault="000A344B" w14:paraId="04420067" w14:textId="77777777">
            <w:pPr>
              <w:spacing w:after="0" w:line="264" w:lineRule="auto"/>
              <w:jc w:val="left"/>
            </w:pPr>
            <w:r>
              <w:rPr>
                <w:sz w:val="19"/>
              </w:rPr>
              <w:t>t(2937) = -24.97, p &lt; .001, d = -0.61</w:t>
            </w:r>
          </w:p>
        </w:tc>
        <w:tc>
          <w:tcPr>
            <w:tcW w:w="3960" w:type="dxa"/>
            <w:tcMar>
              <w:top w:w="100" w:type="dxa"/>
              <w:left w:w="120" w:type="dxa"/>
              <w:bottom w:w="100" w:type="dxa"/>
              <w:right w:w="120" w:type="dxa"/>
            </w:tcMar>
            <w:vAlign w:val="center"/>
          </w:tcPr>
          <w:p w:rsidR="00F92276" w:rsidRDefault="000A344B" w14:paraId="73162058" w14:textId="77777777">
            <w:pPr>
              <w:spacing w:after="0" w:line="264" w:lineRule="auto"/>
              <w:jc w:val="left"/>
            </w:pPr>
            <w:r>
              <w:rPr>
                <w:sz w:val="19"/>
              </w:rPr>
              <w:t>Moderate English/non-English rating difference</w:t>
            </w:r>
          </w:p>
        </w:tc>
      </w:tr>
      <w:tr w:rsidR="00F92276" w14:paraId="698B8C43" w14:textId="77777777">
        <w:tc>
          <w:tcPr>
            <w:tcW w:w="2400" w:type="dxa"/>
            <w:tcMar>
              <w:top w:w="100" w:type="dxa"/>
              <w:left w:w="120" w:type="dxa"/>
              <w:bottom w:w="100" w:type="dxa"/>
              <w:right w:w="120" w:type="dxa"/>
            </w:tcMar>
            <w:vAlign w:val="center"/>
          </w:tcPr>
          <w:p w:rsidR="00F92276" w:rsidRDefault="000A344B" w14:paraId="6679F364" w14:textId="77777777">
            <w:pPr>
              <w:spacing w:after="0" w:line="264" w:lineRule="auto"/>
              <w:jc w:val="left"/>
            </w:pPr>
            <w:r>
              <w:rPr>
                <w:sz w:val="19"/>
              </w:rPr>
              <w:t>Runtime-Watches</w:t>
            </w:r>
          </w:p>
        </w:tc>
        <w:tc>
          <w:tcPr>
            <w:tcW w:w="3000" w:type="dxa"/>
            <w:tcMar>
              <w:top w:w="100" w:type="dxa"/>
              <w:left w:w="120" w:type="dxa"/>
              <w:bottom w:w="100" w:type="dxa"/>
              <w:right w:w="120" w:type="dxa"/>
            </w:tcMar>
            <w:vAlign w:val="center"/>
          </w:tcPr>
          <w:p w:rsidR="00F92276" w:rsidRDefault="000A344B" w14:paraId="6F7B2B2D" w14:textId="77777777">
            <w:pPr>
              <w:spacing w:after="0" w:line="264" w:lineRule="auto"/>
              <w:jc w:val="left"/>
            </w:pPr>
            <w:r>
              <w:rPr>
                <w:sz w:val="19"/>
              </w:rPr>
              <w:t>r = 0.144; rho = 0.343</w:t>
            </w:r>
          </w:p>
        </w:tc>
        <w:tc>
          <w:tcPr>
            <w:tcW w:w="3960" w:type="dxa"/>
            <w:tcMar>
              <w:top w:w="100" w:type="dxa"/>
              <w:left w:w="120" w:type="dxa"/>
              <w:bottom w:w="100" w:type="dxa"/>
              <w:right w:w="120" w:type="dxa"/>
            </w:tcMar>
            <w:vAlign w:val="center"/>
          </w:tcPr>
          <w:p w:rsidR="00F92276" w:rsidRDefault="000A344B" w14:paraId="6334541B" w14:textId="77777777">
            <w:pPr>
              <w:spacing w:after="0" w:line="264" w:lineRule="auto"/>
              <w:jc w:val="left"/>
            </w:pPr>
            <w:r>
              <w:rPr>
                <w:sz w:val="19"/>
              </w:rPr>
              <w:t>Weak linear, modest monotonic association</w:t>
            </w:r>
          </w:p>
        </w:tc>
      </w:tr>
      <w:tr w:rsidR="00F92276" w14:paraId="70AC05B2" w14:textId="77777777">
        <w:tc>
          <w:tcPr>
            <w:tcW w:w="2400" w:type="dxa"/>
            <w:tcMar>
              <w:top w:w="100" w:type="dxa"/>
              <w:left w:w="120" w:type="dxa"/>
              <w:bottom w:w="100" w:type="dxa"/>
              <w:right w:w="120" w:type="dxa"/>
            </w:tcMar>
            <w:vAlign w:val="center"/>
          </w:tcPr>
          <w:p w:rsidR="00F92276" w:rsidRDefault="000A344B" w14:paraId="2990DB3B" w14:textId="77777777">
            <w:pPr>
              <w:spacing w:after="0" w:line="264" w:lineRule="auto"/>
              <w:jc w:val="left"/>
            </w:pPr>
            <w:r>
              <w:rPr>
                <w:sz w:val="19"/>
              </w:rPr>
              <w:t>Watches-Likes</w:t>
            </w:r>
          </w:p>
        </w:tc>
        <w:tc>
          <w:tcPr>
            <w:tcW w:w="3000" w:type="dxa"/>
            <w:tcMar>
              <w:top w:w="100" w:type="dxa"/>
              <w:left w:w="120" w:type="dxa"/>
              <w:bottom w:w="100" w:type="dxa"/>
              <w:right w:w="120" w:type="dxa"/>
            </w:tcMar>
            <w:vAlign w:val="center"/>
          </w:tcPr>
          <w:p w:rsidR="00F92276" w:rsidRDefault="000A344B" w14:paraId="353727B2" w14:textId="77777777">
            <w:pPr>
              <w:spacing w:after="0" w:line="264" w:lineRule="auto"/>
              <w:jc w:val="left"/>
            </w:pPr>
            <w:r>
              <w:rPr>
                <w:sz w:val="19"/>
              </w:rPr>
              <w:t>r = 0.951; rho = 0.981</w:t>
            </w:r>
          </w:p>
        </w:tc>
        <w:tc>
          <w:tcPr>
            <w:tcW w:w="3960" w:type="dxa"/>
            <w:tcMar>
              <w:top w:w="100" w:type="dxa"/>
              <w:left w:w="120" w:type="dxa"/>
              <w:bottom w:w="100" w:type="dxa"/>
              <w:right w:w="120" w:type="dxa"/>
            </w:tcMar>
            <w:vAlign w:val="center"/>
          </w:tcPr>
          <w:p w:rsidR="00F92276" w:rsidRDefault="000A344B" w14:paraId="1FFAB986" w14:textId="77777777">
            <w:pPr>
              <w:spacing w:after="0" w:line="264" w:lineRule="auto"/>
              <w:jc w:val="left"/>
            </w:pPr>
            <w:r>
              <w:rPr>
                <w:sz w:val="19"/>
              </w:rPr>
              <w:t xml:space="preserve">Very strong overlap in </w:t>
            </w:r>
            <w:r>
              <w:rPr>
                <w:sz w:val="19"/>
              </w:rPr>
              <w:t>engagement measures</w:t>
            </w:r>
          </w:p>
        </w:tc>
      </w:tr>
      <w:tr w:rsidR="00F92276" w14:paraId="3C38FC6C" w14:textId="77777777">
        <w:tc>
          <w:tcPr>
            <w:tcW w:w="2400" w:type="dxa"/>
            <w:tcMar>
              <w:top w:w="100" w:type="dxa"/>
              <w:left w:w="120" w:type="dxa"/>
              <w:bottom w:w="100" w:type="dxa"/>
              <w:right w:w="120" w:type="dxa"/>
            </w:tcMar>
            <w:vAlign w:val="center"/>
          </w:tcPr>
          <w:p w:rsidR="00F92276" w:rsidRDefault="000A344B" w14:paraId="12636A77" w14:textId="77777777">
            <w:pPr>
              <w:spacing w:after="0" w:line="264" w:lineRule="auto"/>
              <w:jc w:val="left"/>
            </w:pPr>
            <w:r>
              <w:rPr>
                <w:sz w:val="19"/>
              </w:rPr>
              <w:t>Multiple regression</w:t>
            </w:r>
          </w:p>
        </w:tc>
        <w:tc>
          <w:tcPr>
            <w:tcW w:w="3000" w:type="dxa"/>
            <w:tcMar>
              <w:top w:w="100" w:type="dxa"/>
              <w:left w:w="120" w:type="dxa"/>
              <w:bottom w:w="100" w:type="dxa"/>
              <w:right w:w="120" w:type="dxa"/>
            </w:tcMar>
            <w:vAlign w:val="center"/>
          </w:tcPr>
          <w:p w:rsidR="00F92276" w:rsidRDefault="000A344B" w14:paraId="0AF800D2" w14:textId="77777777">
            <w:pPr>
              <w:spacing w:after="0" w:line="264" w:lineRule="auto"/>
              <w:jc w:val="left"/>
            </w:pPr>
            <w:r>
              <w:rPr>
                <w:sz w:val="19"/>
              </w:rPr>
              <w:t>R² = 0.331; adjusted R² = 0.331</w:t>
            </w:r>
          </w:p>
        </w:tc>
        <w:tc>
          <w:tcPr>
            <w:tcW w:w="3960" w:type="dxa"/>
            <w:tcMar>
              <w:top w:w="100" w:type="dxa"/>
              <w:left w:w="120" w:type="dxa"/>
              <w:bottom w:w="100" w:type="dxa"/>
              <w:right w:w="120" w:type="dxa"/>
            </w:tcMar>
            <w:vAlign w:val="center"/>
          </w:tcPr>
          <w:p w:rsidR="00F92276" w:rsidRDefault="000A344B" w14:paraId="6744247F" w14:textId="77777777">
            <w:pPr>
              <w:spacing w:after="0" w:line="264" w:lineRule="auto"/>
              <w:jc w:val="left"/>
            </w:pPr>
            <w:r>
              <w:rPr>
                <w:sz w:val="19"/>
              </w:rPr>
              <w:t>Useful association model; not causal</w:t>
            </w:r>
          </w:p>
        </w:tc>
      </w:tr>
    </w:tbl>
    <w:p w:rsidR="00F92276" w:rsidRDefault="00F92276" w14:paraId="71387E5E" w14:textId="77777777">
      <w:pPr>
        <w:spacing w:after="0"/>
      </w:pPr>
    </w:p>
    <w:p w:rsidR="00F92276" w:rsidRDefault="000A344B" w14:paraId="1F54D2C3" w14:textId="77777777">
      <w:pPr>
        <w:pStyle w:val="Heading1"/>
      </w:pPr>
      <w:r>
        <w:t>6. Insights, Recommendations and Limitations</w:t>
      </w:r>
    </w:p>
    <w:p w:rsidR="00F92276" w:rsidRDefault="000A344B" w14:paraId="14264B00" w14:textId="77777777">
      <w:r>
        <w:t xml:space="preserve">Everyman should use the analysis as an external demand signal, not a booking rule. First, create a </w:t>
      </w:r>
      <w:r>
        <w:t>programming score that keeps rating, watches, fan intensity, distributor terms, release window and local advance sales separate. This avoids allowing one viral measure to dominate. Second, pilot curated French, Japanese, documentary and drama events in ven</w:t>
      </w:r>
      <w:r>
        <w:t>ues with demonstrated member interest, using introductions or Q&amp;As to reinforce Everyman’s premium proposition. Third, segment marketing by local purchase history and stated preferences; Letterboxd trends can suggest creative themes, while first-party conv</w:t>
      </w:r>
      <w:r>
        <w:t>ersions determine spend.</w:t>
      </w:r>
    </w:p>
    <w:p w:rsidR="00F92276" w:rsidRDefault="000A344B" w14:paraId="1C17EF68" w14:textId="77777777">
      <w:r>
        <w:lastRenderedPageBreak/>
        <w:t>Operationally, combine film runtime with cleaning and advertising requirements to optimise screen schedules, but do not expect runtime alone to predict demand. Test recommendations through matched venues or staggered pilots, measur</w:t>
      </w:r>
      <w:r>
        <w:t>ing occupancy, revenue per available seat, food-and-beverage spend, member conversion and repeat visits. A Power BI dashboard can show both forecast and actuals with confidence ranges.</w:t>
      </w:r>
    </w:p>
    <w:p w:rsidR="00F92276" w:rsidRDefault="000A344B" w14:paraId="5D48294B" w14:textId="77777777">
      <w:r>
        <w:t>Limitations are substantial. Letterboxd users are self-selecting, popul</w:t>
      </w:r>
      <w:r>
        <w:t>arity counts are cumulative, release year is largely missing, the first-genre simplification discards multi-genre information, and ratings may change over time. Country, director reputation, marketing, release scale and venue availability are omitted. Futu</w:t>
      </w:r>
      <w:r>
        <w:t>re analysis should add release dates, UK box office, Everyman transaction data and multilevel models by venue and week. Ethical use requires aggregation, transparent profiling and UK GDPR-compliant handling of first-party customer data.</w:t>
      </w:r>
    </w:p>
    <w:p w:rsidR="00F92276" w:rsidRDefault="000A344B" w14:paraId="34650B26" w14:textId="77777777">
      <w:r>
        <w:t xml:space="preserve">A </w:t>
      </w:r>
      <w:r>
        <w:t>practical 12-week pilot could select two comparable venue pairs. One venue in each pair would use the enriched scorecard to programme a limited number of curated screenings, while the comparison venue follows normal practice. The test should be pre-registe</w:t>
      </w:r>
      <w:r>
        <w:t xml:space="preserve">red with primary outcomes and minimum sample size. Weekly review can examine unexpected operational constraints, but success criteria should not be changed after seeing results. If uplift is credible, the next stage can incorporate member-level propensity </w:t>
      </w:r>
      <w:r>
        <w:t>models with explicit consent, access controls and fairness checks.</w:t>
      </w:r>
    </w:p>
    <w:p w:rsidR="00F92276" w:rsidRDefault="000A344B" w14:paraId="23696FAC" w14:textId="77777777">
      <w:r>
        <w:t>Management should also distinguish acquisition from satisfaction. Letterboxd watches and likes indicate external awareness; Everyman’s own booking, occupancy, cancellations, food-and-bevera</w:t>
      </w:r>
      <w:r>
        <w:t>ge and post-visit feedback indicate venue economics and experience. Joining these sources at film-venue-week level, rather than copying identifiable profiles, offers a privacy-conscious route to better forecasting. Human programmers should retain authority</w:t>
      </w:r>
      <w:r>
        <w:t xml:space="preserve"> for cultural, partnership and brand considerations that historical data cannot value fully.</w:t>
      </w:r>
    </w:p>
    <w:p w:rsidR="00F92276" w:rsidRDefault="000A344B" w14:paraId="1EEDDC2C" w14:textId="77777777">
      <w:r>
        <w:br w:type="page"/>
      </w:r>
    </w:p>
    <w:p w:rsidR="00F92276" w:rsidRDefault="000A344B" w14:paraId="793A6570" w14:textId="77777777">
      <w:pPr>
        <w:pStyle w:val="Heading1"/>
      </w:pPr>
      <w:r>
        <w:lastRenderedPageBreak/>
        <w:t>References</w:t>
      </w:r>
    </w:p>
    <w:p w:rsidR="00F92276" w:rsidRDefault="000A344B" w14:paraId="50526AC1" w14:textId="77777777">
      <w:pPr>
        <w:spacing w:line="276" w:lineRule="auto"/>
        <w:ind w:left="432" w:hanging="432"/>
      </w:pPr>
      <w:r>
        <w:rPr>
          <w:sz w:val="22"/>
        </w:rPr>
        <w:t xml:space="preserve">Everyman Media Group plc (2024) Annual Report and Accounts 2024. Available at: </w:t>
      </w:r>
      <w:r>
        <w:rPr>
          <w:sz w:val="22"/>
        </w:rPr>
        <w:t>https://investors.everymancinema.com/reports-and-presentations (Accessed: 20 June 2026).</w:t>
      </w:r>
    </w:p>
    <w:p w:rsidR="00F92276" w:rsidRDefault="000A344B" w14:paraId="04D64BB4" w14:textId="77777777">
      <w:pPr>
        <w:spacing w:line="276" w:lineRule="auto"/>
        <w:ind w:left="432" w:hanging="432"/>
      </w:pPr>
      <w:r>
        <w:rPr>
          <w:sz w:val="22"/>
        </w:rPr>
        <w:t>Field, A. (2018) Discovering Statistics Using IBM SPSS Statistics. 5th edn. London: Sage.</w:t>
      </w:r>
    </w:p>
    <w:p w:rsidR="00F92276" w:rsidRDefault="000A344B" w14:paraId="2C22E6D9" w14:textId="77777777">
      <w:pPr>
        <w:spacing w:line="276" w:lineRule="auto"/>
        <w:ind w:left="432" w:hanging="432"/>
      </w:pPr>
      <w:r>
        <w:rPr>
          <w:sz w:val="22"/>
        </w:rPr>
        <w:t>Gelman, A., Hill, J. and Vehtari, A. (2020) Regression and Other Stories. Cam</w:t>
      </w:r>
      <w:r>
        <w:rPr>
          <w:sz w:val="22"/>
        </w:rPr>
        <w:t>bridge: Cambridge University Press.</w:t>
      </w:r>
    </w:p>
    <w:p w:rsidR="00F92276" w:rsidRDefault="000A344B" w14:paraId="51FEDDFC" w14:textId="77777777">
      <w:pPr>
        <w:spacing w:line="276" w:lineRule="auto"/>
        <w:ind w:left="432" w:hanging="432"/>
      </w:pPr>
      <w:r>
        <w:rPr>
          <w:sz w:val="22"/>
        </w:rPr>
        <w:t>Ghasemi, A. and Zahediasl, S. (2012) ‘Normality tests for statistical analysis’, International Journal of Endocrinology and Metabolism, 10(2), pp. 486-489. doi: 10.5812/ijem.3505.</w:t>
      </w:r>
    </w:p>
    <w:p w:rsidR="00F92276" w:rsidRDefault="000A344B" w14:paraId="3996ED81" w14:textId="77777777">
      <w:pPr>
        <w:spacing w:line="276" w:lineRule="auto"/>
        <w:ind w:left="432" w:hanging="432"/>
      </w:pPr>
      <w:r>
        <w:rPr>
          <w:sz w:val="22"/>
        </w:rPr>
        <w:t>Gomez-Uribe, C.A. and Hunt, N. (2016) ‘T</w:t>
      </w:r>
      <w:r>
        <w:rPr>
          <w:sz w:val="22"/>
        </w:rPr>
        <w:t>he Netflix recommender system’, ACM Transactions on Management Information Systems, 6(4), article 13. doi: 10.1145/2843948.</w:t>
      </w:r>
    </w:p>
    <w:p w:rsidR="00F92276" w:rsidRDefault="000A344B" w14:paraId="6E224959" w14:textId="77777777">
      <w:pPr>
        <w:spacing w:line="276" w:lineRule="auto"/>
        <w:ind w:left="432" w:hanging="432"/>
      </w:pPr>
      <w:r>
        <w:rPr>
          <w:sz w:val="22"/>
        </w:rPr>
        <w:t>Hair, J.F., Black, W.C., Babin, B.J. and Anderson, R.E. (2019) Multivariate Data Analysis. 8th edn. Andover: Cengage.</w:t>
      </w:r>
    </w:p>
    <w:p w:rsidR="00F92276" w:rsidRDefault="000A344B" w14:paraId="3464D338" w14:textId="77777777">
      <w:pPr>
        <w:spacing w:line="276" w:lineRule="auto"/>
        <w:ind w:left="432" w:hanging="432"/>
      </w:pPr>
      <w:r>
        <w:rPr>
          <w:sz w:val="22"/>
        </w:rPr>
        <w:t>IBM (2025) IBM</w:t>
      </w:r>
      <w:r>
        <w:rPr>
          <w:sz w:val="22"/>
        </w:rPr>
        <w:t xml:space="preserve"> SPSS Statistics documentation. Available at: https://www.ibm.com/docs/en/spss-statistics (Accessed: 20 June 2026).</w:t>
      </w:r>
    </w:p>
    <w:p w:rsidR="00F92276" w:rsidRDefault="000A344B" w14:paraId="1B07D6CD" w14:textId="77777777">
      <w:pPr>
        <w:spacing w:line="276" w:lineRule="auto"/>
        <w:ind w:left="432" w:hanging="432"/>
      </w:pPr>
      <w:r>
        <w:rPr>
          <w:sz w:val="22"/>
        </w:rPr>
        <w:t>James, G., Witten, D., Hastie, T. and Tibshirani, R. (2021) An Introduction to Statistical Learning. 2nd edn. New York: Springer. doi: 10.10</w:t>
      </w:r>
      <w:r>
        <w:rPr>
          <w:sz w:val="22"/>
        </w:rPr>
        <w:t>07/978-1-0716-1418-1.</w:t>
      </w:r>
    </w:p>
    <w:p w:rsidR="00F92276" w:rsidRDefault="000A344B" w14:paraId="16C82694" w14:textId="77777777">
      <w:pPr>
        <w:spacing w:line="276" w:lineRule="auto"/>
        <w:ind w:left="432" w:hanging="432"/>
      </w:pPr>
      <w:r>
        <w:rPr>
          <w:sz w:val="22"/>
        </w:rPr>
        <w:t>Letterboxd Movie Dataset Analysis (2025) Movie_Data_File.csv. Available at: https://github.com/nanenarimanyan/Letterboxd-Movie-Dataset-Analysis (Accessed: 20 June 2026).</w:t>
      </w:r>
    </w:p>
    <w:p w:rsidR="00F92276" w:rsidRDefault="000A344B" w14:paraId="177CC6C6" w14:textId="77777777">
      <w:pPr>
        <w:spacing w:line="276" w:lineRule="auto"/>
        <w:ind w:left="432" w:hanging="432"/>
      </w:pPr>
      <w:r>
        <w:rPr>
          <w:sz w:val="22"/>
        </w:rPr>
        <w:t xml:space="preserve">Little, R.J.A. and Rubin, D.B. (2019) Statistical Analysis with </w:t>
      </w:r>
      <w:r>
        <w:rPr>
          <w:sz w:val="22"/>
        </w:rPr>
        <w:t>Missing Data. 3rd edn. Hoboken: Wiley.</w:t>
      </w:r>
    </w:p>
    <w:p w:rsidR="00F92276" w:rsidRDefault="000A344B" w14:paraId="28E24697" w14:textId="77777777">
      <w:pPr>
        <w:spacing w:line="276" w:lineRule="auto"/>
        <w:ind w:left="432" w:hanging="432"/>
      </w:pPr>
      <w:r>
        <w:rPr>
          <w:sz w:val="22"/>
        </w:rPr>
        <w:t>Microsoft (2025) Power Query documentation. Available at: https://learn.microsoft.com/power-query/ (Accessed: 20 June 2026).</w:t>
      </w:r>
    </w:p>
    <w:p w:rsidR="00F92276" w:rsidRDefault="000A344B" w14:paraId="0BBACC3A" w14:textId="77777777">
      <w:pPr>
        <w:spacing w:line="276" w:lineRule="auto"/>
        <w:ind w:left="432" w:hanging="432"/>
      </w:pPr>
      <w:r>
        <w:rPr>
          <w:sz w:val="22"/>
        </w:rPr>
        <w:t>Schober, P., Boer, C. and Schwarte, L.A. (2018) ‘Correlation coefficients: Appropriate use a</w:t>
      </w:r>
      <w:r>
        <w:rPr>
          <w:sz w:val="22"/>
        </w:rPr>
        <w:t>nd interpretation’, Anesthesia &amp; Analgesia, 126(5), pp. 1763-1768. doi: 10.1213/ANE.0000000000002864.</w:t>
      </w:r>
    </w:p>
    <w:p w:rsidR="00F92276" w:rsidRDefault="000A344B" w14:paraId="1839777C" w14:textId="77777777">
      <w:pPr>
        <w:spacing w:line="276" w:lineRule="auto"/>
        <w:ind w:left="432" w:hanging="432"/>
      </w:pPr>
      <w:r>
        <w:rPr>
          <w:sz w:val="22"/>
        </w:rPr>
        <w:t>van Buuren, S. (2018) Flexible Imputation of Missing Data. 2nd edn. Boca Raton: CRC Press.</w:t>
      </w:r>
    </w:p>
    <w:p w:rsidR="00F92276" w:rsidRDefault="000A344B" w14:paraId="6FA97C2D" w14:textId="77777777">
      <w:pPr>
        <w:spacing w:line="276" w:lineRule="auto"/>
        <w:ind w:left="432" w:hanging="432"/>
      </w:pPr>
      <w:r>
        <w:rPr>
          <w:sz w:val="22"/>
        </w:rPr>
        <w:t xml:space="preserve">Wasserstein, R.L., Schirm, A.L. and Lazar, N.A. (2019) ‘Moving </w:t>
      </w:r>
      <w:r>
        <w:rPr>
          <w:sz w:val="22"/>
        </w:rPr>
        <w:t>to a world beyond p &lt; 0.05’, The American Statistician, 73(sup1), pp. 1-19. doi: 10.1080/00031305.2019.1583913.</w:t>
      </w:r>
    </w:p>
    <w:p w:rsidR="00F92276" w:rsidRDefault="000A344B" w14:paraId="540DCA06" w14:textId="77777777">
      <w:pPr>
        <w:spacing w:line="276" w:lineRule="auto"/>
        <w:ind w:left="432" w:hanging="432"/>
      </w:pPr>
      <w:r>
        <w:rPr>
          <w:sz w:val="22"/>
        </w:rPr>
        <w:t>Wickham, H. et al. (2019) ‘Welcome to the tidyverse’, Journal of Open Source Software, 4(43), 1686. doi: 10.21105/joss.01686.</w:t>
      </w:r>
    </w:p>
    <w:sectPr w:rsidR="00F92276" w:rsidSect="00034616">
      <w:headerReference w:type="default" r:id="rId12"/>
      <w:footerReference w:type="default" r:id="rId13"/>
      <w:pgSz w:w="12240" w:h="15840" w:orient="portrait"/>
      <w:pgMar w:top="1440" w:right="1440" w:bottom="1440" w:left="1440" w:header="706" w:footer="7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344B" w:rsidRDefault="000A344B" w14:paraId="31364AEE" w14:textId="77777777">
      <w:pPr>
        <w:spacing w:after="0" w:line="240" w:lineRule="auto"/>
      </w:pPr>
      <w:r>
        <w:separator/>
      </w:r>
    </w:p>
  </w:endnote>
  <w:endnote w:type="continuationSeparator" w:id="0">
    <w:p w:rsidR="000A344B" w:rsidRDefault="000A344B" w14:paraId="1A734D9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92276" w:rsidRDefault="000A344B" w14:paraId="44673CB1" w14:textId="77777777">
    <w:pPr>
      <w:pStyle w:val="Footer"/>
      <w:jc w:val="right"/>
    </w:pPr>
    <w:r>
      <w:rPr>
        <w:sz w:val="18"/>
      </w:rPr>
      <w:t xml:space="preserve">Page </w:t>
    </w:r>
    <w:r>
      <w:rPr>
        <w:sz w:val="18"/>
      </w:rPr>
      <w:fldChar w:fldCharType="begin"/>
    </w:r>
    <w:r>
      <w:rPr>
        <w:sz w:val="18"/>
      </w:rPr>
      <w:instrText xml:space="preserve"> PAGE </w:instrText>
    </w:r>
    <w:r w:rsidR="00FE4443">
      <w:rPr>
        <w:sz w:val="18"/>
      </w:rPr>
      <w:fldChar w:fldCharType="separate"/>
    </w:r>
    <w:r w:rsidR="00FE4443">
      <w:rPr>
        <w:noProof/>
        <w:sz w:val="18"/>
      </w:rPr>
      <w:t>2</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344B" w:rsidRDefault="000A344B" w14:paraId="71676573" w14:textId="77777777">
      <w:pPr>
        <w:spacing w:after="0" w:line="240" w:lineRule="auto"/>
      </w:pPr>
      <w:r>
        <w:separator/>
      </w:r>
    </w:p>
  </w:footnote>
  <w:footnote w:type="continuationSeparator" w:id="0">
    <w:p w:rsidR="000A344B" w:rsidRDefault="000A344B" w14:paraId="2B9B375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92276" w:rsidRDefault="000A344B" w14:paraId="18A3D379" w14:textId="77777777">
    <w:pPr>
      <w:pStyle w:val="Header"/>
      <w:jc w:val="left"/>
    </w:pPr>
    <w:r>
      <w:rPr>
        <w:color w:val="595959"/>
        <w:sz w:val="18"/>
      </w:rPr>
      <w:t>LCBB5014 | Component 2 | Everyman Media Group plc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344B"/>
    <w:rsid w:val="0015074B"/>
    <w:rsid w:val="001C3B37"/>
    <w:rsid w:val="0029639D"/>
    <w:rsid w:val="00326F90"/>
    <w:rsid w:val="00903239"/>
    <w:rsid w:val="00AA1D8D"/>
    <w:rsid w:val="00B47730"/>
    <w:rsid w:val="00CB0664"/>
    <w:rsid w:val="00F92276"/>
    <w:rsid w:val="00FC693F"/>
    <w:rsid w:val="00FE4443"/>
    <w:rsid w:val="299321A3"/>
    <w:rsid w:val="59F79C40"/>
    <w:rsid w:val="60214403"/>
    <w:rsid w:val="6792BB7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94053A"/>
  <w14:defaultImageDpi w14:val="300"/>
  <w15:docId w15:val="{BE5C7CDB-6472-43B6-8962-E9C6B86F9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FC693F"/>
    <w:pPr>
      <w:keepNext/>
      <w:keepLines/>
      <w:spacing w:before="320" w:after="160" w:line="276" w:lineRule="auto"/>
      <w:outlineLvl w:val="0"/>
    </w:pPr>
    <w:rPr>
      <w:rFonts w:asciiTheme="majorHAnsi" w:hAnsiTheme="majorHAnsi" w:eastAsiaTheme="majorEastAsia"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40" w:line="276" w:lineRule="auto"/>
      <w:outlineLvl w:val="1"/>
    </w:pPr>
    <w:rPr>
      <w:rFonts w:asciiTheme="majorHAnsi" w:hAnsiTheme="majorHAnsi" w:eastAsiaTheme="majorEastAsia"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160" w:after="80" w:line="276" w:lineRule="auto"/>
      <w:outlineLvl w:val="2"/>
    </w:pPr>
    <w:rPr>
      <w:rFonts w:asciiTheme="majorHAnsi" w:hAnsiTheme="majorHAnsi" w:eastAsiaTheme="majorEastAsia"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keepNext/>
      <w:pBdr>
        <w:bottom w:val="single" w:color="4F81BD" w:themeColor="accent1" w:sz="8" w:space="4"/>
      </w:pBdr>
      <w:spacing w:after="160" w:line="276" w:lineRule="auto"/>
      <w:contextualSpacing/>
    </w:pPr>
    <w:rPr>
      <w:rFonts w:asciiTheme="majorHAnsi" w:hAnsiTheme="majorHAnsi" w:eastAsiaTheme="majorEastAsia" w:cstheme="majorBidi"/>
      <w:b/>
      <w:color w:val="1F1F1F"/>
      <w:spacing w:val="5"/>
      <w:kern w:val="28"/>
      <w:sz w:val="50"/>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after="160" w:line="276" w:lineRule="auto"/>
    </w:pPr>
    <w:rPr>
      <w:rFonts w:asciiTheme="majorHAnsi" w:hAnsiTheme="majorHAnsi" w:eastAsiaTheme="majorEastAsia" w:cstheme="majorBidi"/>
      <w:i/>
      <w:iCs/>
      <w:color w:val="595959"/>
      <w:spacing w:val="15"/>
      <w:sz w:val="28"/>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ind w:left="720"/>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ind w:left="720"/>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Florina Petre (2326724)</lastModifiedBy>
  <revision>5</revision>
  <dcterms:created xsi:type="dcterms:W3CDTF">2013-12-23T23:15:00.0000000Z</dcterms:created>
  <dcterms:modified xsi:type="dcterms:W3CDTF">2026-06-21T14:52:08.5802155Z</dcterms:modified>
  <category/>
</coreProperties>
</file>