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73BF1" w14:textId="77777777" w:rsidR="00E41B1C" w:rsidRDefault="00E41B1C" w:rsidP="00E41B1C">
      <w:pPr>
        <w:pStyle w:val="SMUNORMALARIAL"/>
        <w:ind w:left="720" w:hanging="720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>QUESTION TWO</w:t>
      </w:r>
    </w:p>
    <w:p w14:paraId="6FC377EC" w14:textId="77777777" w:rsidR="00E41B1C" w:rsidRDefault="00E41B1C" w:rsidP="00E41B1C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bookmarkStart w:id="0" w:name="_Hlk89679457"/>
      <w:r>
        <w:rPr>
          <w:rFonts w:ascii="Arial" w:eastAsia="Calibri" w:hAnsi="Arial" w:cs="Arial"/>
          <w:sz w:val="22"/>
          <w:szCs w:val="22"/>
          <w:lang w:eastAsia="en-US"/>
        </w:rPr>
        <w:t>Demystified</w:t>
      </w:r>
      <w:bookmarkEnd w:id="0"/>
      <w:r>
        <w:rPr>
          <w:rFonts w:ascii="Arial" w:eastAsia="Calibri" w:hAnsi="Arial" w:cs="Arial"/>
          <w:sz w:val="22"/>
          <w:szCs w:val="22"/>
          <w:lang w:eastAsia="en-US"/>
        </w:rPr>
        <w:t xml:space="preserve"> owns a chain of 8 shops selling Blue Rays and 4K movies, documentaries and TV box sets.  At the beginning of June, the business had an overdraft of £45,000 and the bank had asked for this to be eliminated by the end of November.  As a result, the directors have recently decided to review their plans for the next six months.</w:t>
      </w:r>
    </w:p>
    <w:p w14:paraId="38DC7DBD" w14:textId="77777777" w:rsidR="00E41B1C" w:rsidRDefault="00E41B1C" w:rsidP="00E41B1C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The following plans were prepared for the business some months earlier:</w:t>
      </w:r>
    </w:p>
    <w:tbl>
      <w:tblPr>
        <w:tblStyle w:val="TableGrid1"/>
        <w:tblW w:w="8670" w:type="dxa"/>
        <w:tblInd w:w="817" w:type="dxa"/>
        <w:tblLook w:val="04A0" w:firstRow="1" w:lastRow="0" w:firstColumn="1" w:lastColumn="0" w:noHBand="0" w:noVBand="1"/>
      </w:tblPr>
      <w:tblGrid>
        <w:gridCol w:w="2693"/>
        <w:gridCol w:w="874"/>
        <w:gridCol w:w="850"/>
        <w:gridCol w:w="851"/>
        <w:gridCol w:w="850"/>
        <w:gridCol w:w="851"/>
        <w:gridCol w:w="850"/>
        <w:gridCol w:w="851"/>
      </w:tblGrid>
      <w:tr w:rsidR="00E41B1C" w14:paraId="43BE61CD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D08FCD" w14:textId="77777777" w:rsidR="00E41B1C" w:rsidRDefault="00E41B1C">
            <w:pPr>
              <w:spacing w:before="12"/>
              <w:ind w:right="57"/>
              <w:jc w:val="center"/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</w:rPr>
              <w:t>X£1,000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29AB00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May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91FED5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June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EA176E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July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91BFF0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Aug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7D2019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Sept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45249E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Oct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9A8A75" w14:textId="77777777" w:rsidR="00E41B1C" w:rsidRDefault="00E41B1C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Nov</w:t>
            </w:r>
          </w:p>
        </w:tc>
      </w:tr>
      <w:tr w:rsidR="00E41B1C" w14:paraId="2F2515DF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BAD142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Sales income         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EFAC9D7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180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61DF022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230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5921695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320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078F784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BBC754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140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7EC9F22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120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BA18981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110</w:t>
            </w:r>
          </w:p>
        </w:tc>
      </w:tr>
      <w:tr w:rsidR="00E41B1C" w14:paraId="610C0C65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C4D72A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Purchases of stock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67F4737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135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BDBE478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180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DD8A11D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142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AA9C759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94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E519E3C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75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C305C34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66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64E331F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57</w:t>
            </w:r>
          </w:p>
        </w:tc>
      </w:tr>
      <w:tr w:rsidR="00E41B1C" w14:paraId="1FFAAEAD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445A41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Administration expenses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747481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52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4A5FB23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55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EA06AEC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56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B32A74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53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148ADA2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48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C39DAF8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46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29241FF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45</w:t>
            </w:r>
          </w:p>
        </w:tc>
      </w:tr>
      <w:tr w:rsidR="00E41B1C" w14:paraId="15150103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0BF0EC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Selling expenses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82671EA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5ECF24E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E185B13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76ABF57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26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53B6BD6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21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3A4B48D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19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0AF6DD2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</w:t>
            </w:r>
          </w:p>
        </w:tc>
      </w:tr>
      <w:tr w:rsidR="00E41B1C" w14:paraId="302DDC68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D47CF8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Taxation payment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FCB2EB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0CC8058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0648396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B19069C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A1F3E7A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BACA3CF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9154612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</w:tr>
      <w:tr w:rsidR="00E41B1C" w14:paraId="21191612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6D60A3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Interest payments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1214BC6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5649663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EEA3B4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AF17DD7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D7599E4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39D922D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EFD93BA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</w:tr>
      <w:tr w:rsidR="00E41B1C" w14:paraId="090BFD95" w14:textId="77777777" w:rsidTr="00E41B1C"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707FA9" w14:textId="77777777" w:rsidR="00E41B1C" w:rsidRDefault="00E41B1C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Shop refurbishment</w:t>
            </w:r>
          </w:p>
        </w:tc>
        <w:tc>
          <w:tcPr>
            <w:tcW w:w="8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8DE6F68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864A9AB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8CDEA80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EAA0133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7AFCCD0D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F536F85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EEA2EA3" w14:textId="77777777" w:rsidR="00E41B1C" w:rsidRDefault="00E41B1C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</w:tr>
    </w:tbl>
    <w:p w14:paraId="2C0BF2DB" w14:textId="77777777" w:rsidR="00E41B1C" w:rsidRDefault="00E41B1C" w:rsidP="00E41B1C">
      <w:pPr>
        <w:spacing w:line="276" w:lineRule="auto"/>
        <w:ind w:left="737" w:right="57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61707819" w14:textId="77777777" w:rsidR="00E41B1C" w:rsidRDefault="00E41B1C" w:rsidP="00E41B1C">
      <w:pPr>
        <w:spacing w:line="276" w:lineRule="auto"/>
        <w:ind w:left="567" w:right="57"/>
        <w:contextualSpacing/>
        <w:jc w:val="both"/>
        <w:rPr>
          <w:rFonts w:ascii="Arial" w:eastAsia="Calibri" w:hAnsi="Arial" w:cs="Arial"/>
          <w:b/>
          <w:sz w:val="22"/>
          <w:szCs w:val="22"/>
          <w:lang w:eastAsia="en-US"/>
        </w:rPr>
      </w:pPr>
      <w:r>
        <w:rPr>
          <w:rFonts w:ascii="Arial" w:eastAsia="Calibri" w:hAnsi="Arial" w:cs="Arial"/>
          <w:b/>
          <w:sz w:val="22"/>
          <w:szCs w:val="22"/>
          <w:lang w:eastAsia="en-US"/>
        </w:rPr>
        <w:t>Notes:</w:t>
      </w:r>
    </w:p>
    <w:p w14:paraId="32BC4E4B" w14:textId="77777777" w:rsidR="00E41B1C" w:rsidRDefault="00E41B1C" w:rsidP="00E41B1C">
      <w:pPr>
        <w:numPr>
          <w:ilvl w:val="0"/>
          <w:numId w:val="1"/>
        </w:numPr>
        <w:spacing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Suppliers of stock allow one month’s credit.</w:t>
      </w:r>
    </w:p>
    <w:p w14:paraId="7D146CB5" w14:textId="77777777" w:rsidR="00E41B1C" w:rsidRDefault="00E41B1C" w:rsidP="00E41B1C">
      <w:pPr>
        <w:numPr>
          <w:ilvl w:val="0"/>
          <w:numId w:val="1"/>
        </w:numPr>
        <w:spacing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The gross profit margin is 40 per cent.</w:t>
      </w:r>
    </w:p>
    <w:p w14:paraId="139B5750" w14:textId="77777777" w:rsidR="00E41B1C" w:rsidRDefault="00E41B1C" w:rsidP="00E41B1C">
      <w:pPr>
        <w:numPr>
          <w:ilvl w:val="0"/>
          <w:numId w:val="1"/>
        </w:numPr>
        <w:spacing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All sales proceeds are received in the month of sale.  However, 50 per cent of customers pay with a credit card.  The credit card business pays Demystified in the month of sale. The charge made by the credit card business to Demystified is 3 per cent of the sales income value.  These charges are in addition to the selling expenses identified above. The business has a bank loan, which it is paying off in monthly instalments of £5,000.  The interest element represents 20 per cent of each instalment.</w:t>
      </w:r>
    </w:p>
    <w:p w14:paraId="49715FC5" w14:textId="77777777" w:rsidR="00E41B1C" w:rsidRDefault="00E41B1C" w:rsidP="00E41B1C">
      <w:pPr>
        <w:numPr>
          <w:ilvl w:val="0"/>
          <w:numId w:val="1"/>
        </w:numPr>
        <w:spacing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Administration expenses are paid when incurred.  This includes a monthly charge of £15,000 in respect of depreciation.</w:t>
      </w:r>
    </w:p>
    <w:p w14:paraId="1D73DBE4" w14:textId="77777777" w:rsidR="00E41B1C" w:rsidRDefault="00E41B1C" w:rsidP="00E41B1C">
      <w:pPr>
        <w:numPr>
          <w:ilvl w:val="0"/>
          <w:numId w:val="1"/>
        </w:numPr>
        <w:spacing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Selling expenses are payable in the following month.</w:t>
      </w:r>
    </w:p>
    <w:p w14:paraId="00C76CB5" w14:textId="77777777" w:rsidR="00E41B1C" w:rsidRDefault="00E41B1C" w:rsidP="00E41B1C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7DA21C0A" w14:textId="77777777" w:rsidR="00E41B1C" w:rsidRDefault="00E41B1C" w:rsidP="00E41B1C">
      <w:pPr>
        <w:ind w:right="5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Required</w:t>
      </w:r>
      <w:r>
        <w:rPr>
          <w:rFonts w:ascii="Arial" w:hAnsi="Arial" w:cs="Arial"/>
          <w:sz w:val="22"/>
          <w:szCs w:val="22"/>
        </w:rPr>
        <w:t>:</w:t>
      </w:r>
    </w:p>
    <w:p w14:paraId="4F1AA5FE" w14:textId="77777777" w:rsidR="00E41B1C" w:rsidRDefault="00E41B1C" w:rsidP="00E41B1C">
      <w:pPr>
        <w:pStyle w:val="SMUNORMALARIAL"/>
        <w:rPr>
          <w:rFonts w:cs="Arial"/>
          <w:b/>
          <w:szCs w:val="22"/>
        </w:rPr>
      </w:pPr>
    </w:p>
    <w:p w14:paraId="4C5ED81D" w14:textId="77777777" w:rsidR="00E41B1C" w:rsidRDefault="00E41B1C" w:rsidP="00E41B1C">
      <w:pPr>
        <w:pStyle w:val="SMUNORMALARIAL"/>
        <w:ind w:left="720" w:hanging="720"/>
        <w:rPr>
          <w:rFonts w:cs="Arial"/>
          <w:bCs/>
          <w:szCs w:val="22"/>
        </w:rPr>
      </w:pPr>
      <w:r>
        <w:rPr>
          <w:rFonts w:cs="Arial"/>
          <w:bCs/>
          <w:szCs w:val="22"/>
        </w:rPr>
        <w:t>(a)</w:t>
      </w:r>
      <w:r>
        <w:rPr>
          <w:rFonts w:cs="Arial"/>
          <w:b/>
          <w:szCs w:val="22"/>
        </w:rPr>
        <w:t xml:space="preserve"> </w:t>
      </w:r>
      <w:r>
        <w:rPr>
          <w:rFonts w:cs="Arial"/>
          <w:b/>
          <w:szCs w:val="22"/>
        </w:rPr>
        <w:tab/>
      </w:r>
      <w:r>
        <w:rPr>
          <w:rFonts w:eastAsia="Calibri" w:cs="Arial"/>
          <w:szCs w:val="22"/>
          <w:lang w:eastAsia="en-US"/>
        </w:rPr>
        <w:t>Prepare the following:</w:t>
      </w:r>
    </w:p>
    <w:p w14:paraId="6D95BE61" w14:textId="77777777" w:rsidR="00E41B1C" w:rsidRDefault="00E41B1C" w:rsidP="00E41B1C">
      <w:pPr>
        <w:pStyle w:val="SMUNORMALARIAL"/>
        <w:numPr>
          <w:ilvl w:val="0"/>
          <w:numId w:val="2"/>
        </w:numPr>
        <w:rPr>
          <w:rFonts w:eastAsia="Calibri" w:cs="Arial"/>
          <w:szCs w:val="22"/>
          <w:lang w:eastAsia="en-US"/>
        </w:rPr>
      </w:pPr>
      <w:r>
        <w:rPr>
          <w:rFonts w:eastAsia="Calibri" w:cs="Arial"/>
          <w:szCs w:val="22"/>
          <w:lang w:eastAsia="en-US"/>
        </w:rPr>
        <w:t>a cash budget for the six months to 30 November which shows the cash balance at the end of each month; and</w:t>
      </w:r>
    </w:p>
    <w:p w14:paraId="24B57405" w14:textId="77777777" w:rsidR="00E41B1C" w:rsidRDefault="00E41B1C" w:rsidP="00E41B1C">
      <w:pPr>
        <w:pStyle w:val="SMUNORMALARIAL"/>
        <w:numPr>
          <w:ilvl w:val="0"/>
          <w:numId w:val="2"/>
        </w:numPr>
        <w:rPr>
          <w:rFonts w:cs="Arial"/>
          <w:b/>
          <w:szCs w:val="22"/>
        </w:rPr>
      </w:pPr>
      <w:r>
        <w:rPr>
          <w:rFonts w:eastAsia="Calibri" w:cs="Arial"/>
          <w:szCs w:val="22"/>
          <w:lang w:eastAsia="en-US"/>
        </w:rPr>
        <w:t xml:space="preserve">a budgeted Profit &amp; Loss Account for the whole of the six-month period ending 30 November (i.e. a monthly breakdown of profit is not required). </w:t>
      </w:r>
      <w:r>
        <w:rPr>
          <w:rFonts w:eastAsia="Calibri" w:cs="Arial"/>
          <w:szCs w:val="22"/>
          <w:lang w:eastAsia="en-US"/>
        </w:rPr>
        <w:tab/>
      </w:r>
      <w:r>
        <w:rPr>
          <w:rFonts w:eastAsia="Calibri" w:cs="Arial"/>
          <w:szCs w:val="22"/>
          <w:lang w:eastAsia="en-US"/>
        </w:rPr>
        <w:tab/>
      </w:r>
      <w:r>
        <w:rPr>
          <w:rFonts w:cs="Arial"/>
          <w:b/>
          <w:szCs w:val="22"/>
        </w:rPr>
        <w:t>(20 marks)</w:t>
      </w:r>
    </w:p>
    <w:p w14:paraId="6030A321" w14:textId="77777777" w:rsidR="00E41B1C" w:rsidRDefault="00E41B1C" w:rsidP="00E41B1C">
      <w:pPr>
        <w:pStyle w:val="SMUNORMALARIAL"/>
        <w:rPr>
          <w:rFonts w:cs="Arial"/>
          <w:bCs/>
          <w:szCs w:val="22"/>
        </w:rPr>
      </w:pPr>
    </w:p>
    <w:p w14:paraId="44EF157C" w14:textId="77777777" w:rsidR="00E41B1C" w:rsidRDefault="00E41B1C" w:rsidP="00E41B1C">
      <w:pPr>
        <w:pStyle w:val="SMUNORMALARIAL"/>
        <w:numPr>
          <w:ilvl w:val="0"/>
          <w:numId w:val="3"/>
        </w:numPr>
        <w:rPr>
          <w:rFonts w:cs="Arial"/>
          <w:bCs/>
          <w:szCs w:val="22"/>
        </w:rPr>
      </w:pPr>
      <w:r>
        <w:rPr>
          <w:rFonts w:eastAsia="Calibri" w:cs="Arial"/>
          <w:szCs w:val="22"/>
          <w:lang w:eastAsia="en-US"/>
        </w:rPr>
        <w:t>Explain the problems your calculations indicate that Demystified is likely to face in the next six months, and how management actions could address these problems.</w:t>
      </w:r>
      <w:r>
        <w:rPr>
          <w:rFonts w:cs="Arial"/>
          <w:bCs/>
          <w:szCs w:val="22"/>
        </w:rPr>
        <w:t xml:space="preserve">  </w:t>
      </w:r>
    </w:p>
    <w:p w14:paraId="2318107D" w14:textId="77777777" w:rsidR="00E41B1C" w:rsidRDefault="00E41B1C" w:rsidP="00E41B1C">
      <w:pPr>
        <w:ind w:left="774" w:right="57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   </w:t>
      </w:r>
      <w:r>
        <w:rPr>
          <w:rFonts w:ascii="Arial" w:hAnsi="Arial" w:cs="Arial"/>
          <w:b/>
          <w:bCs/>
          <w:sz w:val="22"/>
          <w:szCs w:val="22"/>
        </w:rPr>
        <w:t>(10 marks)</w:t>
      </w:r>
    </w:p>
    <w:p w14:paraId="6D3D481A" w14:textId="77777777" w:rsidR="00E41B1C" w:rsidRDefault="00E41B1C" w:rsidP="00E41B1C">
      <w:pPr>
        <w:ind w:left="774" w:right="57"/>
        <w:jc w:val="both"/>
        <w:rPr>
          <w:rFonts w:ascii="Arial" w:hAnsi="Arial" w:cs="Arial"/>
          <w:sz w:val="22"/>
          <w:szCs w:val="22"/>
        </w:rPr>
      </w:pPr>
    </w:p>
    <w:p w14:paraId="2E329585" w14:textId="6303EC3A" w:rsidR="00E41B1C" w:rsidRDefault="00E41B1C" w:rsidP="00E41B1C">
      <w:r>
        <w:rPr>
          <w:rFonts w:cs="Arial"/>
          <w:b/>
          <w:szCs w:val="22"/>
        </w:rPr>
        <w:t xml:space="preserve">      (c)</w:t>
      </w:r>
      <w:r>
        <w:rPr>
          <w:rFonts w:cs="Arial"/>
          <w:bCs/>
          <w:szCs w:val="22"/>
        </w:rPr>
        <w:tab/>
        <w:t>Critically discuss</w:t>
      </w:r>
      <w:r>
        <w:rPr>
          <w:rFonts w:eastAsia="Calibri" w:cs="Arial"/>
          <w:szCs w:val="22"/>
          <w:lang w:eastAsia="en-US"/>
        </w:rPr>
        <w:t xml:space="preserve"> the conditions which should be present within an organisation for a system of budgeting and budgetary control to be successful, and briefly discuss four points related to the behaviours of people which management needs to take into consideration when such a system is introduced.</w:t>
      </w:r>
      <w:r>
        <w:rPr>
          <w:rFonts w:eastAsia="Calibri" w:cs="Arial"/>
          <w:szCs w:val="22"/>
          <w:lang w:eastAsia="en-US"/>
        </w:rPr>
        <w:tab/>
      </w:r>
      <w:r>
        <w:rPr>
          <w:rFonts w:eastAsia="Calibri" w:cs="Arial"/>
          <w:szCs w:val="22"/>
          <w:lang w:eastAsia="en-US"/>
        </w:rPr>
        <w:tab/>
      </w:r>
    </w:p>
    <w:sectPr w:rsidR="00E41B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E0A39F0"/>
    <w:multiLevelType w:val="hybridMultilevel"/>
    <w:tmpl w:val="60D40F30"/>
    <w:lvl w:ilvl="0" w:tplc="2D601F90">
      <w:start w:val="2"/>
      <w:numFmt w:val="lowerLetter"/>
      <w:lvlText w:val="(%1)"/>
      <w:lvlJc w:val="left"/>
      <w:pPr>
        <w:ind w:left="720" w:hanging="360"/>
      </w:pPr>
      <w:rPr>
        <w:rFonts w:eastAsia="Calibr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646347689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8333632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3310980">
    <w:abstractNumId w:val="1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B1C"/>
    <w:rsid w:val="00493920"/>
    <w:rsid w:val="00E41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32EBD"/>
  <w15:chartTrackingRefBased/>
  <w15:docId w15:val="{EBB7BC71-8562-494E-82C1-9A387AE4C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1B1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E41B1C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uiPriority w:val="59"/>
    <w:rsid w:val="00E41B1C"/>
    <w:pPr>
      <w:spacing w:after="0" w:line="240" w:lineRule="auto"/>
    </w:pPr>
    <w:rPr>
      <w:rFonts w:ascii="Calibri" w:eastAsia="Calibri" w:hAnsi="Calibri" w:cs="Times New Roman"/>
      <w:lang w:eastAsia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235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347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2022-12-05T07:27:00Z</dcterms:created>
  <dcterms:modified xsi:type="dcterms:W3CDTF">2022-12-05T11:59:00Z</dcterms:modified>
</cp:coreProperties>
</file>