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BA0B2" w14:textId="2CA84CF7" w:rsidR="007B4D45" w:rsidRPr="00254044" w:rsidRDefault="007B4D45" w:rsidP="0062345A">
      <w:pPr>
        <w:spacing w:after="0" w:line="360" w:lineRule="auto"/>
        <w:jc w:val="center"/>
        <w:rPr>
          <w:rFonts w:ascii="Arial" w:hAnsi="Arial" w:cs="Arial"/>
          <w:b/>
          <w:bCs/>
          <w:sz w:val="22"/>
          <w:szCs w:val="22"/>
        </w:rPr>
      </w:pPr>
      <w:r w:rsidRPr="00254044">
        <w:drawing>
          <wp:inline distT="0" distB="0" distL="0" distR="0" wp14:anchorId="4F9D7992" wp14:editId="674DA7B5">
            <wp:extent cx="2400300" cy="960120"/>
            <wp:effectExtent l="0" t="0" r="0" b="0"/>
            <wp:docPr id="4" name="Picture 2" descr="UWTSD logo | Discover Dylan Thomas">
              <a:extLst xmlns:a="http://schemas.openxmlformats.org/drawingml/2006/main">
                <a:ext uri="{FF2B5EF4-FFF2-40B4-BE49-F238E27FC236}">
                  <a16:creationId xmlns:a16="http://schemas.microsoft.com/office/drawing/2014/main" id="{05FB08AB-E1E3-84A3-77F1-D05E109AD4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UWTSD logo | Discover Dylan Thomas">
                      <a:extLst>
                        <a:ext uri="{FF2B5EF4-FFF2-40B4-BE49-F238E27FC236}">
                          <a16:creationId xmlns:a16="http://schemas.microsoft.com/office/drawing/2014/main" id="{05FB08AB-E1E3-84A3-77F1-D05E109AD46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0300" cy="960120"/>
                    </a:xfrm>
                    <a:prstGeom prst="rect">
                      <a:avLst/>
                    </a:prstGeom>
                    <a:noFill/>
                  </pic:spPr>
                </pic:pic>
              </a:graphicData>
            </a:graphic>
          </wp:inline>
        </w:drawing>
      </w:r>
    </w:p>
    <w:tbl>
      <w:tblPr>
        <w:tblpPr w:leftFromText="180" w:rightFromText="180" w:vertAnchor="page" w:horzAnchor="margin" w:tblpY="3171"/>
        <w:tblW w:w="10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9"/>
        <w:gridCol w:w="3429"/>
        <w:gridCol w:w="2361"/>
        <w:gridCol w:w="2362"/>
      </w:tblGrid>
      <w:tr w:rsidR="007B4D45" w:rsidRPr="00254044" w14:paraId="2984DA78" w14:textId="77777777" w:rsidTr="007B4D45">
        <w:trPr>
          <w:trHeight w:val="850"/>
        </w:trPr>
        <w:tc>
          <w:tcPr>
            <w:tcW w:w="2179" w:type="dxa"/>
          </w:tcPr>
          <w:p w14:paraId="0501AE4D"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Student name:</w:t>
            </w:r>
          </w:p>
        </w:tc>
        <w:tc>
          <w:tcPr>
            <w:tcW w:w="3429" w:type="dxa"/>
          </w:tcPr>
          <w:p w14:paraId="2C8863CA" w14:textId="250A151A"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Confidence</w:t>
            </w:r>
            <w:r w:rsidR="00254044" w:rsidRPr="00254044">
              <w:rPr>
                <w:rFonts w:ascii="Arial" w:hAnsi="Arial" w:cs="Arial"/>
                <w:b/>
                <w:sz w:val="22"/>
                <w:szCs w:val="22"/>
              </w:rPr>
              <w:t xml:space="preserve"> Chinonyerem</w:t>
            </w:r>
            <w:r w:rsidRPr="00254044">
              <w:rPr>
                <w:rFonts w:ascii="Arial" w:hAnsi="Arial" w:cs="Arial"/>
                <w:b/>
                <w:sz w:val="22"/>
                <w:szCs w:val="22"/>
              </w:rPr>
              <w:t xml:space="preserve"> </w:t>
            </w:r>
            <w:proofErr w:type="spellStart"/>
            <w:r w:rsidRPr="00254044">
              <w:rPr>
                <w:rFonts w:ascii="Arial" w:hAnsi="Arial" w:cs="Arial"/>
                <w:b/>
                <w:sz w:val="22"/>
                <w:szCs w:val="22"/>
              </w:rPr>
              <w:t>Ag</w:t>
            </w:r>
            <w:r w:rsidR="00254044" w:rsidRPr="00254044">
              <w:rPr>
                <w:rFonts w:ascii="Arial" w:hAnsi="Arial" w:cs="Arial"/>
                <w:b/>
                <w:sz w:val="22"/>
                <w:szCs w:val="22"/>
              </w:rPr>
              <w:t>omuo</w:t>
            </w:r>
            <w:proofErr w:type="spellEnd"/>
            <w:r w:rsidRPr="00254044">
              <w:rPr>
                <w:rFonts w:ascii="Arial" w:hAnsi="Arial" w:cs="Arial"/>
                <w:b/>
                <w:sz w:val="22"/>
                <w:szCs w:val="22"/>
              </w:rPr>
              <w:t xml:space="preserve"> Onuoha</w:t>
            </w:r>
          </w:p>
        </w:tc>
        <w:tc>
          <w:tcPr>
            <w:tcW w:w="2361" w:type="dxa"/>
            <w:shd w:val="clear" w:color="auto" w:fill="D9D9D9" w:themeFill="background1" w:themeFillShade="D9"/>
          </w:tcPr>
          <w:p w14:paraId="07690F7B"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Student ID number:</w:t>
            </w:r>
          </w:p>
        </w:tc>
        <w:tc>
          <w:tcPr>
            <w:tcW w:w="2361" w:type="dxa"/>
          </w:tcPr>
          <w:p w14:paraId="6483A604" w14:textId="1E312594" w:rsidR="007B4D45" w:rsidRPr="00254044" w:rsidRDefault="00AD1FFE" w:rsidP="0062345A">
            <w:pPr>
              <w:spacing w:before="120" w:after="120"/>
              <w:jc w:val="both"/>
              <w:rPr>
                <w:rFonts w:ascii="Arial" w:hAnsi="Arial" w:cs="Arial"/>
                <w:b/>
                <w:sz w:val="22"/>
                <w:szCs w:val="22"/>
              </w:rPr>
            </w:pPr>
            <w:r>
              <w:rPr>
                <w:rFonts w:ascii="Arial" w:hAnsi="Arial" w:cs="Arial"/>
                <w:b/>
                <w:sz w:val="22"/>
                <w:szCs w:val="22"/>
              </w:rPr>
              <w:t>2244624</w:t>
            </w:r>
          </w:p>
        </w:tc>
      </w:tr>
      <w:tr w:rsidR="007B4D45" w:rsidRPr="00254044" w14:paraId="05C1DE33" w14:textId="77777777" w:rsidTr="007B4D45">
        <w:trPr>
          <w:trHeight w:val="866"/>
        </w:trPr>
        <w:tc>
          <w:tcPr>
            <w:tcW w:w="2179" w:type="dxa"/>
          </w:tcPr>
          <w:p w14:paraId="68BE0076"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Programme:</w:t>
            </w:r>
          </w:p>
        </w:tc>
        <w:tc>
          <w:tcPr>
            <w:tcW w:w="8152" w:type="dxa"/>
            <w:gridSpan w:val="3"/>
          </w:tcPr>
          <w:p w14:paraId="5C24AB06"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MSc Public Health and Social Care in Practice</w:t>
            </w:r>
          </w:p>
        </w:tc>
      </w:tr>
      <w:tr w:rsidR="007B4D45" w:rsidRPr="00254044" w14:paraId="520A0C9E" w14:textId="77777777" w:rsidTr="007B4D45">
        <w:trPr>
          <w:trHeight w:val="850"/>
        </w:trPr>
        <w:tc>
          <w:tcPr>
            <w:tcW w:w="2179" w:type="dxa"/>
          </w:tcPr>
          <w:p w14:paraId="7975F5E8"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Module:</w:t>
            </w:r>
          </w:p>
        </w:tc>
        <w:tc>
          <w:tcPr>
            <w:tcW w:w="8152" w:type="dxa"/>
            <w:gridSpan w:val="3"/>
          </w:tcPr>
          <w:p w14:paraId="3D67CC01"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Health Care System Organisation and Leadership</w:t>
            </w:r>
          </w:p>
        </w:tc>
      </w:tr>
      <w:tr w:rsidR="007B4D45" w:rsidRPr="00254044" w14:paraId="49AFE49B" w14:textId="77777777" w:rsidTr="007B4D45">
        <w:trPr>
          <w:trHeight w:val="1797"/>
        </w:trPr>
        <w:tc>
          <w:tcPr>
            <w:tcW w:w="2179" w:type="dxa"/>
          </w:tcPr>
          <w:p w14:paraId="6692E376"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Module code:</w:t>
            </w:r>
          </w:p>
        </w:tc>
        <w:tc>
          <w:tcPr>
            <w:tcW w:w="3429" w:type="dxa"/>
          </w:tcPr>
          <w:p w14:paraId="2C2D0C72"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LCHS7002</w:t>
            </w:r>
          </w:p>
        </w:tc>
        <w:tc>
          <w:tcPr>
            <w:tcW w:w="2361" w:type="dxa"/>
            <w:shd w:val="clear" w:color="auto" w:fill="D9D9D9" w:themeFill="background1" w:themeFillShade="D9"/>
          </w:tcPr>
          <w:p w14:paraId="57433E70" w14:textId="77777777" w:rsidR="007B4D45" w:rsidRPr="00254044" w:rsidRDefault="007B4D45" w:rsidP="0081579C">
            <w:pPr>
              <w:rPr>
                <w:b/>
                <w:bCs/>
              </w:rPr>
            </w:pPr>
            <w:r w:rsidRPr="00254044">
              <w:rPr>
                <w:b/>
                <w:bCs/>
              </w:rPr>
              <w:t>Contribution to Overall Module Assessment (%):</w:t>
            </w:r>
          </w:p>
        </w:tc>
        <w:tc>
          <w:tcPr>
            <w:tcW w:w="2361" w:type="dxa"/>
          </w:tcPr>
          <w:p w14:paraId="49BF4466"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100%</w:t>
            </w:r>
          </w:p>
        </w:tc>
      </w:tr>
      <w:tr w:rsidR="007B4D45" w:rsidRPr="00254044" w14:paraId="2CB5E6E4" w14:textId="77777777" w:rsidTr="007B4D45">
        <w:trPr>
          <w:trHeight w:val="850"/>
        </w:trPr>
        <w:tc>
          <w:tcPr>
            <w:tcW w:w="2179" w:type="dxa"/>
          </w:tcPr>
          <w:p w14:paraId="7BE1E931"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Lecturer:</w:t>
            </w:r>
          </w:p>
        </w:tc>
        <w:tc>
          <w:tcPr>
            <w:tcW w:w="3429" w:type="dxa"/>
          </w:tcPr>
          <w:p w14:paraId="24BC09AB" w14:textId="6EC81DAF" w:rsidR="007B4D45" w:rsidRPr="00254044" w:rsidRDefault="00BE1BCD" w:rsidP="0062345A">
            <w:pPr>
              <w:spacing w:before="120" w:after="120"/>
              <w:jc w:val="both"/>
              <w:rPr>
                <w:rFonts w:ascii="Arial" w:hAnsi="Arial" w:cs="Arial"/>
                <w:b/>
                <w:sz w:val="22"/>
                <w:szCs w:val="22"/>
              </w:rPr>
            </w:pPr>
            <w:r>
              <w:rPr>
                <w:rFonts w:ascii="Arial" w:hAnsi="Arial" w:cs="Arial"/>
                <w:b/>
                <w:sz w:val="22"/>
                <w:szCs w:val="22"/>
              </w:rPr>
              <w:t>Dr Pascal Navelle</w:t>
            </w:r>
          </w:p>
        </w:tc>
        <w:tc>
          <w:tcPr>
            <w:tcW w:w="2361" w:type="dxa"/>
            <w:shd w:val="clear" w:color="auto" w:fill="D9D9D9" w:themeFill="background1" w:themeFillShade="D9"/>
          </w:tcPr>
          <w:p w14:paraId="5CCBAB2D"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Internal Verifier:</w:t>
            </w:r>
          </w:p>
        </w:tc>
        <w:tc>
          <w:tcPr>
            <w:tcW w:w="2361" w:type="dxa"/>
          </w:tcPr>
          <w:p w14:paraId="0C72D72F"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Dr Hamdi Hussain</w:t>
            </w:r>
          </w:p>
        </w:tc>
      </w:tr>
      <w:tr w:rsidR="007B4D45" w:rsidRPr="00254044" w14:paraId="4F702DB4" w14:textId="77777777" w:rsidTr="007B4D45">
        <w:trPr>
          <w:trHeight w:val="1332"/>
        </w:trPr>
        <w:tc>
          <w:tcPr>
            <w:tcW w:w="2179" w:type="dxa"/>
          </w:tcPr>
          <w:p w14:paraId="596770E0"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Assignment Title:</w:t>
            </w:r>
          </w:p>
        </w:tc>
        <w:tc>
          <w:tcPr>
            <w:tcW w:w="3429" w:type="dxa"/>
          </w:tcPr>
          <w:p w14:paraId="7062161E"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Case Study Analysis Report</w:t>
            </w:r>
          </w:p>
        </w:tc>
        <w:tc>
          <w:tcPr>
            <w:tcW w:w="2361" w:type="dxa"/>
          </w:tcPr>
          <w:p w14:paraId="7DF76771"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Word count (or equivalent):</w:t>
            </w:r>
          </w:p>
        </w:tc>
        <w:tc>
          <w:tcPr>
            <w:tcW w:w="2361" w:type="dxa"/>
          </w:tcPr>
          <w:p w14:paraId="174865A5"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5000 words (+/- 10%)</w:t>
            </w:r>
          </w:p>
        </w:tc>
      </w:tr>
      <w:tr w:rsidR="007B4D45" w:rsidRPr="00254044" w14:paraId="2C9D1035" w14:textId="77777777" w:rsidTr="007B4D45">
        <w:trPr>
          <w:trHeight w:val="1797"/>
        </w:trPr>
        <w:tc>
          <w:tcPr>
            <w:tcW w:w="2179" w:type="dxa"/>
          </w:tcPr>
          <w:p w14:paraId="1D96262A"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Submission deadline:</w:t>
            </w:r>
          </w:p>
        </w:tc>
        <w:tc>
          <w:tcPr>
            <w:tcW w:w="3429" w:type="dxa"/>
          </w:tcPr>
          <w:p w14:paraId="2442CF95" w14:textId="77777777" w:rsidR="007B4D45" w:rsidRPr="00254044" w:rsidRDefault="007B4D45" w:rsidP="0062345A">
            <w:pPr>
              <w:spacing w:before="120" w:after="120"/>
              <w:jc w:val="both"/>
              <w:rPr>
                <w:rFonts w:ascii="Arial" w:hAnsi="Arial" w:cs="Arial"/>
                <w:b/>
                <w:bCs/>
                <w:sz w:val="22"/>
                <w:szCs w:val="22"/>
              </w:rPr>
            </w:pPr>
            <w:r w:rsidRPr="00254044">
              <w:rPr>
                <w:rFonts w:ascii="Arial" w:hAnsi="Arial" w:cs="Arial"/>
                <w:b/>
                <w:bCs/>
                <w:sz w:val="22"/>
                <w:szCs w:val="22"/>
              </w:rPr>
              <w:t>11</w:t>
            </w:r>
            <w:r w:rsidRPr="00254044">
              <w:rPr>
                <w:rFonts w:ascii="Arial" w:hAnsi="Arial" w:cs="Arial"/>
                <w:b/>
                <w:bCs/>
                <w:sz w:val="22"/>
                <w:szCs w:val="22"/>
                <w:vertAlign w:val="superscript"/>
              </w:rPr>
              <w:t>th</w:t>
            </w:r>
            <w:r w:rsidRPr="00254044">
              <w:rPr>
                <w:rFonts w:ascii="Arial" w:hAnsi="Arial" w:cs="Arial"/>
                <w:b/>
                <w:bCs/>
                <w:sz w:val="22"/>
                <w:szCs w:val="22"/>
              </w:rPr>
              <w:t xml:space="preserve"> August 2026 </w:t>
            </w:r>
          </w:p>
          <w:p w14:paraId="3222550E" w14:textId="77777777" w:rsidR="007B4D45" w:rsidRPr="00254044" w:rsidRDefault="007B4D45" w:rsidP="0062345A">
            <w:pPr>
              <w:spacing w:before="120" w:after="120"/>
              <w:jc w:val="both"/>
              <w:rPr>
                <w:rFonts w:ascii="Arial" w:hAnsi="Arial" w:cs="Arial"/>
                <w:b/>
                <w:bCs/>
                <w:sz w:val="22"/>
                <w:szCs w:val="22"/>
              </w:rPr>
            </w:pPr>
            <w:r w:rsidRPr="00254044">
              <w:rPr>
                <w:rFonts w:ascii="Arial" w:hAnsi="Arial" w:cs="Arial"/>
                <w:b/>
                <w:bCs/>
                <w:sz w:val="22"/>
                <w:szCs w:val="22"/>
              </w:rPr>
              <w:t>14:00 (2 pm)</w:t>
            </w:r>
          </w:p>
        </w:tc>
        <w:tc>
          <w:tcPr>
            <w:tcW w:w="2361" w:type="dxa"/>
          </w:tcPr>
          <w:p w14:paraId="6A25D053" w14:textId="77777777" w:rsidR="007B4D45" w:rsidRPr="00254044" w:rsidRDefault="007B4D45" w:rsidP="0062345A">
            <w:pPr>
              <w:spacing w:before="120" w:after="120"/>
              <w:jc w:val="both"/>
              <w:rPr>
                <w:rFonts w:ascii="Arial" w:hAnsi="Arial" w:cs="Arial"/>
                <w:b/>
                <w:sz w:val="22"/>
                <w:szCs w:val="22"/>
              </w:rPr>
            </w:pPr>
            <w:r w:rsidRPr="00254044">
              <w:rPr>
                <w:rFonts w:ascii="Arial" w:hAnsi="Arial" w:cs="Arial"/>
                <w:b/>
                <w:sz w:val="22"/>
                <w:szCs w:val="22"/>
              </w:rPr>
              <w:t>Return date of provisional marks &amp; written feedback:</w:t>
            </w:r>
          </w:p>
        </w:tc>
        <w:tc>
          <w:tcPr>
            <w:tcW w:w="2361" w:type="dxa"/>
          </w:tcPr>
          <w:p w14:paraId="47B602FA" w14:textId="3254C8C5" w:rsidR="007B4D45" w:rsidRPr="00254044" w:rsidRDefault="007B4D45" w:rsidP="0062345A">
            <w:pPr>
              <w:spacing w:before="120" w:after="120"/>
              <w:jc w:val="both"/>
              <w:rPr>
                <w:rFonts w:ascii="Arial" w:hAnsi="Arial" w:cs="Arial"/>
                <w:b/>
                <w:bCs/>
                <w:sz w:val="22"/>
                <w:szCs w:val="22"/>
              </w:rPr>
            </w:pPr>
            <w:r w:rsidRPr="00254044">
              <w:rPr>
                <w:rFonts w:ascii="Arial" w:hAnsi="Arial" w:cs="Arial"/>
                <w:b/>
                <w:bCs/>
                <w:sz w:val="22"/>
                <w:szCs w:val="22"/>
              </w:rPr>
              <w:t>2</w:t>
            </w:r>
            <w:r w:rsidRPr="00254044">
              <w:rPr>
                <w:rFonts w:ascii="Arial" w:hAnsi="Arial" w:cs="Arial"/>
                <w:b/>
                <w:bCs/>
                <w:sz w:val="22"/>
                <w:szCs w:val="22"/>
                <w:vertAlign w:val="superscript"/>
              </w:rPr>
              <w:t>nd</w:t>
            </w:r>
            <w:r w:rsidRPr="00254044">
              <w:rPr>
                <w:rFonts w:ascii="Arial" w:hAnsi="Arial" w:cs="Arial"/>
                <w:b/>
                <w:bCs/>
                <w:sz w:val="22"/>
                <w:szCs w:val="22"/>
              </w:rPr>
              <w:t xml:space="preserve"> of </w:t>
            </w:r>
            <w:r w:rsidR="00254044" w:rsidRPr="00254044">
              <w:rPr>
                <w:rFonts w:ascii="Arial" w:hAnsi="Arial" w:cs="Arial"/>
                <w:b/>
                <w:bCs/>
                <w:sz w:val="22"/>
                <w:szCs w:val="22"/>
              </w:rPr>
              <w:t>September 2026</w:t>
            </w:r>
          </w:p>
        </w:tc>
      </w:tr>
    </w:tbl>
    <w:p w14:paraId="4E1CCBBE" w14:textId="77777777" w:rsidR="007B4D45" w:rsidRPr="00254044" w:rsidRDefault="007B4D45" w:rsidP="0062345A">
      <w:pPr>
        <w:spacing w:after="0" w:line="360" w:lineRule="auto"/>
        <w:jc w:val="both"/>
        <w:rPr>
          <w:rFonts w:ascii="Arial" w:hAnsi="Arial" w:cs="Arial"/>
          <w:b/>
          <w:bCs/>
          <w:sz w:val="22"/>
          <w:szCs w:val="22"/>
        </w:rPr>
      </w:pPr>
    </w:p>
    <w:p w14:paraId="2821AE16" w14:textId="77777777" w:rsidR="007B4D45" w:rsidRPr="00254044" w:rsidRDefault="007B4D45" w:rsidP="0062345A">
      <w:pPr>
        <w:spacing w:after="0" w:line="360" w:lineRule="auto"/>
        <w:jc w:val="both"/>
        <w:rPr>
          <w:rFonts w:ascii="Arial" w:hAnsi="Arial" w:cs="Arial"/>
          <w:b/>
          <w:bCs/>
          <w:sz w:val="22"/>
          <w:szCs w:val="22"/>
        </w:rPr>
      </w:pPr>
    </w:p>
    <w:p w14:paraId="0556443D" w14:textId="77777777" w:rsidR="007B4D45" w:rsidRPr="00254044" w:rsidRDefault="007B4D45" w:rsidP="0062345A">
      <w:pPr>
        <w:spacing w:after="0" w:line="360" w:lineRule="auto"/>
        <w:jc w:val="both"/>
        <w:rPr>
          <w:rFonts w:ascii="Arial" w:hAnsi="Arial" w:cs="Arial"/>
          <w:b/>
          <w:bCs/>
          <w:sz w:val="22"/>
          <w:szCs w:val="22"/>
        </w:rPr>
      </w:pPr>
    </w:p>
    <w:p w14:paraId="502158D2" w14:textId="77777777" w:rsidR="0081579C" w:rsidRPr="00254044" w:rsidRDefault="0081579C" w:rsidP="0062345A">
      <w:pPr>
        <w:spacing w:after="0" w:line="360" w:lineRule="auto"/>
        <w:jc w:val="both"/>
        <w:rPr>
          <w:rFonts w:ascii="Arial" w:hAnsi="Arial" w:cs="Arial"/>
          <w:b/>
          <w:bCs/>
          <w:sz w:val="22"/>
          <w:szCs w:val="22"/>
        </w:rPr>
      </w:pPr>
    </w:p>
    <w:p w14:paraId="40F8E914" w14:textId="77777777" w:rsidR="0081579C" w:rsidRPr="00254044" w:rsidRDefault="0081579C" w:rsidP="0062345A">
      <w:pPr>
        <w:spacing w:after="0" w:line="360" w:lineRule="auto"/>
        <w:jc w:val="both"/>
        <w:rPr>
          <w:rFonts w:ascii="Arial" w:hAnsi="Arial" w:cs="Arial"/>
          <w:b/>
          <w:bCs/>
          <w:sz w:val="22"/>
          <w:szCs w:val="22"/>
        </w:rPr>
      </w:pPr>
    </w:p>
    <w:p w14:paraId="2BD6E29E" w14:textId="77777777" w:rsidR="007B4D45" w:rsidRPr="00254044" w:rsidRDefault="007B4D45" w:rsidP="0062345A">
      <w:pPr>
        <w:spacing w:after="0" w:line="360" w:lineRule="auto"/>
        <w:jc w:val="both"/>
        <w:rPr>
          <w:rFonts w:ascii="Arial" w:hAnsi="Arial" w:cs="Arial"/>
          <w:b/>
          <w:bCs/>
          <w:sz w:val="22"/>
          <w:szCs w:val="22"/>
        </w:rPr>
      </w:pPr>
    </w:p>
    <w:p w14:paraId="10D14007" w14:textId="77777777" w:rsidR="007B4D45" w:rsidRPr="00254044" w:rsidRDefault="007B4D45" w:rsidP="0062345A">
      <w:pPr>
        <w:spacing w:after="0" w:line="360" w:lineRule="auto"/>
        <w:jc w:val="both"/>
        <w:rPr>
          <w:rFonts w:ascii="Arial" w:hAnsi="Arial" w:cs="Arial"/>
          <w:b/>
          <w:bCs/>
          <w:sz w:val="22"/>
          <w:szCs w:val="22"/>
        </w:rPr>
      </w:pPr>
    </w:p>
    <w:sdt>
      <w:sdtPr>
        <w:rPr>
          <w:rFonts w:asciiTheme="minorHAnsi" w:eastAsiaTheme="minorHAnsi" w:hAnsiTheme="minorHAnsi" w:cstheme="minorBidi"/>
          <w:color w:val="auto"/>
          <w:kern w:val="2"/>
          <w:sz w:val="24"/>
          <w:szCs w:val="24"/>
          <w14:ligatures w14:val="standardContextual"/>
        </w:rPr>
        <w:id w:val="-2110574738"/>
        <w:docPartObj>
          <w:docPartGallery w:val="Table of Contents"/>
          <w:docPartUnique/>
        </w:docPartObj>
      </w:sdtPr>
      <w:sdtEndPr>
        <w:rPr>
          <w:b/>
          <w:bCs/>
        </w:rPr>
      </w:sdtEndPr>
      <w:sdtContent>
        <w:p w14:paraId="4E31BAA9" w14:textId="3483F5D5" w:rsidR="0081579C" w:rsidRPr="00254044" w:rsidRDefault="0081579C" w:rsidP="003A618A">
          <w:pPr>
            <w:pStyle w:val="TOCHeading"/>
            <w:spacing w:line="360" w:lineRule="auto"/>
            <w:rPr>
              <w:rFonts w:ascii="Arial" w:hAnsi="Arial" w:cs="Arial"/>
              <w:b/>
              <w:bCs/>
              <w:color w:val="auto"/>
              <w:sz w:val="24"/>
              <w:szCs w:val="24"/>
            </w:rPr>
          </w:pPr>
          <w:r w:rsidRPr="00254044">
            <w:rPr>
              <w:rFonts w:ascii="Arial" w:hAnsi="Arial" w:cs="Arial"/>
              <w:b/>
              <w:bCs/>
              <w:color w:val="auto"/>
              <w:sz w:val="24"/>
              <w:szCs w:val="24"/>
            </w:rPr>
            <w:t>TABLE OF CONTENTS</w:t>
          </w:r>
        </w:p>
        <w:p w14:paraId="538FDA4C" w14:textId="74956FAE" w:rsidR="003A618A" w:rsidRPr="00254044" w:rsidRDefault="0081579C" w:rsidP="003A618A">
          <w:pPr>
            <w:pStyle w:val="TOC1"/>
            <w:tabs>
              <w:tab w:val="right" w:leader="dot" w:pos="9350"/>
            </w:tabs>
            <w:spacing w:line="360" w:lineRule="auto"/>
            <w:rPr>
              <w:rFonts w:eastAsiaTheme="minorEastAsia"/>
            </w:rPr>
          </w:pPr>
          <w:r w:rsidRPr="00254044">
            <w:fldChar w:fldCharType="begin"/>
          </w:r>
          <w:r w:rsidRPr="00254044">
            <w:instrText xml:space="preserve"> TOC \o "1-3" \h \z \u </w:instrText>
          </w:r>
          <w:r w:rsidRPr="00254044">
            <w:fldChar w:fldCharType="separate"/>
          </w:r>
          <w:hyperlink w:anchor="_Toc236855883" w:history="1">
            <w:r w:rsidR="003A618A" w:rsidRPr="00254044">
              <w:rPr>
                <w:rStyle w:val="Hyperlink"/>
                <w:rFonts w:ascii="Arial" w:hAnsi="Arial" w:cs="Arial"/>
                <w:b/>
                <w:bCs/>
              </w:rPr>
              <w:t>INTRODUCTION</w:t>
            </w:r>
            <w:r w:rsidR="003A618A" w:rsidRPr="00254044">
              <w:rPr>
                <w:webHidden/>
              </w:rPr>
              <w:tab/>
            </w:r>
            <w:r w:rsidR="003A618A" w:rsidRPr="00254044">
              <w:rPr>
                <w:webHidden/>
              </w:rPr>
              <w:fldChar w:fldCharType="begin"/>
            </w:r>
            <w:r w:rsidR="003A618A" w:rsidRPr="00254044">
              <w:rPr>
                <w:webHidden/>
              </w:rPr>
              <w:instrText xml:space="preserve"> PAGEREF _Toc236855883 \h </w:instrText>
            </w:r>
            <w:r w:rsidR="003A618A" w:rsidRPr="00254044">
              <w:rPr>
                <w:webHidden/>
              </w:rPr>
            </w:r>
            <w:r w:rsidR="003A618A" w:rsidRPr="00254044">
              <w:rPr>
                <w:webHidden/>
              </w:rPr>
              <w:fldChar w:fldCharType="separate"/>
            </w:r>
            <w:r w:rsidR="003A618A" w:rsidRPr="00254044">
              <w:rPr>
                <w:webHidden/>
              </w:rPr>
              <w:t>3</w:t>
            </w:r>
            <w:r w:rsidR="003A618A" w:rsidRPr="00254044">
              <w:rPr>
                <w:webHidden/>
              </w:rPr>
              <w:fldChar w:fldCharType="end"/>
            </w:r>
          </w:hyperlink>
        </w:p>
        <w:p w14:paraId="50B686C0" w14:textId="6E48D1A4" w:rsidR="003A618A" w:rsidRPr="00254044" w:rsidRDefault="003A618A" w:rsidP="003A618A">
          <w:pPr>
            <w:pStyle w:val="TOC1"/>
            <w:tabs>
              <w:tab w:val="right" w:leader="dot" w:pos="9350"/>
            </w:tabs>
            <w:spacing w:line="360" w:lineRule="auto"/>
            <w:rPr>
              <w:rFonts w:eastAsiaTheme="minorEastAsia"/>
            </w:rPr>
          </w:pPr>
          <w:hyperlink w:anchor="_Toc236855884" w:history="1">
            <w:r w:rsidRPr="00254044">
              <w:rPr>
                <w:rStyle w:val="Hyperlink"/>
                <w:rFonts w:ascii="Arial" w:hAnsi="Arial" w:cs="Arial"/>
                <w:b/>
                <w:bCs/>
              </w:rPr>
              <w:t>IDENTIFYING THE PROBLEM AND SETTING THE SYSTEM CONTEXT</w:t>
            </w:r>
            <w:r w:rsidRPr="00254044">
              <w:rPr>
                <w:webHidden/>
              </w:rPr>
              <w:tab/>
            </w:r>
            <w:r w:rsidRPr="00254044">
              <w:rPr>
                <w:webHidden/>
              </w:rPr>
              <w:fldChar w:fldCharType="begin"/>
            </w:r>
            <w:r w:rsidRPr="00254044">
              <w:rPr>
                <w:webHidden/>
              </w:rPr>
              <w:instrText xml:space="preserve"> PAGEREF _Toc236855884 \h </w:instrText>
            </w:r>
            <w:r w:rsidRPr="00254044">
              <w:rPr>
                <w:webHidden/>
              </w:rPr>
            </w:r>
            <w:r w:rsidRPr="00254044">
              <w:rPr>
                <w:webHidden/>
              </w:rPr>
              <w:fldChar w:fldCharType="separate"/>
            </w:r>
            <w:r w:rsidRPr="00254044">
              <w:rPr>
                <w:webHidden/>
              </w:rPr>
              <w:t>4</w:t>
            </w:r>
            <w:r w:rsidRPr="00254044">
              <w:rPr>
                <w:webHidden/>
              </w:rPr>
              <w:fldChar w:fldCharType="end"/>
            </w:r>
          </w:hyperlink>
        </w:p>
        <w:p w14:paraId="055C583C" w14:textId="50BB1168" w:rsidR="003A618A" w:rsidRPr="00254044" w:rsidRDefault="003A618A" w:rsidP="003A618A">
          <w:pPr>
            <w:pStyle w:val="TOC1"/>
            <w:tabs>
              <w:tab w:val="right" w:leader="dot" w:pos="9350"/>
            </w:tabs>
            <w:spacing w:line="360" w:lineRule="auto"/>
            <w:rPr>
              <w:rFonts w:eastAsiaTheme="minorEastAsia"/>
            </w:rPr>
          </w:pPr>
          <w:hyperlink w:anchor="_Toc236855885" w:history="1">
            <w:r w:rsidRPr="00254044">
              <w:rPr>
                <w:rStyle w:val="Hyperlink"/>
                <w:rFonts w:ascii="Arial" w:hAnsi="Arial" w:cs="Arial"/>
                <w:b/>
                <w:bCs/>
              </w:rPr>
              <w:t>CENTRALISATION AND DECENTRALISATION WITHIN THE LEWIS BLACKMAN CASE STUDY</w:t>
            </w:r>
            <w:r w:rsidRPr="00254044">
              <w:rPr>
                <w:webHidden/>
              </w:rPr>
              <w:tab/>
            </w:r>
            <w:r w:rsidRPr="00254044">
              <w:rPr>
                <w:webHidden/>
              </w:rPr>
              <w:fldChar w:fldCharType="begin"/>
            </w:r>
            <w:r w:rsidRPr="00254044">
              <w:rPr>
                <w:webHidden/>
              </w:rPr>
              <w:instrText xml:space="preserve"> PAGEREF _Toc236855885 \h </w:instrText>
            </w:r>
            <w:r w:rsidRPr="00254044">
              <w:rPr>
                <w:webHidden/>
              </w:rPr>
            </w:r>
            <w:r w:rsidRPr="00254044">
              <w:rPr>
                <w:webHidden/>
              </w:rPr>
              <w:fldChar w:fldCharType="separate"/>
            </w:r>
            <w:r w:rsidRPr="00254044">
              <w:rPr>
                <w:webHidden/>
              </w:rPr>
              <w:t>7</w:t>
            </w:r>
            <w:r w:rsidRPr="00254044">
              <w:rPr>
                <w:webHidden/>
              </w:rPr>
              <w:fldChar w:fldCharType="end"/>
            </w:r>
          </w:hyperlink>
        </w:p>
        <w:p w14:paraId="42B1992A" w14:textId="58946620" w:rsidR="003A618A" w:rsidRPr="00254044" w:rsidRDefault="003A618A" w:rsidP="003A618A">
          <w:pPr>
            <w:pStyle w:val="TOC1"/>
            <w:tabs>
              <w:tab w:val="right" w:leader="dot" w:pos="9350"/>
            </w:tabs>
            <w:spacing w:line="360" w:lineRule="auto"/>
            <w:rPr>
              <w:rFonts w:eastAsiaTheme="minorEastAsia"/>
            </w:rPr>
          </w:pPr>
          <w:hyperlink w:anchor="_Toc236855886" w:history="1">
            <w:r w:rsidRPr="00254044">
              <w:rPr>
                <w:rStyle w:val="Hyperlink"/>
                <w:rFonts w:ascii="Arial" w:hAnsi="Arial" w:cs="Arial"/>
                <w:b/>
                <w:bCs/>
              </w:rPr>
              <w:t>LEADERSHIP THEORIES AND APPLICATION TO THE LEWIS BLACKMAN CASE</w:t>
            </w:r>
            <w:r w:rsidRPr="00254044">
              <w:rPr>
                <w:webHidden/>
              </w:rPr>
              <w:tab/>
            </w:r>
            <w:r w:rsidRPr="00254044">
              <w:rPr>
                <w:webHidden/>
              </w:rPr>
              <w:fldChar w:fldCharType="begin"/>
            </w:r>
            <w:r w:rsidRPr="00254044">
              <w:rPr>
                <w:webHidden/>
              </w:rPr>
              <w:instrText xml:space="preserve"> PAGEREF _Toc236855886 \h </w:instrText>
            </w:r>
            <w:r w:rsidRPr="00254044">
              <w:rPr>
                <w:webHidden/>
              </w:rPr>
            </w:r>
            <w:r w:rsidRPr="00254044">
              <w:rPr>
                <w:webHidden/>
              </w:rPr>
              <w:fldChar w:fldCharType="separate"/>
            </w:r>
            <w:r w:rsidRPr="00254044">
              <w:rPr>
                <w:webHidden/>
              </w:rPr>
              <w:t>10</w:t>
            </w:r>
            <w:r w:rsidRPr="00254044">
              <w:rPr>
                <w:webHidden/>
              </w:rPr>
              <w:fldChar w:fldCharType="end"/>
            </w:r>
          </w:hyperlink>
        </w:p>
        <w:p w14:paraId="324DAFE8" w14:textId="45DA6243" w:rsidR="003A618A" w:rsidRPr="00254044" w:rsidRDefault="003A618A" w:rsidP="003A618A">
          <w:pPr>
            <w:pStyle w:val="TOC1"/>
            <w:tabs>
              <w:tab w:val="right" w:leader="dot" w:pos="9350"/>
            </w:tabs>
            <w:spacing w:line="360" w:lineRule="auto"/>
            <w:rPr>
              <w:rFonts w:eastAsiaTheme="minorEastAsia"/>
            </w:rPr>
          </w:pPr>
          <w:hyperlink w:anchor="_Toc236855887" w:history="1">
            <w:r w:rsidRPr="00254044">
              <w:rPr>
                <w:rStyle w:val="Hyperlink"/>
                <w:rFonts w:ascii="Arial" w:hAnsi="Arial" w:cs="Arial"/>
                <w:b/>
                <w:bCs/>
              </w:rPr>
              <w:t>IMPROVEMENT AND LESSONS LEARNED</w:t>
            </w:r>
            <w:r w:rsidRPr="00254044">
              <w:rPr>
                <w:webHidden/>
              </w:rPr>
              <w:tab/>
            </w:r>
            <w:r w:rsidRPr="00254044">
              <w:rPr>
                <w:webHidden/>
              </w:rPr>
              <w:fldChar w:fldCharType="begin"/>
            </w:r>
            <w:r w:rsidRPr="00254044">
              <w:rPr>
                <w:webHidden/>
              </w:rPr>
              <w:instrText xml:space="preserve"> PAGEREF _Toc236855887 \h </w:instrText>
            </w:r>
            <w:r w:rsidRPr="00254044">
              <w:rPr>
                <w:webHidden/>
              </w:rPr>
            </w:r>
            <w:r w:rsidRPr="00254044">
              <w:rPr>
                <w:webHidden/>
              </w:rPr>
              <w:fldChar w:fldCharType="separate"/>
            </w:r>
            <w:r w:rsidRPr="00254044">
              <w:rPr>
                <w:webHidden/>
              </w:rPr>
              <w:t>12</w:t>
            </w:r>
            <w:r w:rsidRPr="00254044">
              <w:rPr>
                <w:webHidden/>
              </w:rPr>
              <w:fldChar w:fldCharType="end"/>
            </w:r>
          </w:hyperlink>
        </w:p>
        <w:p w14:paraId="69623457" w14:textId="0AE4E72D" w:rsidR="003A618A" w:rsidRPr="00254044" w:rsidRDefault="003A618A" w:rsidP="003A618A">
          <w:pPr>
            <w:pStyle w:val="TOC1"/>
            <w:tabs>
              <w:tab w:val="right" w:leader="dot" w:pos="9350"/>
            </w:tabs>
            <w:spacing w:line="360" w:lineRule="auto"/>
            <w:rPr>
              <w:rFonts w:eastAsiaTheme="minorEastAsia"/>
            </w:rPr>
          </w:pPr>
          <w:hyperlink w:anchor="_Toc236855888" w:history="1">
            <w:r w:rsidRPr="00254044">
              <w:rPr>
                <w:rStyle w:val="Hyperlink"/>
                <w:rFonts w:ascii="Arial" w:hAnsi="Arial" w:cs="Arial"/>
                <w:b/>
                <w:bCs/>
              </w:rPr>
              <w:t>RECOMMENDATIONS</w:t>
            </w:r>
            <w:r w:rsidRPr="00254044">
              <w:rPr>
                <w:webHidden/>
              </w:rPr>
              <w:tab/>
            </w:r>
            <w:r w:rsidRPr="00254044">
              <w:rPr>
                <w:webHidden/>
              </w:rPr>
              <w:fldChar w:fldCharType="begin"/>
            </w:r>
            <w:r w:rsidRPr="00254044">
              <w:rPr>
                <w:webHidden/>
              </w:rPr>
              <w:instrText xml:space="preserve"> PAGEREF _Toc236855888 \h </w:instrText>
            </w:r>
            <w:r w:rsidRPr="00254044">
              <w:rPr>
                <w:webHidden/>
              </w:rPr>
            </w:r>
            <w:r w:rsidRPr="00254044">
              <w:rPr>
                <w:webHidden/>
              </w:rPr>
              <w:fldChar w:fldCharType="separate"/>
            </w:r>
            <w:r w:rsidRPr="00254044">
              <w:rPr>
                <w:webHidden/>
              </w:rPr>
              <w:t>15</w:t>
            </w:r>
            <w:r w:rsidRPr="00254044">
              <w:rPr>
                <w:webHidden/>
              </w:rPr>
              <w:fldChar w:fldCharType="end"/>
            </w:r>
          </w:hyperlink>
        </w:p>
        <w:p w14:paraId="777EDE5F" w14:textId="3B6903C1" w:rsidR="003A618A" w:rsidRPr="00254044" w:rsidRDefault="003A618A" w:rsidP="003A618A">
          <w:pPr>
            <w:pStyle w:val="TOC1"/>
            <w:tabs>
              <w:tab w:val="right" w:leader="dot" w:pos="9350"/>
            </w:tabs>
            <w:spacing w:line="360" w:lineRule="auto"/>
            <w:rPr>
              <w:rFonts w:eastAsiaTheme="minorEastAsia"/>
            </w:rPr>
          </w:pPr>
          <w:hyperlink w:anchor="_Toc236855889" w:history="1">
            <w:r w:rsidRPr="00254044">
              <w:rPr>
                <w:rStyle w:val="Hyperlink"/>
                <w:rFonts w:ascii="Arial" w:hAnsi="Arial" w:cs="Arial"/>
                <w:b/>
                <w:bCs/>
              </w:rPr>
              <w:t>CONCLUSION</w:t>
            </w:r>
            <w:r w:rsidRPr="00254044">
              <w:rPr>
                <w:webHidden/>
              </w:rPr>
              <w:tab/>
            </w:r>
            <w:r w:rsidRPr="00254044">
              <w:rPr>
                <w:webHidden/>
              </w:rPr>
              <w:fldChar w:fldCharType="begin"/>
            </w:r>
            <w:r w:rsidRPr="00254044">
              <w:rPr>
                <w:webHidden/>
              </w:rPr>
              <w:instrText xml:space="preserve"> PAGEREF _Toc236855889 \h </w:instrText>
            </w:r>
            <w:r w:rsidRPr="00254044">
              <w:rPr>
                <w:webHidden/>
              </w:rPr>
            </w:r>
            <w:r w:rsidRPr="00254044">
              <w:rPr>
                <w:webHidden/>
              </w:rPr>
              <w:fldChar w:fldCharType="separate"/>
            </w:r>
            <w:r w:rsidRPr="00254044">
              <w:rPr>
                <w:webHidden/>
              </w:rPr>
              <w:t>17</w:t>
            </w:r>
            <w:r w:rsidRPr="00254044">
              <w:rPr>
                <w:webHidden/>
              </w:rPr>
              <w:fldChar w:fldCharType="end"/>
            </w:r>
          </w:hyperlink>
        </w:p>
        <w:p w14:paraId="5925CA83" w14:textId="13D96A40" w:rsidR="003A618A" w:rsidRPr="00254044" w:rsidRDefault="003A618A" w:rsidP="003A618A">
          <w:pPr>
            <w:pStyle w:val="TOC1"/>
            <w:tabs>
              <w:tab w:val="right" w:leader="dot" w:pos="9350"/>
            </w:tabs>
            <w:spacing w:line="360" w:lineRule="auto"/>
            <w:rPr>
              <w:rFonts w:eastAsiaTheme="minorEastAsia"/>
            </w:rPr>
          </w:pPr>
          <w:hyperlink w:anchor="_Toc236855890" w:history="1">
            <w:r w:rsidRPr="00254044">
              <w:rPr>
                <w:rStyle w:val="Hyperlink"/>
                <w:rFonts w:ascii="Arial" w:hAnsi="Arial" w:cs="Arial"/>
                <w:b/>
                <w:bCs/>
              </w:rPr>
              <w:t>REFERENCES</w:t>
            </w:r>
            <w:r w:rsidRPr="00254044">
              <w:rPr>
                <w:webHidden/>
              </w:rPr>
              <w:tab/>
            </w:r>
            <w:r w:rsidRPr="00254044">
              <w:rPr>
                <w:webHidden/>
              </w:rPr>
              <w:fldChar w:fldCharType="begin"/>
            </w:r>
            <w:r w:rsidRPr="00254044">
              <w:rPr>
                <w:webHidden/>
              </w:rPr>
              <w:instrText xml:space="preserve"> PAGEREF _Toc236855890 \h </w:instrText>
            </w:r>
            <w:r w:rsidRPr="00254044">
              <w:rPr>
                <w:webHidden/>
              </w:rPr>
            </w:r>
            <w:r w:rsidRPr="00254044">
              <w:rPr>
                <w:webHidden/>
              </w:rPr>
              <w:fldChar w:fldCharType="separate"/>
            </w:r>
            <w:r w:rsidRPr="00254044">
              <w:rPr>
                <w:webHidden/>
              </w:rPr>
              <w:t>19</w:t>
            </w:r>
            <w:r w:rsidRPr="00254044">
              <w:rPr>
                <w:webHidden/>
              </w:rPr>
              <w:fldChar w:fldCharType="end"/>
            </w:r>
          </w:hyperlink>
        </w:p>
        <w:p w14:paraId="64D2D5A3" w14:textId="19D6E1ED" w:rsidR="0081579C" w:rsidRPr="00254044" w:rsidRDefault="0081579C" w:rsidP="003A618A">
          <w:pPr>
            <w:spacing w:line="360" w:lineRule="auto"/>
          </w:pPr>
          <w:r w:rsidRPr="00254044">
            <w:rPr>
              <w:b/>
              <w:bCs/>
            </w:rPr>
            <w:fldChar w:fldCharType="end"/>
          </w:r>
        </w:p>
      </w:sdtContent>
    </w:sdt>
    <w:p w14:paraId="5936B4A4" w14:textId="77777777" w:rsidR="007B4D45" w:rsidRPr="00254044" w:rsidRDefault="007B4D45" w:rsidP="0062345A">
      <w:pPr>
        <w:spacing w:after="0" w:line="360" w:lineRule="auto"/>
        <w:jc w:val="both"/>
        <w:rPr>
          <w:rFonts w:ascii="Arial" w:hAnsi="Arial" w:cs="Arial"/>
          <w:b/>
          <w:bCs/>
          <w:sz w:val="22"/>
          <w:szCs w:val="22"/>
        </w:rPr>
      </w:pPr>
    </w:p>
    <w:p w14:paraId="1301B949" w14:textId="77777777" w:rsidR="0081579C" w:rsidRPr="00254044" w:rsidRDefault="0081579C" w:rsidP="0062345A">
      <w:pPr>
        <w:spacing w:after="0" w:line="360" w:lineRule="auto"/>
        <w:jc w:val="both"/>
        <w:rPr>
          <w:rFonts w:ascii="Arial" w:hAnsi="Arial" w:cs="Arial"/>
          <w:b/>
          <w:bCs/>
          <w:sz w:val="22"/>
          <w:szCs w:val="22"/>
        </w:rPr>
      </w:pPr>
    </w:p>
    <w:p w14:paraId="2E54DB86" w14:textId="77777777" w:rsidR="0081579C" w:rsidRPr="00254044" w:rsidRDefault="0081579C" w:rsidP="0062345A">
      <w:pPr>
        <w:spacing w:after="0" w:line="360" w:lineRule="auto"/>
        <w:jc w:val="both"/>
        <w:rPr>
          <w:rFonts w:ascii="Arial" w:hAnsi="Arial" w:cs="Arial"/>
          <w:b/>
          <w:bCs/>
          <w:sz w:val="22"/>
          <w:szCs w:val="22"/>
        </w:rPr>
      </w:pPr>
    </w:p>
    <w:p w14:paraId="4AFA2DF2" w14:textId="77777777" w:rsidR="0081579C" w:rsidRPr="00254044" w:rsidRDefault="0081579C" w:rsidP="0062345A">
      <w:pPr>
        <w:spacing w:after="0" w:line="360" w:lineRule="auto"/>
        <w:jc w:val="both"/>
        <w:rPr>
          <w:rFonts w:ascii="Arial" w:hAnsi="Arial" w:cs="Arial"/>
          <w:b/>
          <w:bCs/>
          <w:sz w:val="22"/>
          <w:szCs w:val="22"/>
        </w:rPr>
      </w:pPr>
    </w:p>
    <w:p w14:paraId="149A92D8" w14:textId="77777777" w:rsidR="0081579C" w:rsidRPr="00254044" w:rsidRDefault="0081579C" w:rsidP="0062345A">
      <w:pPr>
        <w:spacing w:after="0" w:line="360" w:lineRule="auto"/>
        <w:jc w:val="both"/>
        <w:rPr>
          <w:rFonts w:ascii="Arial" w:hAnsi="Arial" w:cs="Arial"/>
          <w:b/>
          <w:bCs/>
          <w:sz w:val="22"/>
          <w:szCs w:val="22"/>
        </w:rPr>
      </w:pPr>
    </w:p>
    <w:p w14:paraId="54D84DBE" w14:textId="77777777" w:rsidR="0081579C" w:rsidRPr="00254044" w:rsidRDefault="0081579C" w:rsidP="0062345A">
      <w:pPr>
        <w:spacing w:after="0" w:line="360" w:lineRule="auto"/>
        <w:jc w:val="both"/>
        <w:rPr>
          <w:rFonts w:ascii="Arial" w:hAnsi="Arial" w:cs="Arial"/>
          <w:b/>
          <w:bCs/>
          <w:sz w:val="22"/>
          <w:szCs w:val="22"/>
        </w:rPr>
      </w:pPr>
    </w:p>
    <w:p w14:paraId="05DCB18F" w14:textId="77777777" w:rsidR="0081579C" w:rsidRPr="00254044" w:rsidRDefault="0081579C" w:rsidP="0062345A">
      <w:pPr>
        <w:spacing w:after="0" w:line="360" w:lineRule="auto"/>
        <w:jc w:val="both"/>
        <w:rPr>
          <w:rFonts w:ascii="Arial" w:hAnsi="Arial" w:cs="Arial"/>
          <w:b/>
          <w:bCs/>
          <w:sz w:val="22"/>
          <w:szCs w:val="22"/>
        </w:rPr>
      </w:pPr>
    </w:p>
    <w:p w14:paraId="18B96DF7" w14:textId="77777777" w:rsidR="0081579C" w:rsidRPr="00254044" w:rsidRDefault="0081579C" w:rsidP="0062345A">
      <w:pPr>
        <w:spacing w:after="0" w:line="360" w:lineRule="auto"/>
        <w:jc w:val="both"/>
        <w:rPr>
          <w:rFonts w:ascii="Arial" w:hAnsi="Arial" w:cs="Arial"/>
          <w:b/>
          <w:bCs/>
          <w:sz w:val="22"/>
          <w:szCs w:val="22"/>
        </w:rPr>
      </w:pPr>
    </w:p>
    <w:p w14:paraId="3ABBC92E" w14:textId="77777777" w:rsidR="0081579C" w:rsidRPr="00254044" w:rsidRDefault="0081579C" w:rsidP="0062345A">
      <w:pPr>
        <w:spacing w:after="0" w:line="360" w:lineRule="auto"/>
        <w:jc w:val="both"/>
        <w:rPr>
          <w:rFonts w:ascii="Arial" w:hAnsi="Arial" w:cs="Arial"/>
          <w:b/>
          <w:bCs/>
          <w:sz w:val="22"/>
          <w:szCs w:val="22"/>
        </w:rPr>
      </w:pPr>
    </w:p>
    <w:p w14:paraId="064D5AAE" w14:textId="77777777" w:rsidR="0081579C" w:rsidRPr="00254044" w:rsidRDefault="0081579C" w:rsidP="0062345A">
      <w:pPr>
        <w:spacing w:after="0" w:line="360" w:lineRule="auto"/>
        <w:jc w:val="both"/>
        <w:rPr>
          <w:rFonts w:ascii="Arial" w:hAnsi="Arial" w:cs="Arial"/>
          <w:b/>
          <w:bCs/>
          <w:sz w:val="22"/>
          <w:szCs w:val="22"/>
        </w:rPr>
      </w:pPr>
    </w:p>
    <w:p w14:paraId="16B1A8B5" w14:textId="77777777" w:rsidR="0081579C" w:rsidRPr="00254044" w:rsidRDefault="0081579C" w:rsidP="0062345A">
      <w:pPr>
        <w:spacing w:after="0" w:line="360" w:lineRule="auto"/>
        <w:jc w:val="both"/>
        <w:rPr>
          <w:rFonts w:ascii="Arial" w:hAnsi="Arial" w:cs="Arial"/>
          <w:b/>
          <w:bCs/>
          <w:sz w:val="22"/>
          <w:szCs w:val="22"/>
        </w:rPr>
      </w:pPr>
    </w:p>
    <w:p w14:paraId="1FB83E4A" w14:textId="77777777" w:rsidR="0081579C" w:rsidRPr="00254044" w:rsidRDefault="0081579C" w:rsidP="0062345A">
      <w:pPr>
        <w:spacing w:after="0" w:line="360" w:lineRule="auto"/>
        <w:jc w:val="both"/>
        <w:rPr>
          <w:rFonts w:ascii="Arial" w:hAnsi="Arial" w:cs="Arial"/>
          <w:b/>
          <w:bCs/>
          <w:sz w:val="22"/>
          <w:szCs w:val="22"/>
        </w:rPr>
      </w:pPr>
    </w:p>
    <w:p w14:paraId="6906593B" w14:textId="77777777" w:rsidR="0081579C" w:rsidRPr="00254044" w:rsidRDefault="0081579C" w:rsidP="0062345A">
      <w:pPr>
        <w:spacing w:after="0" w:line="360" w:lineRule="auto"/>
        <w:jc w:val="both"/>
        <w:rPr>
          <w:rFonts w:ascii="Arial" w:hAnsi="Arial" w:cs="Arial"/>
          <w:b/>
          <w:bCs/>
          <w:sz w:val="22"/>
          <w:szCs w:val="22"/>
        </w:rPr>
      </w:pPr>
    </w:p>
    <w:p w14:paraId="5CD4EAB5" w14:textId="77777777" w:rsidR="0081579C" w:rsidRPr="00254044" w:rsidRDefault="0081579C" w:rsidP="0062345A">
      <w:pPr>
        <w:spacing w:after="0" w:line="360" w:lineRule="auto"/>
        <w:jc w:val="both"/>
        <w:rPr>
          <w:rFonts w:ascii="Arial" w:hAnsi="Arial" w:cs="Arial"/>
          <w:b/>
          <w:bCs/>
          <w:sz w:val="22"/>
          <w:szCs w:val="22"/>
        </w:rPr>
      </w:pPr>
    </w:p>
    <w:p w14:paraId="417FEE36" w14:textId="77777777" w:rsidR="0081579C" w:rsidRPr="00254044" w:rsidRDefault="0081579C" w:rsidP="0062345A">
      <w:pPr>
        <w:spacing w:after="0" w:line="360" w:lineRule="auto"/>
        <w:jc w:val="both"/>
        <w:rPr>
          <w:rFonts w:ascii="Arial" w:hAnsi="Arial" w:cs="Arial"/>
          <w:b/>
          <w:bCs/>
          <w:sz w:val="22"/>
          <w:szCs w:val="22"/>
        </w:rPr>
      </w:pPr>
    </w:p>
    <w:p w14:paraId="53A4CB77" w14:textId="77777777" w:rsidR="0081579C" w:rsidRPr="00254044" w:rsidRDefault="0081579C" w:rsidP="0062345A">
      <w:pPr>
        <w:spacing w:after="0" w:line="360" w:lineRule="auto"/>
        <w:jc w:val="both"/>
        <w:rPr>
          <w:rFonts w:ascii="Arial" w:hAnsi="Arial" w:cs="Arial"/>
          <w:b/>
          <w:bCs/>
          <w:sz w:val="22"/>
          <w:szCs w:val="22"/>
        </w:rPr>
      </w:pPr>
    </w:p>
    <w:p w14:paraId="38A8A2A0" w14:textId="77777777" w:rsidR="0081579C" w:rsidRPr="00254044" w:rsidRDefault="0081579C" w:rsidP="0062345A">
      <w:pPr>
        <w:spacing w:after="0" w:line="360" w:lineRule="auto"/>
        <w:jc w:val="both"/>
        <w:rPr>
          <w:rFonts w:ascii="Arial" w:hAnsi="Arial" w:cs="Arial"/>
          <w:b/>
          <w:bCs/>
          <w:sz w:val="22"/>
          <w:szCs w:val="22"/>
        </w:rPr>
      </w:pPr>
    </w:p>
    <w:p w14:paraId="5ACCF8D4" w14:textId="77777777" w:rsidR="0081579C" w:rsidRPr="00254044" w:rsidRDefault="0081579C" w:rsidP="0062345A">
      <w:pPr>
        <w:spacing w:after="0" w:line="360" w:lineRule="auto"/>
        <w:jc w:val="both"/>
        <w:rPr>
          <w:rFonts w:ascii="Arial" w:hAnsi="Arial" w:cs="Arial"/>
          <w:b/>
          <w:bCs/>
          <w:sz w:val="22"/>
          <w:szCs w:val="22"/>
        </w:rPr>
      </w:pPr>
    </w:p>
    <w:p w14:paraId="68014F0A" w14:textId="77777777" w:rsidR="0081579C" w:rsidRPr="00254044" w:rsidRDefault="0081579C" w:rsidP="0062345A">
      <w:pPr>
        <w:spacing w:after="0" w:line="360" w:lineRule="auto"/>
        <w:jc w:val="both"/>
        <w:rPr>
          <w:rFonts w:ascii="Arial" w:hAnsi="Arial" w:cs="Arial"/>
          <w:b/>
          <w:bCs/>
          <w:sz w:val="22"/>
          <w:szCs w:val="22"/>
        </w:rPr>
      </w:pPr>
    </w:p>
    <w:p w14:paraId="28F4AAD0" w14:textId="4B84CF8D" w:rsidR="00527CAD" w:rsidRPr="00254044" w:rsidRDefault="0062345A" w:rsidP="0062345A">
      <w:pPr>
        <w:pStyle w:val="Heading1"/>
        <w:jc w:val="both"/>
        <w:rPr>
          <w:rFonts w:ascii="Arial" w:hAnsi="Arial" w:cs="Arial"/>
          <w:b/>
          <w:bCs/>
          <w:color w:val="auto"/>
          <w:sz w:val="24"/>
          <w:szCs w:val="24"/>
        </w:rPr>
      </w:pPr>
      <w:bookmarkStart w:id="0" w:name="_Toc236855883"/>
      <w:r w:rsidRPr="00254044">
        <w:rPr>
          <w:rFonts w:ascii="Arial" w:hAnsi="Arial" w:cs="Arial"/>
          <w:b/>
          <w:bCs/>
          <w:color w:val="auto"/>
          <w:sz w:val="24"/>
          <w:szCs w:val="24"/>
        </w:rPr>
        <w:lastRenderedPageBreak/>
        <w:t>INTRODUCTION</w:t>
      </w:r>
      <w:bookmarkEnd w:id="0"/>
    </w:p>
    <w:p w14:paraId="4D49B365" w14:textId="2E50D652" w:rsidR="00527CAD" w:rsidRPr="00254044" w:rsidRDefault="00527CAD" w:rsidP="0062345A">
      <w:pPr>
        <w:spacing w:after="0" w:line="360" w:lineRule="auto"/>
        <w:jc w:val="both"/>
        <w:rPr>
          <w:rFonts w:ascii="Arial" w:hAnsi="Arial" w:cs="Arial"/>
          <w:sz w:val="22"/>
          <w:szCs w:val="22"/>
        </w:rPr>
      </w:pPr>
      <w:r w:rsidRPr="00254044">
        <w:rPr>
          <w:rFonts w:ascii="Arial" w:hAnsi="Arial" w:cs="Arial"/>
          <w:sz w:val="22"/>
          <w:szCs w:val="22"/>
        </w:rPr>
        <w:t>The death of Lewis Blackman remains one of the most widely discussed patient safety cases in healthcare</w:t>
      </w:r>
      <w:r w:rsidR="00812102">
        <w:rPr>
          <w:rFonts w:ascii="Arial" w:hAnsi="Arial" w:cs="Arial"/>
          <w:sz w:val="22"/>
          <w:szCs w:val="22"/>
        </w:rPr>
        <w:t>, as it demonstrates how failures in leadership, communication, and organizational systems can have devastating consequences on patients’ outcomes</w:t>
      </w:r>
      <w:r w:rsidRPr="00254044">
        <w:rPr>
          <w:rFonts w:ascii="Arial" w:hAnsi="Arial" w:cs="Arial"/>
          <w:sz w:val="22"/>
          <w:szCs w:val="22"/>
        </w:rPr>
        <w:t xml:space="preserve">. Lewis was a healthy 15-year-old who was admitted to a teaching hospital for </w:t>
      </w:r>
      <w:r w:rsidR="004104FB" w:rsidRPr="00254044">
        <w:rPr>
          <w:rFonts w:ascii="Arial" w:hAnsi="Arial" w:cs="Arial"/>
          <w:sz w:val="22"/>
          <w:szCs w:val="22"/>
        </w:rPr>
        <w:t>a minimal</w:t>
      </w:r>
      <w:r w:rsidR="00812E6D" w:rsidRPr="00254044">
        <w:rPr>
          <w:rFonts w:ascii="Arial" w:hAnsi="Arial" w:cs="Arial"/>
          <w:sz w:val="22"/>
          <w:szCs w:val="22"/>
        </w:rPr>
        <w:t xml:space="preserve">ly </w:t>
      </w:r>
      <w:r w:rsidR="004104FB" w:rsidRPr="00254044">
        <w:rPr>
          <w:rFonts w:ascii="Arial" w:hAnsi="Arial" w:cs="Arial"/>
          <w:sz w:val="22"/>
          <w:szCs w:val="22"/>
        </w:rPr>
        <w:t xml:space="preserve">invasive </w:t>
      </w:r>
      <w:r w:rsidRPr="00254044">
        <w:rPr>
          <w:rFonts w:ascii="Arial" w:hAnsi="Arial" w:cs="Arial"/>
          <w:sz w:val="22"/>
          <w:szCs w:val="22"/>
        </w:rPr>
        <w:t>surgery to correct pectus excavatum</w:t>
      </w:r>
      <w:r w:rsidR="00AD1FFE">
        <w:rPr>
          <w:rFonts w:ascii="Arial" w:hAnsi="Arial" w:cs="Arial"/>
          <w:sz w:val="22"/>
          <w:szCs w:val="22"/>
        </w:rPr>
        <w:t>,</w:t>
      </w:r>
      <w:r w:rsidR="004104FB" w:rsidRPr="00254044">
        <w:rPr>
          <w:rFonts w:ascii="Arial" w:hAnsi="Arial" w:cs="Arial"/>
          <w:sz w:val="22"/>
          <w:szCs w:val="22"/>
        </w:rPr>
        <w:t xml:space="preserve"> which is </w:t>
      </w:r>
      <w:r w:rsidRPr="00254044">
        <w:rPr>
          <w:rFonts w:ascii="Arial" w:hAnsi="Arial" w:cs="Arial"/>
          <w:sz w:val="22"/>
          <w:szCs w:val="22"/>
        </w:rPr>
        <w:t>a congenital chest wall deformity. Although the operation was expected to be routine, he died four days later after developing a perforated duodenal ulcer, severe internal bleeding</w:t>
      </w:r>
      <w:r w:rsidR="00AD1FFE">
        <w:rPr>
          <w:rFonts w:ascii="Arial" w:hAnsi="Arial" w:cs="Arial"/>
          <w:sz w:val="22"/>
          <w:szCs w:val="22"/>
        </w:rPr>
        <w:t>, and progressive clinical deterioration that healthcare professionals failed to recognize</w:t>
      </w:r>
      <w:r w:rsidRPr="00254044">
        <w:rPr>
          <w:rFonts w:ascii="Arial" w:hAnsi="Arial" w:cs="Arial"/>
          <w:sz w:val="22"/>
          <w:szCs w:val="22"/>
        </w:rPr>
        <w:t xml:space="preserve"> and respond to appropriately</w:t>
      </w:r>
      <w:r w:rsidR="005E58AE" w:rsidRPr="00254044">
        <w:rPr>
          <w:rFonts w:ascii="Arial" w:hAnsi="Arial" w:cs="Arial"/>
          <w:sz w:val="22"/>
          <w:szCs w:val="22"/>
        </w:rPr>
        <w:t xml:space="preserve"> (Patient Safety Movement Foundation, 2026)</w:t>
      </w:r>
      <w:r w:rsidRPr="00254044">
        <w:rPr>
          <w:rFonts w:ascii="Arial" w:hAnsi="Arial" w:cs="Arial"/>
          <w:sz w:val="22"/>
          <w:szCs w:val="22"/>
        </w:rPr>
        <w:t xml:space="preserve">. </w:t>
      </w:r>
      <w:r w:rsidR="00812E6D" w:rsidRPr="00254044">
        <w:rPr>
          <w:rFonts w:ascii="Arial" w:hAnsi="Arial" w:cs="Arial"/>
          <w:sz w:val="22"/>
          <w:szCs w:val="22"/>
        </w:rPr>
        <w:t>R</w:t>
      </w:r>
      <w:r w:rsidR="005E58AE" w:rsidRPr="00254044">
        <w:rPr>
          <w:rFonts w:ascii="Arial" w:hAnsi="Arial" w:cs="Arial"/>
          <w:sz w:val="22"/>
          <w:szCs w:val="22"/>
        </w:rPr>
        <w:t>ather than being</w:t>
      </w:r>
      <w:r w:rsidRPr="00254044">
        <w:rPr>
          <w:rFonts w:ascii="Arial" w:hAnsi="Arial" w:cs="Arial"/>
          <w:sz w:val="22"/>
          <w:szCs w:val="22"/>
        </w:rPr>
        <w:t xml:space="preserve"> </w:t>
      </w:r>
      <w:r w:rsidR="005E58AE" w:rsidRPr="00254044">
        <w:rPr>
          <w:rFonts w:ascii="Arial" w:hAnsi="Arial" w:cs="Arial"/>
          <w:sz w:val="22"/>
          <w:szCs w:val="22"/>
        </w:rPr>
        <w:t xml:space="preserve">represented as an </w:t>
      </w:r>
      <w:r w:rsidRPr="00254044">
        <w:rPr>
          <w:rFonts w:ascii="Arial" w:hAnsi="Arial" w:cs="Arial"/>
          <w:sz w:val="22"/>
          <w:szCs w:val="22"/>
        </w:rPr>
        <w:t xml:space="preserve">unavoidable medical complication, </w:t>
      </w:r>
      <w:r w:rsidR="00812E6D" w:rsidRPr="00254044">
        <w:rPr>
          <w:rFonts w:ascii="Arial" w:hAnsi="Arial" w:cs="Arial"/>
          <w:sz w:val="22"/>
          <w:szCs w:val="22"/>
        </w:rPr>
        <w:t xml:space="preserve">the case </w:t>
      </w:r>
      <w:r w:rsidRPr="00254044">
        <w:rPr>
          <w:rFonts w:ascii="Arial" w:hAnsi="Arial" w:cs="Arial"/>
          <w:sz w:val="22"/>
          <w:szCs w:val="22"/>
        </w:rPr>
        <w:t>has become an important example of preventable patient harm and has influenced patient safety policy and healthcare practice</w:t>
      </w:r>
      <w:r w:rsidR="002A020E" w:rsidRPr="00254044">
        <w:rPr>
          <w:rFonts w:ascii="Arial" w:hAnsi="Arial" w:cs="Arial"/>
          <w:sz w:val="22"/>
          <w:szCs w:val="22"/>
        </w:rPr>
        <w:t xml:space="preserve"> globally</w:t>
      </w:r>
      <w:r w:rsidRPr="00254044">
        <w:rPr>
          <w:rFonts w:ascii="Arial" w:hAnsi="Arial" w:cs="Arial"/>
          <w:sz w:val="22"/>
          <w:szCs w:val="22"/>
        </w:rPr>
        <w:t>.</w:t>
      </w:r>
    </w:p>
    <w:p w14:paraId="1F740E9F" w14:textId="77777777" w:rsidR="00527CAD" w:rsidRPr="00254044" w:rsidRDefault="00527CAD" w:rsidP="0062345A">
      <w:pPr>
        <w:spacing w:after="0" w:line="360" w:lineRule="auto"/>
        <w:jc w:val="both"/>
        <w:rPr>
          <w:rFonts w:ascii="Arial" w:hAnsi="Arial" w:cs="Arial"/>
          <w:sz w:val="22"/>
          <w:szCs w:val="22"/>
        </w:rPr>
      </w:pPr>
    </w:p>
    <w:p w14:paraId="45736B57" w14:textId="34869A00" w:rsidR="00527CAD" w:rsidRPr="00254044" w:rsidRDefault="00527CAD" w:rsidP="0062345A">
      <w:pPr>
        <w:spacing w:after="0" w:line="360" w:lineRule="auto"/>
        <w:jc w:val="both"/>
        <w:rPr>
          <w:rFonts w:ascii="Arial" w:hAnsi="Arial" w:cs="Arial"/>
          <w:sz w:val="22"/>
          <w:szCs w:val="22"/>
        </w:rPr>
      </w:pPr>
      <w:r w:rsidRPr="00254044">
        <w:rPr>
          <w:rFonts w:ascii="Arial" w:hAnsi="Arial" w:cs="Arial"/>
          <w:sz w:val="22"/>
          <w:szCs w:val="22"/>
        </w:rPr>
        <w:t xml:space="preserve">Leadership in health and social </w:t>
      </w:r>
      <w:r w:rsidR="002A020E" w:rsidRPr="00254044">
        <w:rPr>
          <w:rFonts w:ascii="Arial" w:hAnsi="Arial" w:cs="Arial"/>
          <w:sz w:val="22"/>
          <w:szCs w:val="22"/>
        </w:rPr>
        <w:t xml:space="preserve">care can be </w:t>
      </w:r>
      <w:r w:rsidR="00151A1D" w:rsidRPr="00254044">
        <w:rPr>
          <w:rFonts w:ascii="Arial" w:hAnsi="Arial" w:cs="Arial"/>
          <w:sz w:val="22"/>
          <w:szCs w:val="22"/>
        </w:rPr>
        <w:t>understood</w:t>
      </w:r>
      <w:r w:rsidR="002A020E" w:rsidRPr="00254044">
        <w:rPr>
          <w:rFonts w:ascii="Arial" w:hAnsi="Arial" w:cs="Arial"/>
          <w:sz w:val="22"/>
          <w:szCs w:val="22"/>
        </w:rPr>
        <w:t xml:space="preserve"> as</w:t>
      </w:r>
      <w:r w:rsidRPr="00254044">
        <w:rPr>
          <w:rFonts w:ascii="Arial" w:hAnsi="Arial" w:cs="Arial"/>
          <w:sz w:val="22"/>
          <w:szCs w:val="22"/>
        </w:rPr>
        <w:t xml:space="preserve"> the process of influencing, guiding and supporting individuals and teams to achieve shared goals while delivering safe, effective and high-quality care</w:t>
      </w:r>
      <w:r w:rsidR="008B7B27" w:rsidRPr="00254044">
        <w:rPr>
          <w:rFonts w:ascii="Arial" w:hAnsi="Arial" w:cs="Arial"/>
          <w:sz w:val="22"/>
          <w:szCs w:val="22"/>
        </w:rPr>
        <w:t xml:space="preserve"> (Singh et al</w:t>
      </w:r>
      <w:r w:rsidR="002E5A32" w:rsidRPr="00254044">
        <w:rPr>
          <w:rFonts w:ascii="Arial" w:hAnsi="Arial" w:cs="Arial"/>
          <w:sz w:val="22"/>
          <w:szCs w:val="22"/>
        </w:rPr>
        <w:t>.</w:t>
      </w:r>
      <w:r w:rsidR="00173016" w:rsidRPr="00254044">
        <w:rPr>
          <w:rFonts w:ascii="Arial" w:hAnsi="Arial" w:cs="Arial"/>
          <w:sz w:val="22"/>
          <w:szCs w:val="22"/>
        </w:rPr>
        <w:t>,</w:t>
      </w:r>
      <w:r w:rsidR="008B7B27" w:rsidRPr="00254044">
        <w:rPr>
          <w:rFonts w:ascii="Arial" w:hAnsi="Arial" w:cs="Arial"/>
          <w:sz w:val="22"/>
          <w:szCs w:val="22"/>
        </w:rPr>
        <w:t xml:space="preserve"> 2024)</w:t>
      </w:r>
      <w:r w:rsidRPr="00254044">
        <w:rPr>
          <w:rFonts w:ascii="Arial" w:hAnsi="Arial" w:cs="Arial"/>
          <w:sz w:val="22"/>
          <w:szCs w:val="22"/>
        </w:rPr>
        <w:t>. Effective healthcare leadership</w:t>
      </w:r>
      <w:r w:rsidR="00AD1FFE">
        <w:rPr>
          <w:rFonts w:ascii="Arial" w:hAnsi="Arial" w:cs="Arial"/>
          <w:sz w:val="22"/>
          <w:szCs w:val="22"/>
        </w:rPr>
        <w:t xml:space="preserve">, therefore, extends beyond directing staff and includes responsibilities such as protecting patient safety, coordinating multidisciplinary </w:t>
      </w:r>
      <w:r w:rsidR="00B24E47">
        <w:rPr>
          <w:rFonts w:ascii="Arial" w:hAnsi="Arial" w:cs="Arial"/>
          <w:sz w:val="22"/>
          <w:szCs w:val="22"/>
        </w:rPr>
        <w:t>teams, facilitating clear communication, and fostering collaboration</w:t>
      </w:r>
      <w:r w:rsidRPr="00254044">
        <w:rPr>
          <w:rFonts w:ascii="Arial" w:hAnsi="Arial" w:cs="Arial"/>
          <w:sz w:val="22"/>
          <w:szCs w:val="22"/>
        </w:rPr>
        <w:t xml:space="preserve"> </w:t>
      </w:r>
      <w:r w:rsidR="00151A1D" w:rsidRPr="00254044">
        <w:rPr>
          <w:rFonts w:ascii="Arial" w:hAnsi="Arial" w:cs="Arial"/>
          <w:sz w:val="22"/>
          <w:szCs w:val="22"/>
        </w:rPr>
        <w:t>to improve care outcomes</w:t>
      </w:r>
      <w:r w:rsidR="008B7B27" w:rsidRPr="00254044">
        <w:rPr>
          <w:rFonts w:ascii="Arial" w:hAnsi="Arial" w:cs="Arial"/>
          <w:sz w:val="22"/>
          <w:szCs w:val="22"/>
        </w:rPr>
        <w:t xml:space="preserve"> (Singh et al</w:t>
      </w:r>
      <w:r w:rsidR="002E5A32" w:rsidRPr="00254044">
        <w:rPr>
          <w:rFonts w:ascii="Arial" w:hAnsi="Arial" w:cs="Arial"/>
          <w:sz w:val="22"/>
          <w:szCs w:val="22"/>
        </w:rPr>
        <w:t>.</w:t>
      </w:r>
      <w:r w:rsidR="00173016" w:rsidRPr="00254044">
        <w:rPr>
          <w:rFonts w:ascii="Arial" w:hAnsi="Arial" w:cs="Arial"/>
          <w:sz w:val="22"/>
          <w:szCs w:val="22"/>
        </w:rPr>
        <w:t>,</w:t>
      </w:r>
      <w:r w:rsidR="008B7B27" w:rsidRPr="00254044">
        <w:rPr>
          <w:rFonts w:ascii="Arial" w:hAnsi="Arial" w:cs="Arial"/>
          <w:sz w:val="22"/>
          <w:szCs w:val="22"/>
        </w:rPr>
        <w:t xml:space="preserve"> 2024)</w:t>
      </w:r>
      <w:r w:rsidR="00151A1D" w:rsidRPr="00254044">
        <w:rPr>
          <w:rFonts w:ascii="Arial" w:hAnsi="Arial" w:cs="Arial"/>
          <w:sz w:val="22"/>
          <w:szCs w:val="22"/>
        </w:rPr>
        <w:t xml:space="preserve">. </w:t>
      </w:r>
      <w:r w:rsidR="00BE2811" w:rsidRPr="00254044">
        <w:rPr>
          <w:rFonts w:ascii="Arial" w:hAnsi="Arial" w:cs="Arial"/>
          <w:sz w:val="22"/>
          <w:szCs w:val="22"/>
        </w:rPr>
        <w:t xml:space="preserve"> </w:t>
      </w:r>
    </w:p>
    <w:p w14:paraId="7A00FC85" w14:textId="77777777" w:rsidR="00227194" w:rsidRPr="00254044" w:rsidRDefault="00227194" w:rsidP="0062345A">
      <w:pPr>
        <w:spacing w:after="0" w:line="360" w:lineRule="auto"/>
        <w:jc w:val="both"/>
        <w:rPr>
          <w:rFonts w:ascii="Arial" w:hAnsi="Arial" w:cs="Arial"/>
          <w:sz w:val="22"/>
          <w:szCs w:val="22"/>
        </w:rPr>
      </w:pPr>
    </w:p>
    <w:p w14:paraId="77E9C810" w14:textId="60EBEC58" w:rsidR="00527CAD" w:rsidRPr="00254044" w:rsidRDefault="00BE2811" w:rsidP="0062345A">
      <w:pPr>
        <w:spacing w:after="0" w:line="360" w:lineRule="auto"/>
        <w:jc w:val="both"/>
        <w:rPr>
          <w:rFonts w:ascii="Arial" w:hAnsi="Arial" w:cs="Arial"/>
          <w:sz w:val="22"/>
          <w:szCs w:val="22"/>
        </w:rPr>
      </w:pPr>
      <w:r w:rsidRPr="00254044">
        <w:rPr>
          <w:rFonts w:ascii="Arial" w:hAnsi="Arial" w:cs="Arial"/>
          <w:sz w:val="22"/>
          <w:szCs w:val="22"/>
        </w:rPr>
        <w:t>Furthermore, h</w:t>
      </w:r>
      <w:r w:rsidR="00527CAD" w:rsidRPr="00254044">
        <w:rPr>
          <w:rFonts w:ascii="Arial" w:hAnsi="Arial" w:cs="Arial"/>
          <w:sz w:val="22"/>
          <w:szCs w:val="22"/>
        </w:rPr>
        <w:t xml:space="preserve">ealthcare </w:t>
      </w:r>
      <w:r w:rsidR="00B24E47">
        <w:rPr>
          <w:rFonts w:ascii="Arial" w:hAnsi="Arial" w:cs="Arial"/>
          <w:sz w:val="22"/>
          <w:szCs w:val="22"/>
        </w:rPr>
        <w:t>organizations commonly operate through a combination of centralization and decentralization</w:t>
      </w:r>
      <w:r w:rsidR="00527CAD" w:rsidRPr="00254044">
        <w:rPr>
          <w:rFonts w:ascii="Arial" w:hAnsi="Arial" w:cs="Arial"/>
          <w:sz w:val="22"/>
          <w:szCs w:val="22"/>
        </w:rPr>
        <w:t xml:space="preserve">. </w:t>
      </w:r>
      <w:r w:rsidR="00B24E47">
        <w:rPr>
          <w:rFonts w:ascii="Arial" w:hAnsi="Arial" w:cs="Arial"/>
          <w:sz w:val="22"/>
          <w:szCs w:val="22"/>
        </w:rPr>
        <w:t>Centralization refers to a leadership approach in which important decisions and authority remain with senior leaders and experienced clinicians, while decentralization</w:t>
      </w:r>
      <w:r w:rsidR="00527CAD" w:rsidRPr="00254044">
        <w:rPr>
          <w:rFonts w:ascii="Arial" w:hAnsi="Arial" w:cs="Arial"/>
          <w:sz w:val="22"/>
          <w:szCs w:val="22"/>
        </w:rPr>
        <w:t xml:space="preserve"> </w:t>
      </w:r>
      <w:r w:rsidRPr="00254044">
        <w:rPr>
          <w:rFonts w:ascii="Arial" w:hAnsi="Arial" w:cs="Arial"/>
          <w:sz w:val="22"/>
          <w:szCs w:val="22"/>
        </w:rPr>
        <w:t xml:space="preserve">aims </w:t>
      </w:r>
      <w:r w:rsidR="00B24E47">
        <w:rPr>
          <w:rFonts w:ascii="Arial" w:hAnsi="Arial" w:cs="Arial"/>
          <w:sz w:val="22"/>
          <w:szCs w:val="22"/>
        </w:rPr>
        <w:t xml:space="preserve">to distribute decision-making authority to frontline staff and local teams who are closest to patients and to </w:t>
      </w:r>
      <w:r w:rsidR="00527CAD" w:rsidRPr="00254044">
        <w:rPr>
          <w:rFonts w:ascii="Arial" w:hAnsi="Arial" w:cs="Arial"/>
          <w:sz w:val="22"/>
          <w:szCs w:val="22"/>
        </w:rPr>
        <w:t xml:space="preserve">daily clinical activities. Both approaches offer important advantages in healthcare; however, achieving the </w:t>
      </w:r>
      <w:r w:rsidR="00B24E47">
        <w:rPr>
          <w:rFonts w:ascii="Arial" w:hAnsi="Arial" w:cs="Arial"/>
          <w:sz w:val="22"/>
          <w:szCs w:val="22"/>
        </w:rPr>
        <w:t>right balance between organizational control and frontline autonomy is essential for maintaining patient safety, accountability,</w:t>
      </w:r>
      <w:r w:rsidR="00527CAD" w:rsidRPr="00254044">
        <w:rPr>
          <w:rFonts w:ascii="Arial" w:hAnsi="Arial" w:cs="Arial"/>
          <w:sz w:val="22"/>
          <w:szCs w:val="22"/>
        </w:rPr>
        <w:t xml:space="preserve"> and effective service delivery.</w:t>
      </w:r>
    </w:p>
    <w:p w14:paraId="5EACF763" w14:textId="77777777" w:rsidR="00527CAD" w:rsidRPr="00254044" w:rsidRDefault="00527CAD" w:rsidP="0062345A">
      <w:pPr>
        <w:spacing w:after="0" w:line="360" w:lineRule="auto"/>
        <w:jc w:val="both"/>
        <w:rPr>
          <w:rFonts w:ascii="Arial" w:hAnsi="Arial" w:cs="Arial"/>
          <w:sz w:val="22"/>
          <w:szCs w:val="22"/>
        </w:rPr>
      </w:pPr>
    </w:p>
    <w:p w14:paraId="34F656C3" w14:textId="528CEB5B" w:rsidR="00527CAD" w:rsidRPr="00254044" w:rsidRDefault="00527CAD" w:rsidP="0062345A">
      <w:pPr>
        <w:spacing w:after="0" w:line="360" w:lineRule="auto"/>
        <w:jc w:val="both"/>
        <w:rPr>
          <w:rFonts w:ascii="Arial" w:hAnsi="Arial" w:cs="Arial"/>
          <w:sz w:val="22"/>
          <w:szCs w:val="22"/>
        </w:rPr>
      </w:pPr>
      <w:r w:rsidRPr="00254044">
        <w:rPr>
          <w:rFonts w:ascii="Arial" w:hAnsi="Arial" w:cs="Arial"/>
          <w:sz w:val="22"/>
          <w:szCs w:val="22"/>
        </w:rPr>
        <w:t>This report will examine the Lewis Blackman case through several recognised leadership perspectives. It will introduce transactional</w:t>
      </w:r>
      <w:r w:rsidR="00AD1FFE">
        <w:rPr>
          <w:rFonts w:ascii="Arial" w:hAnsi="Arial" w:cs="Arial"/>
          <w:sz w:val="22"/>
          <w:szCs w:val="22"/>
        </w:rPr>
        <w:t>, transformational,</w:t>
      </w:r>
      <w:r w:rsidRPr="00254044">
        <w:rPr>
          <w:rFonts w:ascii="Arial" w:hAnsi="Arial" w:cs="Arial"/>
          <w:sz w:val="22"/>
          <w:szCs w:val="22"/>
        </w:rPr>
        <w:t xml:space="preserve"> and situational leadership as the principal theoretical frameworks, while also considering distributed leadership as a supporting approach. The report will </w:t>
      </w:r>
      <w:r w:rsidR="00227194" w:rsidRPr="00254044">
        <w:rPr>
          <w:rFonts w:ascii="Arial" w:hAnsi="Arial" w:cs="Arial"/>
          <w:sz w:val="22"/>
          <w:szCs w:val="22"/>
        </w:rPr>
        <w:t xml:space="preserve">also </w:t>
      </w:r>
      <w:r w:rsidRPr="00254044">
        <w:rPr>
          <w:rFonts w:ascii="Arial" w:hAnsi="Arial" w:cs="Arial"/>
          <w:sz w:val="22"/>
          <w:szCs w:val="22"/>
        </w:rPr>
        <w:t xml:space="preserve">critically </w:t>
      </w:r>
      <w:proofErr w:type="spellStart"/>
      <w:r w:rsidR="00AD1FFE">
        <w:rPr>
          <w:rFonts w:ascii="Arial" w:hAnsi="Arial" w:cs="Arial"/>
          <w:sz w:val="22"/>
          <w:szCs w:val="22"/>
        </w:rPr>
        <w:t>analyze</w:t>
      </w:r>
      <w:proofErr w:type="spellEnd"/>
      <w:r w:rsidR="00AD1FFE">
        <w:rPr>
          <w:rFonts w:ascii="Arial" w:hAnsi="Arial" w:cs="Arial"/>
          <w:sz w:val="22"/>
          <w:szCs w:val="22"/>
        </w:rPr>
        <w:t xml:space="preserve"> the system failures surrounding Lewis Blackman's death by examining centralization and decentralization, leadership theories, clinical governance, systems thinking, and the use of a Rich Picture to understand the wider organizational</w:t>
      </w:r>
      <w:r w:rsidRPr="00254044">
        <w:rPr>
          <w:rFonts w:ascii="Arial" w:hAnsi="Arial" w:cs="Arial"/>
          <w:sz w:val="22"/>
          <w:szCs w:val="22"/>
        </w:rPr>
        <w:t xml:space="preserve"> context. It </w:t>
      </w:r>
      <w:r w:rsidRPr="00254044">
        <w:rPr>
          <w:rFonts w:ascii="Arial" w:hAnsi="Arial" w:cs="Arial"/>
          <w:sz w:val="22"/>
          <w:szCs w:val="22"/>
        </w:rPr>
        <w:lastRenderedPageBreak/>
        <w:t>will also evaluate the changes introduced following his death and present recommendations for further improvement in healthcare leadership and patient safety. The report argues that Lewis Blackman's death resulted from interconnected clinical, leadership, communication and governance failures rather than a single isolated mistake.</w:t>
      </w:r>
    </w:p>
    <w:p w14:paraId="4F2E3578" w14:textId="6F2C23E0" w:rsidR="00BB26D9" w:rsidRPr="00254044" w:rsidRDefault="0062345A" w:rsidP="0062345A">
      <w:pPr>
        <w:pStyle w:val="Heading1"/>
        <w:jc w:val="both"/>
        <w:rPr>
          <w:rFonts w:ascii="Arial" w:hAnsi="Arial" w:cs="Arial"/>
          <w:b/>
          <w:bCs/>
          <w:color w:val="auto"/>
          <w:sz w:val="24"/>
          <w:szCs w:val="24"/>
        </w:rPr>
      </w:pPr>
      <w:bookmarkStart w:id="1" w:name="_Toc236855884"/>
      <w:r w:rsidRPr="00254044">
        <w:rPr>
          <w:rFonts w:ascii="Arial" w:hAnsi="Arial" w:cs="Arial"/>
          <w:b/>
          <w:bCs/>
          <w:color w:val="auto"/>
          <w:sz w:val="24"/>
          <w:szCs w:val="24"/>
        </w:rPr>
        <w:t>IDENTIFYING THE PROBLEM AND SETTING THE SYSTEM CONTEXT</w:t>
      </w:r>
      <w:bookmarkEnd w:id="1"/>
    </w:p>
    <w:p w14:paraId="3AC61C0E" w14:textId="6D21C659" w:rsidR="00BB26D9" w:rsidRPr="00254044" w:rsidRDefault="00BB26D9" w:rsidP="0062345A">
      <w:pPr>
        <w:spacing w:after="0" w:line="360" w:lineRule="auto"/>
        <w:jc w:val="both"/>
        <w:rPr>
          <w:rFonts w:ascii="Arial" w:hAnsi="Arial" w:cs="Arial"/>
          <w:sz w:val="22"/>
          <w:szCs w:val="22"/>
        </w:rPr>
      </w:pPr>
      <w:r w:rsidRPr="00254044">
        <w:rPr>
          <w:rFonts w:ascii="Arial" w:hAnsi="Arial" w:cs="Arial"/>
          <w:sz w:val="22"/>
          <w:szCs w:val="22"/>
        </w:rPr>
        <w:t xml:space="preserve">Lewis Blackman was a healthy and gifted 15-year-old </w:t>
      </w:r>
      <w:r w:rsidR="003D1170" w:rsidRPr="00254044">
        <w:rPr>
          <w:rFonts w:ascii="Arial" w:hAnsi="Arial" w:cs="Arial"/>
          <w:sz w:val="22"/>
          <w:szCs w:val="22"/>
        </w:rPr>
        <w:t xml:space="preserve">boy who was </w:t>
      </w:r>
      <w:r w:rsidRPr="00254044">
        <w:rPr>
          <w:rFonts w:ascii="Arial" w:hAnsi="Arial" w:cs="Arial"/>
          <w:sz w:val="22"/>
          <w:szCs w:val="22"/>
        </w:rPr>
        <w:t>admitted to an established teaching hospital for elective surgery to correct pectus excavatum, a congenital chest-wall deformity.</w:t>
      </w:r>
      <w:r w:rsidR="003D1170" w:rsidRPr="00254044">
        <w:rPr>
          <w:rFonts w:ascii="Arial" w:hAnsi="Arial" w:cs="Arial"/>
          <w:sz w:val="22"/>
          <w:szCs w:val="22"/>
        </w:rPr>
        <w:t xml:space="preserve"> T</w:t>
      </w:r>
      <w:r w:rsidRPr="00254044">
        <w:rPr>
          <w:rFonts w:ascii="Arial" w:hAnsi="Arial" w:cs="Arial"/>
          <w:sz w:val="22"/>
          <w:szCs w:val="22"/>
        </w:rPr>
        <w:t>he procedure</w:t>
      </w:r>
      <w:r w:rsidR="00AD1FFE">
        <w:rPr>
          <w:rFonts w:ascii="Arial" w:hAnsi="Arial" w:cs="Arial"/>
          <w:sz w:val="22"/>
          <w:szCs w:val="22"/>
        </w:rPr>
        <w:t xml:space="preserve">, which was expected to be relatively straightforward, lasted approximately two and a half hours because the metal support bar required repeated repositioning (National Health Systems Resource </w:t>
      </w:r>
      <w:proofErr w:type="spellStart"/>
      <w:r w:rsidR="00AD1FFE">
        <w:rPr>
          <w:rFonts w:ascii="Arial" w:hAnsi="Arial" w:cs="Arial"/>
          <w:sz w:val="22"/>
          <w:szCs w:val="22"/>
        </w:rPr>
        <w:t>Center</w:t>
      </w:r>
      <w:proofErr w:type="spellEnd"/>
      <w:r w:rsidR="002E6615" w:rsidRPr="00254044">
        <w:rPr>
          <w:rFonts w:ascii="Arial" w:hAnsi="Arial" w:cs="Arial"/>
          <w:sz w:val="22"/>
          <w:szCs w:val="22"/>
        </w:rPr>
        <w:t>, 2022)</w:t>
      </w:r>
      <w:r w:rsidRPr="00254044">
        <w:rPr>
          <w:rFonts w:ascii="Arial" w:hAnsi="Arial" w:cs="Arial"/>
          <w:sz w:val="22"/>
          <w:szCs w:val="22"/>
        </w:rPr>
        <w:t xml:space="preserve">. After surgery, Lewis was placed on a </w:t>
      </w:r>
      <w:proofErr w:type="spellStart"/>
      <w:r w:rsidR="00AD1FFE">
        <w:rPr>
          <w:rFonts w:ascii="Arial" w:hAnsi="Arial" w:cs="Arial"/>
          <w:sz w:val="22"/>
          <w:szCs w:val="22"/>
        </w:rPr>
        <w:t>pediatric</w:t>
      </w:r>
      <w:proofErr w:type="spellEnd"/>
      <w:r w:rsidR="00AD1FFE">
        <w:rPr>
          <w:rFonts w:ascii="Arial" w:hAnsi="Arial" w:cs="Arial"/>
          <w:sz w:val="22"/>
          <w:szCs w:val="22"/>
        </w:rPr>
        <w:t xml:space="preserve"> </w:t>
      </w:r>
      <w:proofErr w:type="spellStart"/>
      <w:r w:rsidR="00AD1FFE">
        <w:rPr>
          <w:rFonts w:ascii="Arial" w:hAnsi="Arial" w:cs="Arial"/>
          <w:sz w:val="22"/>
          <w:szCs w:val="22"/>
        </w:rPr>
        <w:t>hematology</w:t>
      </w:r>
      <w:proofErr w:type="spellEnd"/>
      <w:r w:rsidRPr="00254044">
        <w:rPr>
          <w:rFonts w:ascii="Arial" w:hAnsi="Arial" w:cs="Arial"/>
          <w:sz w:val="22"/>
          <w:szCs w:val="22"/>
        </w:rPr>
        <w:t xml:space="preserve"> and oncology ward because no surgical bed was available. </w:t>
      </w:r>
      <w:r w:rsidR="002E6615" w:rsidRPr="00254044">
        <w:rPr>
          <w:rFonts w:ascii="Arial" w:hAnsi="Arial" w:cs="Arial"/>
          <w:sz w:val="22"/>
          <w:szCs w:val="22"/>
        </w:rPr>
        <w:t xml:space="preserve">Acquaviva et al. (2013) </w:t>
      </w:r>
      <w:r w:rsidRPr="00254044">
        <w:rPr>
          <w:rFonts w:ascii="Arial" w:hAnsi="Arial" w:cs="Arial"/>
          <w:sz w:val="22"/>
          <w:szCs w:val="22"/>
        </w:rPr>
        <w:t>argue that this ward lacked the experience normally required to manage postoperative surgical patients. Therefore, bed allocation was not simply an administrative inconvenience; it created a mismatch between Lewis’s needs and the ward’s clinical expertise, weakening continuity, surveillance and accountability from the beginning.</w:t>
      </w:r>
    </w:p>
    <w:p w14:paraId="6C43015D" w14:textId="77777777" w:rsidR="00BB26D9" w:rsidRPr="00254044" w:rsidRDefault="00BB26D9" w:rsidP="0062345A">
      <w:pPr>
        <w:spacing w:after="0" w:line="360" w:lineRule="auto"/>
        <w:jc w:val="both"/>
        <w:rPr>
          <w:rFonts w:ascii="Arial" w:hAnsi="Arial" w:cs="Arial"/>
          <w:sz w:val="22"/>
          <w:szCs w:val="22"/>
        </w:rPr>
      </w:pPr>
    </w:p>
    <w:p w14:paraId="5D2F084C" w14:textId="5A76123B" w:rsidR="00BB26D9" w:rsidRPr="00254044" w:rsidRDefault="00BB0E1E" w:rsidP="0062345A">
      <w:pPr>
        <w:spacing w:after="0" w:line="360" w:lineRule="auto"/>
        <w:jc w:val="both"/>
        <w:rPr>
          <w:rFonts w:ascii="Arial" w:hAnsi="Arial" w:cs="Arial"/>
          <w:sz w:val="22"/>
          <w:szCs w:val="22"/>
        </w:rPr>
      </w:pPr>
      <w:r w:rsidRPr="00254044">
        <w:rPr>
          <w:rFonts w:ascii="Arial" w:hAnsi="Arial" w:cs="Arial"/>
          <w:sz w:val="22"/>
          <w:szCs w:val="22"/>
        </w:rPr>
        <w:t>Postoperatively, Lewis received opioid analgesia via an epidural, repeated doses of intravenous ketorolac, commonly known as Toradol, and continuous pulse oximetry monitoring. However, shortly after surgery, his poor oral intake and failure to produce urine were documented</w:t>
      </w:r>
      <w:r w:rsidR="003D1170" w:rsidRPr="00254044">
        <w:rPr>
          <w:rFonts w:ascii="Arial" w:hAnsi="Arial" w:cs="Arial"/>
          <w:sz w:val="22"/>
          <w:szCs w:val="22"/>
        </w:rPr>
        <w:t xml:space="preserve"> </w:t>
      </w:r>
      <w:r w:rsidR="00B46868" w:rsidRPr="00254044">
        <w:rPr>
          <w:rFonts w:ascii="Arial" w:hAnsi="Arial" w:cs="Arial"/>
          <w:sz w:val="22"/>
          <w:szCs w:val="22"/>
        </w:rPr>
        <w:t xml:space="preserve">(National Health Systems Resource </w:t>
      </w:r>
      <w:proofErr w:type="spellStart"/>
      <w:r w:rsidR="00AD1FFE">
        <w:rPr>
          <w:rFonts w:ascii="Arial" w:hAnsi="Arial" w:cs="Arial"/>
          <w:sz w:val="22"/>
          <w:szCs w:val="22"/>
        </w:rPr>
        <w:t>Center</w:t>
      </w:r>
      <w:proofErr w:type="spellEnd"/>
      <w:r w:rsidR="00B46868" w:rsidRPr="00254044">
        <w:rPr>
          <w:rFonts w:ascii="Arial" w:hAnsi="Arial" w:cs="Arial"/>
          <w:sz w:val="22"/>
          <w:szCs w:val="22"/>
        </w:rPr>
        <w:t>, 2022)</w:t>
      </w:r>
      <w:r w:rsidR="00BB26D9" w:rsidRPr="00254044">
        <w:rPr>
          <w:rFonts w:ascii="Arial" w:hAnsi="Arial" w:cs="Arial"/>
          <w:sz w:val="22"/>
          <w:szCs w:val="22"/>
        </w:rPr>
        <w:t xml:space="preserve">. </w:t>
      </w:r>
      <w:r w:rsidR="00EA1FF1" w:rsidRPr="00254044">
        <w:rPr>
          <w:rFonts w:ascii="Arial" w:hAnsi="Arial" w:cs="Arial"/>
          <w:sz w:val="22"/>
          <w:szCs w:val="22"/>
        </w:rPr>
        <w:t>In their report, Acquaviva et al. (2013) state</w:t>
      </w:r>
      <w:r w:rsidR="007E5B55" w:rsidRPr="00254044">
        <w:rPr>
          <w:rFonts w:ascii="Arial" w:hAnsi="Arial" w:cs="Arial"/>
          <w:sz w:val="22"/>
          <w:szCs w:val="22"/>
        </w:rPr>
        <w:t xml:space="preserve"> </w:t>
      </w:r>
      <w:r w:rsidR="003D1170" w:rsidRPr="00254044">
        <w:rPr>
          <w:rFonts w:ascii="Arial" w:hAnsi="Arial" w:cs="Arial"/>
          <w:sz w:val="22"/>
          <w:szCs w:val="22"/>
        </w:rPr>
        <w:t>that</w:t>
      </w:r>
      <w:r w:rsidR="00BB26D9" w:rsidRPr="00254044">
        <w:rPr>
          <w:rFonts w:ascii="Arial" w:hAnsi="Arial" w:cs="Arial"/>
          <w:sz w:val="22"/>
          <w:szCs w:val="22"/>
        </w:rPr>
        <w:t xml:space="preserve"> the absence of urine should have prompted analytical assessment before further ketorolac was administered. Mahmoodi </w:t>
      </w:r>
      <w:r w:rsidR="00B46868" w:rsidRPr="00254044">
        <w:rPr>
          <w:rFonts w:ascii="Arial" w:hAnsi="Arial" w:cs="Arial"/>
          <w:sz w:val="22"/>
          <w:szCs w:val="22"/>
        </w:rPr>
        <w:t xml:space="preserve">et al. </w:t>
      </w:r>
      <w:r w:rsidR="00BB26D9" w:rsidRPr="00254044">
        <w:rPr>
          <w:rFonts w:ascii="Arial" w:hAnsi="Arial" w:cs="Arial"/>
          <w:sz w:val="22"/>
          <w:szCs w:val="22"/>
        </w:rPr>
        <w:t xml:space="preserve">(2024) </w:t>
      </w:r>
      <w:r w:rsidR="003D1170" w:rsidRPr="00254044">
        <w:rPr>
          <w:rFonts w:ascii="Arial" w:hAnsi="Arial" w:cs="Arial"/>
          <w:sz w:val="22"/>
          <w:szCs w:val="22"/>
        </w:rPr>
        <w:t xml:space="preserve">also </w:t>
      </w:r>
      <w:r w:rsidR="00AD1FFE">
        <w:rPr>
          <w:rFonts w:ascii="Arial" w:hAnsi="Arial" w:cs="Arial"/>
          <w:sz w:val="22"/>
          <w:szCs w:val="22"/>
        </w:rPr>
        <w:t>emphasized</w:t>
      </w:r>
      <w:r w:rsidR="00BB26D9" w:rsidRPr="00254044">
        <w:rPr>
          <w:rFonts w:ascii="Arial" w:hAnsi="Arial" w:cs="Arial"/>
          <w:sz w:val="22"/>
          <w:szCs w:val="22"/>
        </w:rPr>
        <w:t xml:space="preserve"> that urine output and renal function should be </w:t>
      </w:r>
      <w:r w:rsidR="003D1170" w:rsidRPr="00254044">
        <w:rPr>
          <w:rFonts w:ascii="Arial" w:hAnsi="Arial" w:cs="Arial"/>
          <w:sz w:val="22"/>
          <w:szCs w:val="22"/>
        </w:rPr>
        <w:t xml:space="preserve">strictly </w:t>
      </w:r>
      <w:r w:rsidR="00BB26D9" w:rsidRPr="00254044">
        <w:rPr>
          <w:rFonts w:ascii="Arial" w:hAnsi="Arial" w:cs="Arial"/>
          <w:sz w:val="22"/>
          <w:szCs w:val="22"/>
        </w:rPr>
        <w:t xml:space="preserve">assessed before and during ketorolac treatment because the medicine can contribute to acute kidney injury. </w:t>
      </w:r>
    </w:p>
    <w:p w14:paraId="25B83252" w14:textId="77777777" w:rsidR="00BB26D9" w:rsidRPr="00254044" w:rsidRDefault="00BB26D9" w:rsidP="0062345A">
      <w:pPr>
        <w:spacing w:after="0" w:line="360" w:lineRule="auto"/>
        <w:jc w:val="both"/>
        <w:rPr>
          <w:rFonts w:ascii="Arial" w:hAnsi="Arial" w:cs="Arial"/>
          <w:sz w:val="22"/>
          <w:szCs w:val="22"/>
        </w:rPr>
      </w:pPr>
    </w:p>
    <w:p w14:paraId="705E22D3" w14:textId="678165AE" w:rsidR="00BB26D9" w:rsidRPr="00254044" w:rsidRDefault="00BB26D9" w:rsidP="0062345A">
      <w:pPr>
        <w:spacing w:after="0" w:line="360" w:lineRule="auto"/>
        <w:jc w:val="both"/>
        <w:rPr>
          <w:rFonts w:ascii="Arial" w:hAnsi="Arial" w:cs="Arial"/>
          <w:sz w:val="22"/>
          <w:szCs w:val="22"/>
        </w:rPr>
      </w:pPr>
      <w:r w:rsidRPr="00254044">
        <w:rPr>
          <w:rFonts w:ascii="Arial" w:hAnsi="Arial" w:cs="Arial"/>
          <w:sz w:val="22"/>
          <w:szCs w:val="22"/>
        </w:rPr>
        <w:t>On the third postoperative day, Lewis developed sudden and extreme upper-abdominal pain shortly after another dose of Toradol. This pain differed in location, intensity</w:t>
      </w:r>
      <w:r w:rsidR="00BE1BCD">
        <w:rPr>
          <w:rFonts w:ascii="Arial" w:hAnsi="Arial" w:cs="Arial"/>
          <w:sz w:val="22"/>
          <w:szCs w:val="22"/>
        </w:rPr>
        <w:t>,</w:t>
      </w:r>
      <w:r w:rsidRPr="00254044">
        <w:rPr>
          <w:rFonts w:ascii="Arial" w:hAnsi="Arial" w:cs="Arial"/>
          <w:sz w:val="22"/>
          <w:szCs w:val="22"/>
        </w:rPr>
        <w:t xml:space="preserve"> and character from the expected chest discomfort associated with his operation. </w:t>
      </w:r>
      <w:r w:rsidR="003D1170" w:rsidRPr="00254044">
        <w:rPr>
          <w:rFonts w:ascii="Arial" w:hAnsi="Arial" w:cs="Arial"/>
          <w:sz w:val="22"/>
          <w:szCs w:val="22"/>
        </w:rPr>
        <w:t>N</w:t>
      </w:r>
      <w:r w:rsidRPr="00254044">
        <w:rPr>
          <w:rFonts w:ascii="Arial" w:hAnsi="Arial" w:cs="Arial"/>
          <w:sz w:val="22"/>
          <w:szCs w:val="22"/>
        </w:rPr>
        <w:t xml:space="preserve">urses initially attributed it to gas, while subsequent clinicians </w:t>
      </w:r>
      <w:r w:rsidR="00AD1FFE">
        <w:rPr>
          <w:rFonts w:ascii="Arial" w:hAnsi="Arial" w:cs="Arial"/>
          <w:sz w:val="22"/>
          <w:szCs w:val="22"/>
        </w:rPr>
        <w:t>favoured</w:t>
      </w:r>
      <w:r w:rsidRPr="00254044">
        <w:rPr>
          <w:rFonts w:ascii="Arial" w:hAnsi="Arial" w:cs="Arial"/>
          <w:sz w:val="22"/>
          <w:szCs w:val="22"/>
        </w:rPr>
        <w:t xml:space="preserve"> constipation or postoperative ileus. Lewis was</w:t>
      </w:r>
      <w:r w:rsidR="00AD1FFE">
        <w:rPr>
          <w:rFonts w:ascii="Arial" w:hAnsi="Arial" w:cs="Arial"/>
          <w:sz w:val="22"/>
          <w:szCs w:val="22"/>
        </w:rPr>
        <w:t xml:space="preserve">, however, instructed to walk, sit in a chair, and bathe despite becoming progressively weaker (National Health Systems Resource </w:t>
      </w:r>
      <w:proofErr w:type="spellStart"/>
      <w:r w:rsidR="00AD1FFE">
        <w:rPr>
          <w:rFonts w:ascii="Arial" w:hAnsi="Arial" w:cs="Arial"/>
          <w:sz w:val="22"/>
          <w:szCs w:val="22"/>
        </w:rPr>
        <w:t>Center</w:t>
      </w:r>
      <w:proofErr w:type="spellEnd"/>
      <w:r w:rsidR="00B4605B" w:rsidRPr="00254044">
        <w:rPr>
          <w:rFonts w:ascii="Arial" w:hAnsi="Arial" w:cs="Arial"/>
          <w:sz w:val="22"/>
          <w:szCs w:val="22"/>
        </w:rPr>
        <w:t>, 2022)</w:t>
      </w:r>
      <w:r w:rsidRPr="00254044">
        <w:rPr>
          <w:rFonts w:ascii="Arial" w:hAnsi="Arial" w:cs="Arial"/>
          <w:sz w:val="22"/>
          <w:szCs w:val="22"/>
        </w:rPr>
        <w:t xml:space="preserve">. </w:t>
      </w:r>
      <w:r w:rsidR="00B4605B" w:rsidRPr="00254044">
        <w:rPr>
          <w:rFonts w:ascii="Arial" w:hAnsi="Arial" w:cs="Arial"/>
          <w:sz w:val="22"/>
          <w:szCs w:val="22"/>
        </w:rPr>
        <w:t xml:space="preserve">Acquaviva et al. (2013) </w:t>
      </w:r>
      <w:r w:rsidRPr="00254044">
        <w:rPr>
          <w:rFonts w:ascii="Arial" w:hAnsi="Arial" w:cs="Arial"/>
          <w:sz w:val="22"/>
          <w:szCs w:val="22"/>
        </w:rPr>
        <w:t xml:space="preserve">argue that the original assumption of an uncomplicated recovery became the interpretive framework through which later </w:t>
      </w:r>
      <w:r w:rsidRPr="00254044">
        <w:rPr>
          <w:rFonts w:ascii="Arial" w:hAnsi="Arial" w:cs="Arial"/>
          <w:sz w:val="22"/>
          <w:szCs w:val="22"/>
        </w:rPr>
        <w:lastRenderedPageBreak/>
        <w:t xml:space="preserve">symptoms were viewed. Once the pain was labelled as gastrointestinal discomfort, contradictory evidence was accommodated within that explanation rather than used to reopen the diagnosis. </w:t>
      </w:r>
    </w:p>
    <w:p w14:paraId="11564C79" w14:textId="77777777" w:rsidR="00BB26D9" w:rsidRPr="00254044" w:rsidRDefault="00BB26D9" w:rsidP="0062345A">
      <w:pPr>
        <w:spacing w:after="0" w:line="360" w:lineRule="auto"/>
        <w:jc w:val="both"/>
        <w:rPr>
          <w:rFonts w:ascii="Arial" w:hAnsi="Arial" w:cs="Arial"/>
          <w:sz w:val="22"/>
          <w:szCs w:val="22"/>
        </w:rPr>
      </w:pPr>
    </w:p>
    <w:p w14:paraId="666AE2F9" w14:textId="6F13CF13" w:rsidR="00BB26D9" w:rsidRPr="00254044" w:rsidRDefault="00BB26D9" w:rsidP="0062345A">
      <w:pPr>
        <w:spacing w:after="0" w:line="360" w:lineRule="auto"/>
        <w:jc w:val="both"/>
        <w:rPr>
          <w:rFonts w:ascii="Arial" w:hAnsi="Arial" w:cs="Arial"/>
          <w:sz w:val="22"/>
          <w:szCs w:val="22"/>
        </w:rPr>
      </w:pPr>
      <w:r w:rsidRPr="00254044">
        <w:rPr>
          <w:rFonts w:ascii="Arial" w:hAnsi="Arial" w:cs="Arial"/>
          <w:sz w:val="22"/>
          <w:szCs w:val="22"/>
        </w:rPr>
        <w:t>Lewis subsequently developed abdominal distension, absent bowel sounds, extreme pallor, sweating, hypothermia, persistent tachycardia, weakness, reduced oxygen saturation and complete absence of urine. His blood pressure eventually became undetectable</w:t>
      </w:r>
      <w:r w:rsidR="00F43EE6" w:rsidRPr="00254044">
        <w:rPr>
          <w:rFonts w:ascii="Arial" w:hAnsi="Arial" w:cs="Arial"/>
          <w:sz w:val="22"/>
          <w:szCs w:val="22"/>
        </w:rPr>
        <w:t xml:space="preserve"> (National Health Systems Resource Centre, 2022)</w:t>
      </w:r>
      <w:r w:rsidRPr="00254044">
        <w:rPr>
          <w:rFonts w:ascii="Arial" w:hAnsi="Arial" w:cs="Arial"/>
          <w:sz w:val="22"/>
          <w:szCs w:val="22"/>
        </w:rPr>
        <w:t xml:space="preserve">. These findings were not subtle when considered together; they were consistent with severe haemodynamic deterioration, shock and an acute abdominal </w:t>
      </w:r>
      <w:r w:rsidR="00135744" w:rsidRPr="00254044">
        <w:rPr>
          <w:rFonts w:ascii="Arial" w:hAnsi="Arial" w:cs="Arial"/>
          <w:sz w:val="22"/>
          <w:szCs w:val="22"/>
        </w:rPr>
        <w:t>emergency (ULY Clinic, 2025)</w:t>
      </w:r>
      <w:r w:rsidRPr="00254044">
        <w:rPr>
          <w:rFonts w:ascii="Arial" w:hAnsi="Arial" w:cs="Arial"/>
          <w:sz w:val="22"/>
          <w:szCs w:val="22"/>
        </w:rPr>
        <w:t xml:space="preserve">. </w:t>
      </w:r>
    </w:p>
    <w:p w14:paraId="1128515A" w14:textId="77777777" w:rsidR="00BB26D9" w:rsidRPr="00254044" w:rsidRDefault="00BB26D9" w:rsidP="0062345A">
      <w:pPr>
        <w:spacing w:after="0" w:line="360" w:lineRule="auto"/>
        <w:jc w:val="both"/>
        <w:rPr>
          <w:rFonts w:ascii="Arial" w:hAnsi="Arial" w:cs="Arial"/>
          <w:sz w:val="22"/>
          <w:szCs w:val="22"/>
        </w:rPr>
      </w:pPr>
    </w:p>
    <w:p w14:paraId="2D926112" w14:textId="4FA30441" w:rsidR="00BB26D9" w:rsidRPr="00254044" w:rsidRDefault="00BB26D9" w:rsidP="0062345A">
      <w:pPr>
        <w:spacing w:after="0" w:line="360" w:lineRule="auto"/>
        <w:jc w:val="both"/>
        <w:rPr>
          <w:rFonts w:ascii="Arial" w:hAnsi="Arial" w:cs="Arial"/>
          <w:sz w:val="22"/>
          <w:szCs w:val="22"/>
        </w:rPr>
      </w:pPr>
      <w:r w:rsidRPr="00254044">
        <w:rPr>
          <w:rFonts w:ascii="Arial" w:hAnsi="Arial" w:cs="Arial"/>
          <w:sz w:val="22"/>
          <w:szCs w:val="22"/>
        </w:rPr>
        <w:t xml:space="preserve">Medication management and technological monitoring created additional risks. Toradol continued despite poor fluid intake, absent urine and worsening physical signs. </w:t>
      </w:r>
      <w:r w:rsidR="001224DE" w:rsidRPr="00254044">
        <w:rPr>
          <w:rFonts w:ascii="Arial" w:hAnsi="Arial" w:cs="Arial"/>
          <w:sz w:val="22"/>
          <w:szCs w:val="22"/>
        </w:rPr>
        <w:t xml:space="preserve">Mahmoodi et al. </w:t>
      </w:r>
      <w:r w:rsidRPr="00254044">
        <w:rPr>
          <w:rFonts w:ascii="Arial" w:hAnsi="Arial" w:cs="Arial"/>
          <w:sz w:val="22"/>
          <w:szCs w:val="22"/>
        </w:rPr>
        <w:t>(2024) identif</w:t>
      </w:r>
      <w:r w:rsidR="00EE56C1" w:rsidRPr="00254044">
        <w:rPr>
          <w:rFonts w:ascii="Arial" w:hAnsi="Arial" w:cs="Arial"/>
          <w:sz w:val="22"/>
          <w:szCs w:val="22"/>
        </w:rPr>
        <w:t>ied</w:t>
      </w:r>
      <w:r w:rsidRPr="00254044">
        <w:rPr>
          <w:rFonts w:ascii="Arial" w:hAnsi="Arial" w:cs="Arial"/>
          <w:sz w:val="22"/>
          <w:szCs w:val="22"/>
        </w:rPr>
        <w:t xml:space="preserve"> gastrointestinal ulceration, perforation, bleeding and renal injury as significant ketorolac risks, particularly where renal perfusion or fluid volume is compromised. However, Rowe et al. (2020) found that evidence </w:t>
      </w:r>
      <w:r w:rsidR="00AD1FFE">
        <w:rPr>
          <w:rFonts w:ascii="Arial" w:hAnsi="Arial" w:cs="Arial"/>
          <w:sz w:val="22"/>
          <w:szCs w:val="22"/>
        </w:rPr>
        <w:t xml:space="preserve">regarding the safety and effectiveness of postoperative ketorolac in children remained of very low </w:t>
      </w:r>
      <w:r w:rsidRPr="00254044">
        <w:rPr>
          <w:rFonts w:ascii="Arial" w:hAnsi="Arial" w:cs="Arial"/>
          <w:sz w:val="22"/>
          <w:szCs w:val="22"/>
        </w:rPr>
        <w:t xml:space="preserve">quality and insufficient to support firm conclusions. Likewise, reducing the pulse-oximeter alarm threshold and eventually switching off the alarm transformed a safety device into a source of false reassurance. </w:t>
      </w:r>
    </w:p>
    <w:p w14:paraId="021D134F" w14:textId="77777777" w:rsidR="00BB26D9" w:rsidRPr="00254044" w:rsidRDefault="00BB26D9" w:rsidP="0062345A">
      <w:pPr>
        <w:spacing w:after="0" w:line="360" w:lineRule="auto"/>
        <w:jc w:val="both"/>
        <w:rPr>
          <w:rFonts w:ascii="Arial" w:hAnsi="Arial" w:cs="Arial"/>
          <w:sz w:val="22"/>
          <w:szCs w:val="22"/>
        </w:rPr>
      </w:pPr>
    </w:p>
    <w:p w14:paraId="63A2B79E" w14:textId="32664B8C" w:rsidR="00BB26D9" w:rsidRPr="00254044" w:rsidRDefault="00BB26D9" w:rsidP="0062345A">
      <w:pPr>
        <w:spacing w:after="0" w:line="360" w:lineRule="auto"/>
        <w:jc w:val="both"/>
        <w:rPr>
          <w:rFonts w:ascii="Arial" w:hAnsi="Arial" w:cs="Arial"/>
          <w:sz w:val="22"/>
          <w:szCs w:val="22"/>
        </w:rPr>
      </w:pPr>
      <w:r w:rsidRPr="00254044">
        <w:rPr>
          <w:rFonts w:ascii="Arial" w:hAnsi="Arial" w:cs="Arial"/>
          <w:sz w:val="22"/>
          <w:szCs w:val="22"/>
        </w:rPr>
        <w:t>Cognitive bias helps explain why worsening evidence did not produce diagnostic reconsideration. Acquaviva</w:t>
      </w:r>
      <w:r w:rsidR="001224DE" w:rsidRPr="00254044">
        <w:rPr>
          <w:rFonts w:ascii="Arial" w:hAnsi="Arial" w:cs="Arial"/>
          <w:sz w:val="22"/>
          <w:szCs w:val="22"/>
        </w:rPr>
        <w:t xml:space="preserve"> et al. </w:t>
      </w:r>
      <w:r w:rsidRPr="00254044">
        <w:rPr>
          <w:rFonts w:ascii="Arial" w:hAnsi="Arial" w:cs="Arial"/>
          <w:sz w:val="22"/>
          <w:szCs w:val="22"/>
        </w:rPr>
        <w:t>(2013) describe anchoring as becoming fixed on an initial interpretation, while belief perseverance involves retaining that interpretation after contradictory information appears. Premature closure occurred when gas, constipation</w:t>
      </w:r>
      <w:r w:rsidR="00AD1FFE">
        <w:rPr>
          <w:rFonts w:ascii="Arial" w:hAnsi="Arial" w:cs="Arial"/>
          <w:sz w:val="22"/>
          <w:szCs w:val="22"/>
        </w:rPr>
        <w:t xml:space="preserve">, or ileus was accepted without adequately excluding </w:t>
      </w:r>
      <w:proofErr w:type="spellStart"/>
      <w:r w:rsidR="00AD1FFE">
        <w:rPr>
          <w:rFonts w:ascii="Arial" w:hAnsi="Arial" w:cs="Arial"/>
          <w:sz w:val="22"/>
          <w:szCs w:val="22"/>
        </w:rPr>
        <w:t>hemorrhage</w:t>
      </w:r>
      <w:proofErr w:type="spellEnd"/>
      <w:r w:rsidR="00AD1FFE">
        <w:rPr>
          <w:rFonts w:ascii="Arial" w:hAnsi="Arial" w:cs="Arial"/>
          <w:sz w:val="22"/>
          <w:szCs w:val="22"/>
        </w:rPr>
        <w:t>, perforation,</w:t>
      </w:r>
      <w:r w:rsidRPr="00254044">
        <w:rPr>
          <w:rFonts w:ascii="Arial" w:hAnsi="Arial" w:cs="Arial"/>
          <w:sz w:val="22"/>
          <w:szCs w:val="22"/>
        </w:rPr>
        <w:t xml:space="preserve"> or shock. The search for seven different blood-pressure cuffs</w:t>
      </w:r>
      <w:r w:rsidR="001224DE" w:rsidRPr="00254044">
        <w:rPr>
          <w:rFonts w:ascii="Arial" w:hAnsi="Arial" w:cs="Arial"/>
          <w:sz w:val="22"/>
          <w:szCs w:val="22"/>
        </w:rPr>
        <w:t xml:space="preserve"> </w:t>
      </w:r>
      <w:r w:rsidRPr="00254044">
        <w:rPr>
          <w:rFonts w:ascii="Arial" w:hAnsi="Arial" w:cs="Arial"/>
          <w:sz w:val="22"/>
          <w:szCs w:val="22"/>
        </w:rPr>
        <w:t>reveal</w:t>
      </w:r>
      <w:r w:rsidR="001224DE" w:rsidRPr="00254044">
        <w:rPr>
          <w:rFonts w:ascii="Arial" w:hAnsi="Arial" w:cs="Arial"/>
          <w:sz w:val="22"/>
          <w:szCs w:val="22"/>
        </w:rPr>
        <w:t xml:space="preserve">s that </w:t>
      </w:r>
      <w:r w:rsidRPr="00254044">
        <w:rPr>
          <w:rFonts w:ascii="Arial" w:hAnsi="Arial" w:cs="Arial"/>
          <w:sz w:val="22"/>
          <w:szCs w:val="22"/>
        </w:rPr>
        <w:t xml:space="preserve">staff repeatedly questioned the equipment rather than asking </w:t>
      </w:r>
      <w:r w:rsidR="001224DE" w:rsidRPr="00254044">
        <w:rPr>
          <w:rFonts w:ascii="Arial" w:hAnsi="Arial" w:cs="Arial"/>
          <w:sz w:val="22"/>
          <w:szCs w:val="22"/>
        </w:rPr>
        <w:t xml:space="preserve">why </w:t>
      </w:r>
      <w:r w:rsidRPr="00254044">
        <w:rPr>
          <w:rFonts w:ascii="Arial" w:hAnsi="Arial" w:cs="Arial"/>
          <w:sz w:val="22"/>
          <w:szCs w:val="22"/>
        </w:rPr>
        <w:t xml:space="preserve">Lewis’s circulation had failed. </w:t>
      </w:r>
    </w:p>
    <w:p w14:paraId="619A1C72" w14:textId="77777777" w:rsidR="00BB26D9" w:rsidRPr="00254044" w:rsidRDefault="00BB26D9" w:rsidP="0062345A">
      <w:pPr>
        <w:spacing w:after="0" w:line="360" w:lineRule="auto"/>
        <w:jc w:val="both"/>
        <w:rPr>
          <w:rFonts w:ascii="Arial" w:hAnsi="Arial" w:cs="Arial"/>
          <w:sz w:val="22"/>
          <w:szCs w:val="22"/>
        </w:rPr>
      </w:pPr>
    </w:p>
    <w:p w14:paraId="4C803EF2" w14:textId="181AA047" w:rsidR="00BB26D9" w:rsidRPr="00254044" w:rsidRDefault="00BB26D9" w:rsidP="0062345A">
      <w:pPr>
        <w:spacing w:after="0" w:line="360" w:lineRule="auto"/>
        <w:jc w:val="both"/>
        <w:rPr>
          <w:rFonts w:ascii="Arial" w:hAnsi="Arial" w:cs="Arial"/>
          <w:sz w:val="22"/>
          <w:szCs w:val="22"/>
        </w:rPr>
      </w:pPr>
      <w:r w:rsidRPr="00254044">
        <w:rPr>
          <w:rFonts w:ascii="Arial" w:hAnsi="Arial" w:cs="Arial"/>
          <w:sz w:val="22"/>
          <w:szCs w:val="22"/>
        </w:rPr>
        <w:t xml:space="preserve">Communication and documentation failures prevented the development of a shared clinical picture. </w:t>
      </w:r>
      <w:r w:rsidR="00C85724" w:rsidRPr="00254044">
        <w:rPr>
          <w:rFonts w:ascii="Arial" w:hAnsi="Arial" w:cs="Arial"/>
          <w:sz w:val="22"/>
          <w:szCs w:val="22"/>
        </w:rPr>
        <w:t xml:space="preserve"> </w:t>
      </w:r>
      <w:r w:rsidRPr="00254044">
        <w:rPr>
          <w:rFonts w:ascii="Arial" w:hAnsi="Arial" w:cs="Arial"/>
          <w:sz w:val="22"/>
          <w:szCs w:val="22"/>
        </w:rPr>
        <w:t>The visual timeline developed by Johnson</w:t>
      </w:r>
      <w:r w:rsidR="00A20DA9" w:rsidRPr="00254044">
        <w:rPr>
          <w:rFonts w:ascii="Arial" w:hAnsi="Arial" w:cs="Arial"/>
          <w:sz w:val="22"/>
          <w:szCs w:val="22"/>
        </w:rPr>
        <w:t xml:space="preserve"> et al. (</w:t>
      </w:r>
      <w:r w:rsidRPr="00254044">
        <w:rPr>
          <w:rFonts w:ascii="Arial" w:hAnsi="Arial" w:cs="Arial"/>
          <w:sz w:val="22"/>
          <w:szCs w:val="22"/>
        </w:rPr>
        <w:t xml:space="preserve">2009) illustrates how multiple staff members encountered parts of the deterioration without anyone assuming responsibility for integrating them. </w:t>
      </w:r>
      <w:r w:rsidR="00A20DA9" w:rsidRPr="00254044">
        <w:rPr>
          <w:rFonts w:ascii="Arial" w:hAnsi="Arial" w:cs="Arial"/>
          <w:sz w:val="22"/>
          <w:szCs w:val="22"/>
        </w:rPr>
        <w:t xml:space="preserve">Also, </w:t>
      </w:r>
      <w:r w:rsidRPr="00254044">
        <w:rPr>
          <w:rFonts w:ascii="Arial" w:hAnsi="Arial" w:cs="Arial"/>
          <w:sz w:val="22"/>
          <w:szCs w:val="22"/>
        </w:rPr>
        <w:t>Lewis’s surgeon left for the weekend, and he did not receive sustained assessment by an attending physician during the critical period of deterioration. Acquaviva</w:t>
      </w:r>
      <w:r w:rsidR="00744C6A" w:rsidRPr="00254044">
        <w:rPr>
          <w:rFonts w:ascii="Arial" w:hAnsi="Arial" w:cs="Arial"/>
          <w:sz w:val="22"/>
          <w:szCs w:val="22"/>
        </w:rPr>
        <w:t xml:space="preserve"> et al. </w:t>
      </w:r>
      <w:r w:rsidRPr="00254044">
        <w:rPr>
          <w:rFonts w:ascii="Arial" w:hAnsi="Arial" w:cs="Arial"/>
          <w:sz w:val="22"/>
          <w:szCs w:val="22"/>
        </w:rPr>
        <w:t xml:space="preserve">(2013) argue that authority gradients can prevent nurses, junior doctors and temporary staff from challenging an established medical view. Johnston et al. (2015) </w:t>
      </w:r>
      <w:r w:rsidR="00744C6A" w:rsidRPr="00254044">
        <w:rPr>
          <w:rFonts w:ascii="Arial" w:hAnsi="Arial" w:cs="Arial"/>
          <w:sz w:val="22"/>
          <w:szCs w:val="22"/>
        </w:rPr>
        <w:t xml:space="preserve">also </w:t>
      </w:r>
      <w:r w:rsidRPr="00254044">
        <w:rPr>
          <w:rFonts w:ascii="Arial" w:hAnsi="Arial" w:cs="Arial"/>
          <w:sz w:val="22"/>
          <w:szCs w:val="22"/>
        </w:rPr>
        <w:t xml:space="preserve">support this interpretation, </w:t>
      </w:r>
      <w:r w:rsidRPr="00254044">
        <w:rPr>
          <w:rFonts w:ascii="Arial" w:hAnsi="Arial" w:cs="Arial"/>
          <w:sz w:val="22"/>
          <w:szCs w:val="22"/>
        </w:rPr>
        <w:lastRenderedPageBreak/>
        <w:t xml:space="preserve">finding that delayed escalation occurs in approximately 20.7–47.1% of deteriorating surgical patients and that hierarchy and communication failures are </w:t>
      </w:r>
      <w:r w:rsidR="00AD1FFE">
        <w:rPr>
          <w:rFonts w:ascii="Arial" w:hAnsi="Arial" w:cs="Arial"/>
          <w:sz w:val="22"/>
          <w:szCs w:val="22"/>
        </w:rPr>
        <w:t>recognized</w:t>
      </w:r>
      <w:r w:rsidRPr="00254044">
        <w:rPr>
          <w:rFonts w:ascii="Arial" w:hAnsi="Arial" w:cs="Arial"/>
          <w:sz w:val="22"/>
          <w:szCs w:val="22"/>
        </w:rPr>
        <w:t xml:space="preserve"> contributors. </w:t>
      </w:r>
    </w:p>
    <w:p w14:paraId="3EDC73A6" w14:textId="77777777" w:rsidR="00BB26D9" w:rsidRPr="00254044" w:rsidRDefault="00BB26D9" w:rsidP="0062345A">
      <w:pPr>
        <w:spacing w:after="0" w:line="360" w:lineRule="auto"/>
        <w:jc w:val="both"/>
        <w:rPr>
          <w:rFonts w:ascii="Arial" w:hAnsi="Arial" w:cs="Arial"/>
          <w:sz w:val="22"/>
          <w:szCs w:val="22"/>
        </w:rPr>
      </w:pPr>
    </w:p>
    <w:p w14:paraId="3166BD1A" w14:textId="5A443F3E" w:rsidR="00441996" w:rsidRPr="00254044" w:rsidRDefault="00BB26D9" w:rsidP="0062345A">
      <w:pPr>
        <w:spacing w:after="0" w:line="360" w:lineRule="auto"/>
        <w:jc w:val="both"/>
        <w:rPr>
          <w:rFonts w:ascii="Arial" w:hAnsi="Arial" w:cs="Arial"/>
          <w:sz w:val="22"/>
          <w:szCs w:val="22"/>
        </w:rPr>
      </w:pPr>
      <w:r w:rsidRPr="00254044">
        <w:rPr>
          <w:rFonts w:ascii="Arial" w:hAnsi="Arial" w:cs="Arial"/>
          <w:sz w:val="22"/>
          <w:szCs w:val="22"/>
        </w:rPr>
        <w:t>Lewis’s mother</w:t>
      </w:r>
      <w:r w:rsidR="00AD1FFE">
        <w:rPr>
          <w:rFonts w:ascii="Arial" w:hAnsi="Arial" w:cs="Arial"/>
          <w:sz w:val="22"/>
          <w:szCs w:val="22"/>
        </w:rPr>
        <w:t>,</w:t>
      </w:r>
      <w:r w:rsidRPr="00254044">
        <w:rPr>
          <w:rFonts w:ascii="Arial" w:hAnsi="Arial" w:cs="Arial"/>
          <w:sz w:val="22"/>
          <w:szCs w:val="22"/>
        </w:rPr>
        <w:t xml:space="preserve"> </w:t>
      </w:r>
      <w:r w:rsidR="00744C6A" w:rsidRPr="00254044">
        <w:rPr>
          <w:rFonts w:ascii="Arial" w:hAnsi="Arial" w:cs="Arial"/>
          <w:sz w:val="22"/>
          <w:szCs w:val="22"/>
        </w:rPr>
        <w:t xml:space="preserve">who </w:t>
      </w:r>
      <w:r w:rsidRPr="00254044">
        <w:rPr>
          <w:rFonts w:ascii="Arial" w:hAnsi="Arial" w:cs="Arial"/>
          <w:sz w:val="22"/>
          <w:szCs w:val="22"/>
        </w:rPr>
        <w:t xml:space="preserve">repeatedly noticed his condition was changing, requested an attending physician </w:t>
      </w:r>
      <w:r w:rsidR="00AD1FFE" w:rsidRPr="00254044">
        <w:rPr>
          <w:rFonts w:ascii="Arial" w:hAnsi="Arial" w:cs="Arial"/>
          <w:sz w:val="22"/>
          <w:szCs w:val="22"/>
        </w:rPr>
        <w:t>to</w:t>
      </w:r>
      <w:r w:rsidRPr="00254044">
        <w:rPr>
          <w:rFonts w:ascii="Arial" w:hAnsi="Arial" w:cs="Arial"/>
          <w:sz w:val="22"/>
          <w:szCs w:val="22"/>
        </w:rPr>
        <w:t xml:space="preserve"> secure more senior help. Her knowledge </w:t>
      </w:r>
      <w:r w:rsidR="00744C6A" w:rsidRPr="00254044">
        <w:rPr>
          <w:rFonts w:ascii="Arial" w:hAnsi="Arial" w:cs="Arial"/>
          <w:sz w:val="22"/>
          <w:szCs w:val="22"/>
        </w:rPr>
        <w:t xml:space="preserve">about Lewis </w:t>
      </w:r>
      <w:r w:rsidRPr="00254044">
        <w:rPr>
          <w:rFonts w:ascii="Arial" w:hAnsi="Arial" w:cs="Arial"/>
          <w:sz w:val="22"/>
          <w:szCs w:val="22"/>
        </w:rPr>
        <w:t xml:space="preserve">was valuable because she understood </w:t>
      </w:r>
      <w:r w:rsidR="00744C6A" w:rsidRPr="00254044">
        <w:rPr>
          <w:rFonts w:ascii="Arial" w:hAnsi="Arial" w:cs="Arial"/>
          <w:sz w:val="22"/>
          <w:szCs w:val="22"/>
        </w:rPr>
        <w:t>his</w:t>
      </w:r>
      <w:r w:rsidRPr="00254044">
        <w:rPr>
          <w:rFonts w:ascii="Arial" w:hAnsi="Arial" w:cs="Arial"/>
          <w:sz w:val="22"/>
          <w:szCs w:val="22"/>
        </w:rPr>
        <w:t xml:space="preserve"> normal appearance, </w:t>
      </w:r>
      <w:r w:rsidR="00AD1FFE">
        <w:rPr>
          <w:rFonts w:ascii="Arial" w:hAnsi="Arial" w:cs="Arial"/>
          <w:sz w:val="22"/>
          <w:szCs w:val="22"/>
        </w:rPr>
        <w:t>behaviour and pain tolerance;</w:t>
      </w:r>
      <w:r w:rsidR="00EC6469" w:rsidRPr="00254044">
        <w:rPr>
          <w:rFonts w:ascii="Arial" w:hAnsi="Arial" w:cs="Arial"/>
          <w:sz w:val="22"/>
          <w:szCs w:val="22"/>
        </w:rPr>
        <w:t xml:space="preserve"> however</w:t>
      </w:r>
      <w:r w:rsidRPr="00254044">
        <w:rPr>
          <w:rFonts w:ascii="Arial" w:hAnsi="Arial" w:cs="Arial"/>
          <w:sz w:val="22"/>
          <w:szCs w:val="22"/>
        </w:rPr>
        <w:t xml:space="preserve">, she had no independent route through which to activate an urgent clinical review. Acquaviva </w:t>
      </w:r>
      <w:r w:rsidR="00744C6A" w:rsidRPr="00254044">
        <w:rPr>
          <w:rFonts w:ascii="Arial" w:hAnsi="Arial" w:cs="Arial"/>
          <w:sz w:val="22"/>
          <w:szCs w:val="22"/>
        </w:rPr>
        <w:t>et al.</w:t>
      </w:r>
      <w:r w:rsidRPr="00254044">
        <w:rPr>
          <w:rFonts w:ascii="Arial" w:hAnsi="Arial" w:cs="Arial"/>
          <w:sz w:val="22"/>
          <w:szCs w:val="22"/>
        </w:rPr>
        <w:t xml:space="preserve"> (2013) describe the family as being placed at the lower end of an authority gradient, dependent on staff choosing to pass their concerns upwards. </w:t>
      </w:r>
    </w:p>
    <w:p w14:paraId="5BE114DD" w14:textId="77777777" w:rsidR="000D321C" w:rsidRPr="00254044" w:rsidRDefault="000D321C" w:rsidP="0062345A">
      <w:pPr>
        <w:spacing w:after="0" w:line="360" w:lineRule="auto"/>
        <w:jc w:val="both"/>
        <w:rPr>
          <w:rFonts w:ascii="Arial" w:hAnsi="Arial" w:cs="Arial"/>
          <w:sz w:val="22"/>
          <w:szCs w:val="22"/>
        </w:rPr>
      </w:pPr>
    </w:p>
    <w:p w14:paraId="38DC29C3" w14:textId="77777777" w:rsidR="00441996" w:rsidRPr="00254044" w:rsidRDefault="00BB26D9" w:rsidP="0062345A">
      <w:pPr>
        <w:spacing w:after="0" w:line="360" w:lineRule="auto"/>
        <w:jc w:val="both"/>
        <w:rPr>
          <w:rFonts w:ascii="Arial" w:hAnsi="Arial" w:cs="Arial"/>
          <w:sz w:val="22"/>
          <w:szCs w:val="22"/>
        </w:rPr>
      </w:pPr>
      <w:r w:rsidRPr="00254044">
        <w:rPr>
          <w:rFonts w:ascii="Arial" w:hAnsi="Arial" w:cs="Arial"/>
          <w:sz w:val="22"/>
          <w:szCs w:val="22"/>
        </w:rPr>
        <w:t xml:space="preserve">A Rich Picture can represent the case as an interconnected system involving Lewis, his family, nurses, temporary staff, interns, residents, attending physicians, the surgeon, ward management, pharmacy, laboratory services, hospital leadership and external regulators. </w:t>
      </w:r>
    </w:p>
    <w:p w14:paraId="2135AF22" w14:textId="3140CF9E" w:rsidR="00BB26D9" w:rsidRPr="00254044" w:rsidRDefault="00BB26D9" w:rsidP="0062345A">
      <w:pPr>
        <w:spacing w:after="0" w:line="360" w:lineRule="auto"/>
        <w:jc w:val="both"/>
        <w:rPr>
          <w:rFonts w:ascii="Arial" w:hAnsi="Arial" w:cs="Arial"/>
          <w:sz w:val="22"/>
          <w:szCs w:val="22"/>
        </w:rPr>
      </w:pPr>
      <w:r w:rsidRPr="00254044">
        <w:rPr>
          <w:rFonts w:ascii="Arial" w:hAnsi="Arial" w:cs="Arial"/>
          <w:sz w:val="22"/>
          <w:szCs w:val="22"/>
        </w:rPr>
        <w:t xml:space="preserve">The visual timeline reveals broken links between bedside observations, medical assessment, medication review and senior escalation. It also shows blocked communication between Lewis’s family and the attending level, </w:t>
      </w:r>
      <w:r w:rsidR="00254044" w:rsidRPr="00254044">
        <w:rPr>
          <w:rFonts w:ascii="Arial" w:hAnsi="Arial" w:cs="Arial"/>
          <w:sz w:val="22"/>
          <w:szCs w:val="22"/>
        </w:rPr>
        <w:t>as well as uncertainty about</w:t>
      </w:r>
      <w:r w:rsidRPr="00254044">
        <w:rPr>
          <w:rFonts w:ascii="Arial" w:hAnsi="Arial" w:cs="Arial"/>
          <w:sz w:val="22"/>
          <w:szCs w:val="22"/>
        </w:rPr>
        <w:t xml:space="preserve"> who </w:t>
      </w:r>
      <w:r w:rsidR="00AD1FFE">
        <w:rPr>
          <w:rFonts w:ascii="Arial" w:hAnsi="Arial" w:cs="Arial"/>
          <w:sz w:val="22"/>
          <w:szCs w:val="22"/>
        </w:rPr>
        <w:t>was ultimately responsible</w:t>
      </w:r>
      <w:r w:rsidRPr="00254044">
        <w:rPr>
          <w:rFonts w:ascii="Arial" w:hAnsi="Arial" w:cs="Arial"/>
          <w:sz w:val="22"/>
          <w:szCs w:val="22"/>
        </w:rPr>
        <w:t>. The Rich Picture</w:t>
      </w:r>
      <w:r w:rsidR="00B24E47">
        <w:rPr>
          <w:rFonts w:ascii="Arial" w:hAnsi="Arial" w:cs="Arial"/>
          <w:sz w:val="22"/>
          <w:szCs w:val="22"/>
        </w:rPr>
        <w:t xml:space="preserve">, therefore, prevents the analysis from reducing the outcome to </w:t>
      </w:r>
      <w:r w:rsidR="001C4B0C">
        <w:rPr>
          <w:rFonts w:ascii="Arial" w:hAnsi="Arial" w:cs="Arial"/>
          <w:sz w:val="22"/>
          <w:szCs w:val="22"/>
        </w:rPr>
        <w:t>a single nurse, a single doctor, or a single</w:t>
      </w:r>
      <w:r w:rsidRPr="00254044">
        <w:rPr>
          <w:rFonts w:ascii="Arial" w:hAnsi="Arial" w:cs="Arial"/>
          <w:sz w:val="22"/>
          <w:szCs w:val="22"/>
        </w:rPr>
        <w:t xml:space="preserve"> medicine. </w:t>
      </w:r>
    </w:p>
    <w:p w14:paraId="206BEFF9" w14:textId="0EC9CFBD" w:rsidR="00081C03" w:rsidRPr="00254044" w:rsidRDefault="00407668" w:rsidP="0062345A">
      <w:pPr>
        <w:spacing w:after="0" w:line="360" w:lineRule="auto"/>
        <w:jc w:val="both"/>
        <w:rPr>
          <w:rFonts w:ascii="Arial" w:hAnsi="Arial" w:cs="Arial"/>
          <w:sz w:val="22"/>
          <w:szCs w:val="22"/>
        </w:rPr>
      </w:pPr>
      <w:r w:rsidRPr="00254044">
        <w:rPr>
          <w:rFonts w:ascii="Arial" w:hAnsi="Arial" w:cs="Arial"/>
          <w:sz w:val="22"/>
          <w:szCs w:val="22"/>
        </w:rPr>
        <w:drawing>
          <wp:inline distT="0" distB="0" distL="0" distR="0" wp14:anchorId="6F3346EC" wp14:editId="0B205A74">
            <wp:extent cx="5943600" cy="3397250"/>
            <wp:effectExtent l="0" t="0" r="0" b="0"/>
            <wp:docPr id="6450465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397250"/>
                    </a:xfrm>
                    <a:prstGeom prst="rect">
                      <a:avLst/>
                    </a:prstGeom>
                    <a:noFill/>
                    <a:ln>
                      <a:noFill/>
                    </a:ln>
                  </pic:spPr>
                </pic:pic>
              </a:graphicData>
            </a:graphic>
          </wp:inline>
        </w:drawing>
      </w:r>
    </w:p>
    <w:p w14:paraId="6AE53AA0" w14:textId="5D42BA86" w:rsidR="00081C03" w:rsidRPr="00254044" w:rsidRDefault="00407668" w:rsidP="0062345A">
      <w:pPr>
        <w:spacing w:after="0" w:line="360" w:lineRule="auto"/>
        <w:jc w:val="both"/>
        <w:rPr>
          <w:rFonts w:ascii="Arial" w:hAnsi="Arial" w:cs="Arial"/>
          <w:sz w:val="22"/>
          <w:szCs w:val="22"/>
        </w:rPr>
      </w:pPr>
      <w:r w:rsidRPr="00254044">
        <w:rPr>
          <w:rFonts w:ascii="Arial" w:hAnsi="Arial" w:cs="Arial"/>
          <w:b/>
          <w:bCs/>
          <w:sz w:val="22"/>
          <w:szCs w:val="22"/>
        </w:rPr>
        <w:lastRenderedPageBreak/>
        <w:t>Figure 1</w:t>
      </w:r>
      <w:r w:rsidRPr="00254044">
        <w:rPr>
          <w:rFonts w:ascii="Arial" w:hAnsi="Arial" w:cs="Arial"/>
          <w:sz w:val="22"/>
          <w:szCs w:val="22"/>
        </w:rPr>
        <w:t xml:space="preserve">. </w:t>
      </w:r>
      <w:r w:rsidRPr="00254044">
        <w:rPr>
          <w:rFonts w:ascii="Arial" w:hAnsi="Arial" w:cs="Arial"/>
          <w:i/>
          <w:iCs/>
          <w:sz w:val="22"/>
          <w:szCs w:val="22"/>
        </w:rPr>
        <w:t>A rich picture representing the Lewis Blackman case as an interconnected healthcare system, highlighting stakeholder relationships, communication pathways, clinical decision-making, leadership, and points of system failure.</w:t>
      </w:r>
      <w:r w:rsidR="00C279C0" w:rsidRPr="00254044">
        <w:rPr>
          <w:rFonts w:ascii="Arial" w:hAnsi="Arial" w:cs="Arial"/>
          <w:i/>
          <w:iCs/>
          <w:sz w:val="22"/>
          <w:szCs w:val="22"/>
        </w:rPr>
        <w:t xml:space="preserve"> Source: Author’s own construction</w:t>
      </w:r>
      <w:r w:rsidR="00BF1836" w:rsidRPr="00254044">
        <w:rPr>
          <w:rFonts w:ascii="Arial" w:hAnsi="Arial" w:cs="Arial"/>
          <w:i/>
          <w:iCs/>
          <w:sz w:val="22"/>
          <w:szCs w:val="22"/>
        </w:rPr>
        <w:t>.</w:t>
      </w:r>
    </w:p>
    <w:p w14:paraId="45D69191" w14:textId="77777777" w:rsidR="00407668" w:rsidRPr="00254044" w:rsidRDefault="00407668" w:rsidP="0062345A">
      <w:pPr>
        <w:spacing w:after="0" w:line="360" w:lineRule="auto"/>
        <w:jc w:val="both"/>
        <w:rPr>
          <w:rFonts w:ascii="Arial" w:hAnsi="Arial" w:cs="Arial"/>
          <w:sz w:val="22"/>
          <w:szCs w:val="22"/>
        </w:rPr>
      </w:pPr>
    </w:p>
    <w:p w14:paraId="1614E54B" w14:textId="15E4B780" w:rsidR="000D321C" w:rsidRPr="00254044" w:rsidRDefault="00BB26D9" w:rsidP="0062345A">
      <w:pPr>
        <w:spacing w:after="0" w:line="360" w:lineRule="auto"/>
        <w:jc w:val="both"/>
        <w:rPr>
          <w:rFonts w:ascii="Arial" w:hAnsi="Arial" w:cs="Arial"/>
          <w:sz w:val="22"/>
          <w:szCs w:val="22"/>
        </w:rPr>
      </w:pPr>
      <w:r w:rsidRPr="00254044">
        <w:rPr>
          <w:rFonts w:ascii="Arial" w:hAnsi="Arial" w:cs="Arial"/>
          <w:sz w:val="22"/>
          <w:szCs w:val="22"/>
        </w:rPr>
        <w:t>Overall, Lewis’s death resulted from the interaction of weak clinical leadership, cognitive bias, inadequate supervision, unclear accountability, unsafe medication management, ineffective monitoring, poor communication, professional hierarchy and exclusion of the family. The decisive failure was not that a complication occurred, but that the healthcare system repeatedly failed to recognise, communicate and rescue him from it.</w:t>
      </w:r>
    </w:p>
    <w:p w14:paraId="27BB68F6" w14:textId="180C8DA2" w:rsidR="00C97854" w:rsidRPr="00254044" w:rsidRDefault="0062345A" w:rsidP="0062345A">
      <w:pPr>
        <w:pStyle w:val="Heading1"/>
        <w:jc w:val="both"/>
        <w:rPr>
          <w:rFonts w:ascii="Arial" w:hAnsi="Arial" w:cs="Arial"/>
          <w:b/>
          <w:bCs/>
          <w:color w:val="auto"/>
          <w:sz w:val="24"/>
          <w:szCs w:val="24"/>
        </w:rPr>
      </w:pPr>
      <w:bookmarkStart w:id="2" w:name="_Toc236855885"/>
      <w:r w:rsidRPr="00254044">
        <w:rPr>
          <w:rFonts w:ascii="Arial" w:hAnsi="Arial" w:cs="Arial"/>
          <w:b/>
          <w:bCs/>
          <w:color w:val="auto"/>
          <w:sz w:val="24"/>
          <w:szCs w:val="24"/>
        </w:rPr>
        <w:t>CENTRALISATION AND DECENTRALISATION WITHIN THE LEWIS BLACKMAN CASE STUDY</w:t>
      </w:r>
      <w:bookmarkEnd w:id="2"/>
    </w:p>
    <w:p w14:paraId="5BB65F96" w14:textId="129A363F" w:rsidR="00C97854" w:rsidRPr="00254044" w:rsidRDefault="00AD1FFE" w:rsidP="0062345A">
      <w:pPr>
        <w:spacing w:after="0" w:line="360" w:lineRule="auto"/>
        <w:jc w:val="both"/>
        <w:rPr>
          <w:rFonts w:ascii="Arial" w:hAnsi="Arial" w:cs="Arial"/>
          <w:sz w:val="22"/>
          <w:szCs w:val="22"/>
        </w:rPr>
      </w:pPr>
      <w:r>
        <w:rPr>
          <w:rFonts w:ascii="Arial" w:hAnsi="Arial" w:cs="Arial"/>
          <w:sz w:val="22"/>
          <w:szCs w:val="22"/>
        </w:rPr>
        <w:t>Centralization is the concentration of decision-making authority at an organization’s</w:t>
      </w:r>
      <w:r w:rsidR="00C97854" w:rsidRPr="00254044">
        <w:rPr>
          <w:rFonts w:ascii="Arial" w:hAnsi="Arial" w:cs="Arial"/>
          <w:sz w:val="22"/>
          <w:szCs w:val="22"/>
        </w:rPr>
        <w:t xml:space="preserve"> upper levels. Marume and </w:t>
      </w:r>
      <w:proofErr w:type="spellStart"/>
      <w:r w:rsidR="00C97854" w:rsidRPr="00254044">
        <w:rPr>
          <w:rFonts w:ascii="Arial" w:hAnsi="Arial" w:cs="Arial"/>
          <w:sz w:val="22"/>
          <w:szCs w:val="22"/>
        </w:rPr>
        <w:t>Jubenkanda</w:t>
      </w:r>
      <w:proofErr w:type="spellEnd"/>
      <w:r w:rsidR="00C97854" w:rsidRPr="00254044">
        <w:rPr>
          <w:rFonts w:ascii="Arial" w:hAnsi="Arial" w:cs="Arial"/>
          <w:sz w:val="22"/>
          <w:szCs w:val="22"/>
        </w:rPr>
        <w:t xml:space="preserve"> (2016) associate it with control, uniform policies and clearer accountability, while McDermott et al. (2015) show that top-down healthcare governance can promote standards and monitoring. This explains why complex clinical decisions are commonly reserved for attending physicians and specialist surgeons: expertise and accountability are concentrated </w:t>
      </w:r>
      <w:r>
        <w:rPr>
          <w:rFonts w:ascii="Arial" w:hAnsi="Arial" w:cs="Arial"/>
          <w:sz w:val="22"/>
          <w:szCs w:val="22"/>
        </w:rPr>
        <w:t>in the same role</w:t>
      </w:r>
      <w:r w:rsidR="00C97854" w:rsidRPr="00254044">
        <w:rPr>
          <w:rFonts w:ascii="Arial" w:hAnsi="Arial" w:cs="Arial"/>
          <w:sz w:val="22"/>
          <w:szCs w:val="22"/>
        </w:rPr>
        <w:t>. In Lewis Blackman’s case, however, this arrangement created dependence on senior clinicians whose knowledge could protect him only if they remained accessible during his deterioration.</w:t>
      </w:r>
    </w:p>
    <w:p w14:paraId="7E7DDC7F" w14:textId="77777777" w:rsidR="00C97854" w:rsidRPr="00254044" w:rsidRDefault="00C97854" w:rsidP="0062345A">
      <w:pPr>
        <w:spacing w:after="0" w:line="360" w:lineRule="auto"/>
        <w:jc w:val="both"/>
        <w:rPr>
          <w:rFonts w:ascii="Arial" w:hAnsi="Arial" w:cs="Arial"/>
          <w:sz w:val="22"/>
          <w:szCs w:val="22"/>
        </w:rPr>
      </w:pPr>
    </w:p>
    <w:p w14:paraId="3D8100A1" w14:textId="56C687AD" w:rsidR="00C97854" w:rsidRPr="00254044" w:rsidRDefault="00B24E47" w:rsidP="0062345A">
      <w:pPr>
        <w:spacing w:after="0" w:line="360" w:lineRule="auto"/>
        <w:jc w:val="both"/>
        <w:rPr>
          <w:rFonts w:ascii="Arial" w:hAnsi="Arial" w:cs="Arial"/>
          <w:sz w:val="22"/>
          <w:szCs w:val="22"/>
        </w:rPr>
      </w:pPr>
      <w:r>
        <w:rPr>
          <w:rFonts w:ascii="Arial" w:hAnsi="Arial" w:cs="Arial"/>
          <w:sz w:val="22"/>
          <w:szCs w:val="22"/>
        </w:rPr>
        <w:t>Decentralization transfers authority and responsibility towards lower organizational</w:t>
      </w:r>
      <w:r w:rsidR="00C97854" w:rsidRPr="00254044">
        <w:rPr>
          <w:rFonts w:ascii="Arial" w:hAnsi="Arial" w:cs="Arial"/>
          <w:sz w:val="22"/>
          <w:szCs w:val="22"/>
        </w:rPr>
        <w:t xml:space="preserve"> levels and those closer to service users. Sapkota et al. (2023) identify responsive local decision-making, frontline information and adaptation to immediate needs as expected benefits, although their systematic review found mixed and frequently negative effects. Although their evidence concerns health-system devolution rather than bedside delegation, its warning about transferring responsibilities without adequate capacity is directly relevant. Clinically, </w:t>
      </w:r>
      <w:r w:rsidR="00812102">
        <w:rPr>
          <w:rFonts w:ascii="Arial" w:hAnsi="Arial" w:cs="Arial"/>
          <w:sz w:val="22"/>
          <w:szCs w:val="22"/>
        </w:rPr>
        <w:t>decentralization</w:t>
      </w:r>
      <w:r w:rsidR="00C97854" w:rsidRPr="00254044">
        <w:rPr>
          <w:rFonts w:ascii="Arial" w:hAnsi="Arial" w:cs="Arial"/>
          <w:sz w:val="22"/>
          <w:szCs w:val="22"/>
        </w:rPr>
        <w:t xml:space="preserve"> occurs when nurses and junior doctors assess patients, administer treatment, communicate changes</w:t>
      </w:r>
      <w:r w:rsidR="00812102">
        <w:rPr>
          <w:rFonts w:ascii="Arial" w:hAnsi="Arial" w:cs="Arial"/>
          <w:sz w:val="22"/>
          <w:szCs w:val="22"/>
        </w:rPr>
        <w:t>,</w:t>
      </w:r>
      <w:r w:rsidR="00C97854" w:rsidRPr="00254044">
        <w:rPr>
          <w:rFonts w:ascii="Arial" w:hAnsi="Arial" w:cs="Arial"/>
          <w:sz w:val="22"/>
          <w:szCs w:val="22"/>
        </w:rPr>
        <w:t xml:space="preserve"> and initiate escalation. Nevertheless, Lewis’s experience shows that delegating tasks is not genuine decentralisation unless frontline staff also possess sufficient authority and support.</w:t>
      </w:r>
    </w:p>
    <w:p w14:paraId="1901EA25" w14:textId="77777777" w:rsidR="00C97854" w:rsidRPr="00254044" w:rsidRDefault="00C97854" w:rsidP="0062345A">
      <w:pPr>
        <w:spacing w:after="0" w:line="360" w:lineRule="auto"/>
        <w:jc w:val="both"/>
        <w:rPr>
          <w:rFonts w:ascii="Arial" w:hAnsi="Arial" w:cs="Arial"/>
          <w:sz w:val="22"/>
          <w:szCs w:val="22"/>
        </w:rPr>
      </w:pPr>
    </w:p>
    <w:p w14:paraId="7980561E" w14:textId="59A69D68" w:rsidR="00C97854" w:rsidRPr="00254044" w:rsidRDefault="00C97854" w:rsidP="0062345A">
      <w:pPr>
        <w:spacing w:after="0" w:line="360" w:lineRule="auto"/>
        <w:jc w:val="both"/>
        <w:rPr>
          <w:rFonts w:ascii="Arial" w:hAnsi="Arial" w:cs="Arial"/>
          <w:sz w:val="22"/>
          <w:szCs w:val="22"/>
        </w:rPr>
      </w:pPr>
      <w:r w:rsidRPr="00254044">
        <w:rPr>
          <w:rFonts w:ascii="Arial" w:hAnsi="Arial" w:cs="Arial"/>
          <w:sz w:val="22"/>
          <w:szCs w:val="22"/>
        </w:rPr>
        <w:t xml:space="preserve">The teaching hospital operated </w:t>
      </w:r>
      <w:r w:rsidR="00AD1FFE">
        <w:rPr>
          <w:rFonts w:ascii="Arial" w:hAnsi="Arial" w:cs="Arial"/>
          <w:sz w:val="22"/>
          <w:szCs w:val="22"/>
        </w:rPr>
        <w:t>under a hierarchy of attending physicians and</w:t>
      </w:r>
      <w:r w:rsidRPr="00254044">
        <w:rPr>
          <w:rFonts w:ascii="Arial" w:hAnsi="Arial" w:cs="Arial"/>
          <w:sz w:val="22"/>
          <w:szCs w:val="22"/>
        </w:rPr>
        <w:t xml:space="preserve"> surgeons, a chief resident, junior residents, interns, nurses</w:t>
      </w:r>
      <w:r w:rsidR="00AD1FFE">
        <w:rPr>
          <w:rFonts w:ascii="Arial" w:hAnsi="Arial" w:cs="Arial"/>
          <w:sz w:val="22"/>
          <w:szCs w:val="22"/>
        </w:rPr>
        <w:t>,</w:t>
      </w:r>
      <w:r w:rsidRPr="00254044">
        <w:rPr>
          <w:rFonts w:ascii="Arial" w:hAnsi="Arial" w:cs="Arial"/>
          <w:sz w:val="22"/>
          <w:szCs w:val="22"/>
        </w:rPr>
        <w:t xml:space="preserve"> and technicians. Formal authority increased with seniority, while direct contact with Lewis </w:t>
      </w:r>
      <w:r w:rsidR="00AD1FFE">
        <w:rPr>
          <w:rFonts w:ascii="Arial" w:hAnsi="Arial" w:cs="Arial"/>
          <w:sz w:val="22"/>
          <w:szCs w:val="22"/>
        </w:rPr>
        <w:t>decreased</w:t>
      </w:r>
      <w:r w:rsidR="002815F8" w:rsidRPr="00254044">
        <w:rPr>
          <w:rFonts w:ascii="Arial" w:hAnsi="Arial" w:cs="Arial"/>
          <w:sz w:val="22"/>
          <w:szCs w:val="22"/>
        </w:rPr>
        <w:t>.</w:t>
      </w:r>
      <w:r w:rsidRPr="00254044">
        <w:rPr>
          <w:rFonts w:ascii="Arial" w:hAnsi="Arial" w:cs="Arial"/>
          <w:sz w:val="22"/>
          <w:szCs w:val="22"/>
        </w:rPr>
        <w:t xml:space="preserve"> The chief resident held intermediate authority </w:t>
      </w:r>
      <w:r w:rsidRPr="00254044">
        <w:rPr>
          <w:rFonts w:ascii="Arial" w:hAnsi="Arial" w:cs="Arial"/>
          <w:sz w:val="22"/>
          <w:szCs w:val="22"/>
        </w:rPr>
        <w:lastRenderedPageBreak/>
        <w:t xml:space="preserve">but did not provide the attending-level review </w:t>
      </w:r>
      <w:r w:rsidR="00AD1FFE">
        <w:rPr>
          <w:rFonts w:ascii="Arial" w:hAnsi="Arial" w:cs="Arial"/>
          <w:sz w:val="22"/>
          <w:szCs w:val="22"/>
        </w:rPr>
        <w:t>that Lewis’s mother requested</w:t>
      </w:r>
      <w:r w:rsidRPr="00254044">
        <w:rPr>
          <w:rFonts w:ascii="Arial" w:hAnsi="Arial" w:cs="Arial"/>
          <w:sz w:val="22"/>
          <w:szCs w:val="22"/>
        </w:rPr>
        <w:t>. Daily responsibility was therefore dispersed, while authority to reinterpret the diagnosis, make substantial treatment changes or initiate specialist intervention remained concentrated (Lewis Blackman Case Study, 2022).</w:t>
      </w:r>
    </w:p>
    <w:p w14:paraId="4B74C471" w14:textId="77777777" w:rsidR="00C97854" w:rsidRPr="00254044" w:rsidRDefault="00C97854" w:rsidP="0062345A">
      <w:pPr>
        <w:spacing w:after="0" w:line="360" w:lineRule="auto"/>
        <w:jc w:val="both"/>
        <w:rPr>
          <w:rFonts w:ascii="Arial" w:hAnsi="Arial" w:cs="Arial"/>
          <w:sz w:val="22"/>
          <w:szCs w:val="22"/>
        </w:rPr>
      </w:pPr>
    </w:p>
    <w:p w14:paraId="59A11384" w14:textId="4AD5E050" w:rsidR="00C97854" w:rsidRPr="00254044" w:rsidRDefault="00C97854" w:rsidP="0062345A">
      <w:pPr>
        <w:spacing w:after="0" w:line="360" w:lineRule="auto"/>
        <w:jc w:val="both"/>
        <w:rPr>
          <w:rFonts w:ascii="Arial" w:hAnsi="Arial" w:cs="Arial"/>
          <w:sz w:val="22"/>
          <w:szCs w:val="22"/>
        </w:rPr>
      </w:pPr>
      <w:r w:rsidRPr="00254044">
        <w:rPr>
          <w:rFonts w:ascii="Arial" w:hAnsi="Arial" w:cs="Arial"/>
          <w:sz w:val="22"/>
          <w:szCs w:val="22"/>
        </w:rPr>
        <w:t xml:space="preserve">Clinical hierarchy can be functional without being excessively authoritarian. Senior physicians are better positioned to integrate complex information, accept responsibility for high-risk decisions and mobilise specialist resources. </w:t>
      </w:r>
      <w:proofErr w:type="spellStart"/>
      <w:r w:rsidRPr="00254044">
        <w:rPr>
          <w:rFonts w:ascii="Arial" w:hAnsi="Arial" w:cs="Arial"/>
          <w:sz w:val="22"/>
          <w:szCs w:val="22"/>
        </w:rPr>
        <w:t>Soffan</w:t>
      </w:r>
      <w:proofErr w:type="spellEnd"/>
      <w:r w:rsidRPr="00254044">
        <w:rPr>
          <w:rFonts w:ascii="Arial" w:hAnsi="Arial" w:cs="Arial"/>
          <w:sz w:val="22"/>
          <w:szCs w:val="22"/>
        </w:rPr>
        <w:t xml:space="preserve"> and </w:t>
      </w:r>
      <w:proofErr w:type="spellStart"/>
      <w:r w:rsidRPr="00254044">
        <w:rPr>
          <w:rFonts w:ascii="Arial" w:hAnsi="Arial" w:cs="Arial"/>
          <w:sz w:val="22"/>
          <w:szCs w:val="22"/>
        </w:rPr>
        <w:t>Trisnadi</w:t>
      </w:r>
      <w:proofErr w:type="spellEnd"/>
      <w:r w:rsidRPr="00254044">
        <w:rPr>
          <w:rFonts w:ascii="Arial" w:hAnsi="Arial" w:cs="Arial"/>
          <w:sz w:val="22"/>
          <w:szCs w:val="22"/>
        </w:rPr>
        <w:t xml:space="preserve"> (2022) similarly emphasise the professional, ethical and legal dimensions of medical decision-making. However, Sekar et al. (2022) warn that steep authority gradients discourage junior professionals from questioning decisions or seeking senior opinions. In Lewis’s case, experienced reassessment depended </w:t>
      </w:r>
      <w:r w:rsidR="00B24E47">
        <w:rPr>
          <w:rFonts w:ascii="Arial" w:hAnsi="Arial" w:cs="Arial"/>
          <w:sz w:val="22"/>
          <w:szCs w:val="22"/>
        </w:rPr>
        <w:t xml:space="preserve">on reaching senior clinicians, yet the organizational chain repeatedly routed more residents than to </w:t>
      </w:r>
      <w:r w:rsidRPr="00254044">
        <w:rPr>
          <w:rFonts w:ascii="Arial" w:hAnsi="Arial" w:cs="Arial"/>
          <w:sz w:val="22"/>
          <w:szCs w:val="22"/>
        </w:rPr>
        <w:t xml:space="preserve">an attending physician. </w:t>
      </w:r>
      <w:r w:rsidR="00B24E47">
        <w:rPr>
          <w:rFonts w:ascii="Arial" w:hAnsi="Arial" w:cs="Arial"/>
          <w:sz w:val="22"/>
          <w:szCs w:val="22"/>
        </w:rPr>
        <w:t>Centralized expertise therefore became practically unavailable</w:t>
      </w:r>
      <w:r w:rsidRPr="00254044">
        <w:rPr>
          <w:rFonts w:ascii="Arial" w:hAnsi="Arial" w:cs="Arial"/>
          <w:sz w:val="22"/>
          <w:szCs w:val="22"/>
        </w:rPr>
        <w:t>.</w:t>
      </w:r>
    </w:p>
    <w:p w14:paraId="1376A172" w14:textId="77777777" w:rsidR="00C97854" w:rsidRPr="00254044" w:rsidRDefault="00C97854" w:rsidP="0062345A">
      <w:pPr>
        <w:spacing w:after="0" w:line="360" w:lineRule="auto"/>
        <w:jc w:val="both"/>
        <w:rPr>
          <w:rFonts w:ascii="Arial" w:hAnsi="Arial" w:cs="Arial"/>
          <w:sz w:val="22"/>
          <w:szCs w:val="22"/>
        </w:rPr>
      </w:pPr>
    </w:p>
    <w:p w14:paraId="491C5ADF" w14:textId="77777777" w:rsidR="00C97854" w:rsidRPr="00254044" w:rsidRDefault="00C97854" w:rsidP="0062345A">
      <w:pPr>
        <w:spacing w:after="0" w:line="360" w:lineRule="auto"/>
        <w:jc w:val="both"/>
        <w:rPr>
          <w:rFonts w:ascii="Arial" w:hAnsi="Arial" w:cs="Arial"/>
          <w:sz w:val="22"/>
          <w:szCs w:val="22"/>
        </w:rPr>
      </w:pPr>
      <w:r w:rsidRPr="00254044">
        <w:rPr>
          <w:rFonts w:ascii="Arial" w:hAnsi="Arial" w:cs="Arial"/>
          <w:sz w:val="22"/>
          <w:szCs w:val="22"/>
        </w:rPr>
        <w:t xml:space="preserve">Centralisation itself was not the direct cause of Lewis’s death. Marume and </w:t>
      </w:r>
      <w:proofErr w:type="spellStart"/>
      <w:r w:rsidRPr="00254044">
        <w:rPr>
          <w:rFonts w:ascii="Arial" w:hAnsi="Arial" w:cs="Arial"/>
          <w:sz w:val="22"/>
          <w:szCs w:val="22"/>
        </w:rPr>
        <w:t>Jubenkanda</w:t>
      </w:r>
      <w:proofErr w:type="spellEnd"/>
      <w:r w:rsidRPr="00254044">
        <w:rPr>
          <w:rFonts w:ascii="Arial" w:hAnsi="Arial" w:cs="Arial"/>
          <w:sz w:val="22"/>
          <w:szCs w:val="22"/>
        </w:rPr>
        <w:t xml:space="preserve"> (2016) identify consistency, control and coordinated action as potential benefits, while McDermott et al. (2015) show that formal standards and accountability remain necessary in healthcare. Reserving major treatment changes for experienced clinicians can prevent unsafe improvisation by inadequately prepared staff. The failure was instead defective implementation: authority was centralised without dependable senior presence, clear activation thresholds or enforceable responsibility for responding. A safe centralised arrangement would have converted Lewis’s profound physiological changes into compulsory senior review rather than allowing the original constipation or ileus explanation to persist.</w:t>
      </w:r>
    </w:p>
    <w:p w14:paraId="5FD6E949" w14:textId="77777777" w:rsidR="00C97854" w:rsidRPr="00254044" w:rsidRDefault="00C97854" w:rsidP="0062345A">
      <w:pPr>
        <w:spacing w:after="0" w:line="360" w:lineRule="auto"/>
        <w:jc w:val="both"/>
        <w:rPr>
          <w:rFonts w:ascii="Arial" w:hAnsi="Arial" w:cs="Arial"/>
          <w:sz w:val="22"/>
          <w:szCs w:val="22"/>
        </w:rPr>
      </w:pPr>
    </w:p>
    <w:p w14:paraId="52C09246" w14:textId="31509D9B" w:rsidR="00C97854" w:rsidRPr="00254044" w:rsidRDefault="00C97854" w:rsidP="0062345A">
      <w:pPr>
        <w:spacing w:after="0" w:line="360" w:lineRule="auto"/>
        <w:jc w:val="both"/>
        <w:rPr>
          <w:rFonts w:ascii="Arial" w:hAnsi="Arial" w:cs="Arial"/>
          <w:sz w:val="22"/>
          <w:szCs w:val="22"/>
        </w:rPr>
      </w:pPr>
      <w:r w:rsidRPr="00254044">
        <w:rPr>
          <w:rFonts w:ascii="Arial" w:hAnsi="Arial" w:cs="Arial"/>
          <w:sz w:val="22"/>
          <w:szCs w:val="22"/>
        </w:rPr>
        <w:t>The disadvantages became evident as Lewis deteriorated. His oxygen saturation fell, severe abdominal pain developed, his abdomen became distended, urine output ceased, tachycardia intensified</w:t>
      </w:r>
      <w:r w:rsidR="00812102">
        <w:rPr>
          <w:rFonts w:ascii="Arial" w:hAnsi="Arial" w:cs="Arial"/>
          <w:sz w:val="22"/>
          <w:szCs w:val="22"/>
        </w:rPr>
        <w:t>,</w:t>
      </w:r>
      <w:r w:rsidRPr="00254044">
        <w:rPr>
          <w:rFonts w:ascii="Arial" w:hAnsi="Arial" w:cs="Arial"/>
          <w:sz w:val="22"/>
          <w:szCs w:val="22"/>
        </w:rPr>
        <w:t xml:space="preserve"> and staff eventually could not obtain a blood-pressure reading. His mother repeatedly sought an attending physician, yet an intern, residents</w:t>
      </w:r>
      <w:r w:rsidR="00812102">
        <w:rPr>
          <w:rFonts w:ascii="Arial" w:hAnsi="Arial" w:cs="Arial"/>
          <w:sz w:val="22"/>
          <w:szCs w:val="22"/>
        </w:rPr>
        <w:t>,</w:t>
      </w:r>
      <w:r w:rsidRPr="00254044">
        <w:rPr>
          <w:rFonts w:ascii="Arial" w:hAnsi="Arial" w:cs="Arial"/>
          <w:sz w:val="22"/>
          <w:szCs w:val="22"/>
        </w:rPr>
        <w:t xml:space="preserve"> and the chief resident continued to manage him (Lewis Blackman Case Study, 2022). Sekar et al. (2022) explain that hierarchical cultures can inhibit escalation and weaken the reception of concerns from junior staff and patients. When effective authority is concentrated among people who are absent, difficult to contact or insulated by hierarchy, centralisation produces delay precisely when reassessment is essential.</w:t>
      </w:r>
    </w:p>
    <w:p w14:paraId="40B871D4" w14:textId="77777777" w:rsidR="00C97854" w:rsidRPr="00254044" w:rsidRDefault="00C97854" w:rsidP="0062345A">
      <w:pPr>
        <w:spacing w:after="0" w:line="360" w:lineRule="auto"/>
        <w:jc w:val="both"/>
        <w:rPr>
          <w:rFonts w:ascii="Arial" w:hAnsi="Arial" w:cs="Arial"/>
          <w:sz w:val="22"/>
          <w:szCs w:val="22"/>
        </w:rPr>
      </w:pPr>
    </w:p>
    <w:p w14:paraId="7EF3A927" w14:textId="700F01C7" w:rsidR="00C97854" w:rsidRPr="00254044" w:rsidRDefault="00C97854" w:rsidP="0062345A">
      <w:pPr>
        <w:spacing w:after="0" w:line="360" w:lineRule="auto"/>
        <w:jc w:val="both"/>
        <w:rPr>
          <w:rFonts w:ascii="Arial" w:hAnsi="Arial" w:cs="Arial"/>
          <w:sz w:val="22"/>
          <w:szCs w:val="22"/>
        </w:rPr>
      </w:pPr>
      <w:r w:rsidRPr="00254044">
        <w:rPr>
          <w:rFonts w:ascii="Arial" w:hAnsi="Arial" w:cs="Arial"/>
          <w:sz w:val="22"/>
          <w:szCs w:val="22"/>
        </w:rPr>
        <w:lastRenderedPageBreak/>
        <w:t xml:space="preserve">Substantial responsibility was nevertheless decentralised to frontline workers. Nurses monitored Lewis, documented vital signs, assessed pain, administered ketorolac, communicated observations and decided when further review was needed. Junior doctors interpreted his symptoms and determined whether to involve senior colleagues, while technicians generated information that should have intensified concern. Ede et al. (2024) demonstrate that escalation requires clinicians to </w:t>
      </w:r>
      <w:r w:rsidR="00AD1FFE">
        <w:rPr>
          <w:rFonts w:ascii="Arial" w:hAnsi="Arial" w:cs="Arial"/>
          <w:sz w:val="22"/>
          <w:szCs w:val="22"/>
        </w:rPr>
        <w:t>synthesize multiple data points, assess whether deterioration is significant,</w:t>
      </w:r>
      <w:r w:rsidRPr="00254044">
        <w:rPr>
          <w:rFonts w:ascii="Arial" w:hAnsi="Arial" w:cs="Arial"/>
          <w:sz w:val="22"/>
          <w:szCs w:val="22"/>
        </w:rPr>
        <w:t xml:space="preserve"> and identify interim actions. These demanding tasks were placed on Lewis’s least experienced and least powerful caregivers without an effective route to authoritative support.</w:t>
      </w:r>
    </w:p>
    <w:p w14:paraId="64AD46E2" w14:textId="77777777" w:rsidR="00C97854" w:rsidRPr="00254044" w:rsidRDefault="00C97854" w:rsidP="0062345A">
      <w:pPr>
        <w:spacing w:after="0" w:line="360" w:lineRule="auto"/>
        <w:jc w:val="both"/>
        <w:rPr>
          <w:rFonts w:ascii="Arial" w:hAnsi="Arial" w:cs="Arial"/>
          <w:sz w:val="22"/>
          <w:szCs w:val="22"/>
        </w:rPr>
      </w:pPr>
    </w:p>
    <w:p w14:paraId="668546E8" w14:textId="3EBAE01A" w:rsidR="00C97854" w:rsidRPr="00254044" w:rsidRDefault="00C97854" w:rsidP="0062345A">
      <w:pPr>
        <w:spacing w:after="0" w:line="360" w:lineRule="auto"/>
        <w:jc w:val="both"/>
        <w:rPr>
          <w:rFonts w:ascii="Arial" w:hAnsi="Arial" w:cs="Arial"/>
          <w:sz w:val="22"/>
          <w:szCs w:val="22"/>
        </w:rPr>
      </w:pPr>
      <w:r w:rsidRPr="00254044">
        <w:rPr>
          <w:rFonts w:ascii="Arial" w:hAnsi="Arial" w:cs="Arial"/>
          <w:sz w:val="22"/>
          <w:szCs w:val="22"/>
        </w:rPr>
        <w:t xml:space="preserve">Frontline proximity can </w:t>
      </w:r>
      <w:r w:rsidR="00AD1FFE">
        <w:rPr>
          <w:rFonts w:ascii="Arial" w:hAnsi="Arial" w:cs="Arial"/>
          <w:sz w:val="22"/>
          <w:szCs w:val="22"/>
        </w:rPr>
        <w:t>enhance safety because nurses and junior doctors observe changes before senior leaders do</w:t>
      </w:r>
      <w:r w:rsidRPr="00254044">
        <w:rPr>
          <w:rFonts w:ascii="Arial" w:hAnsi="Arial" w:cs="Arial"/>
          <w:sz w:val="22"/>
          <w:szCs w:val="22"/>
        </w:rPr>
        <w:t xml:space="preserve">. However, Sapkota et al. (2023) find that </w:t>
      </w:r>
      <w:r w:rsidR="00AD1FFE">
        <w:rPr>
          <w:rFonts w:ascii="Arial" w:hAnsi="Arial" w:cs="Arial"/>
          <w:sz w:val="22"/>
          <w:szCs w:val="22"/>
        </w:rPr>
        <w:t>decentralization may lead to poor coordination, unclear responsibilities, inadequate supervision, and accountability deficits when capabilities</w:t>
      </w:r>
      <w:r w:rsidRPr="00254044">
        <w:rPr>
          <w:rFonts w:ascii="Arial" w:hAnsi="Arial" w:cs="Arial"/>
          <w:sz w:val="22"/>
          <w:szCs w:val="22"/>
        </w:rPr>
        <w:t xml:space="preserve"> and resources do not accompany transferred duties. Ede et al. (2024) similarly show that prescribed escalation procedures can differ substantially from work as actually performed. Lewis’s observations were recorded but never integrated into a coherent picture of critical deterioration. </w:t>
      </w:r>
    </w:p>
    <w:p w14:paraId="21FE2752" w14:textId="77777777" w:rsidR="00C97854" w:rsidRPr="00254044" w:rsidRDefault="00C97854" w:rsidP="0062345A">
      <w:pPr>
        <w:spacing w:after="0" w:line="360" w:lineRule="auto"/>
        <w:jc w:val="both"/>
        <w:rPr>
          <w:rFonts w:ascii="Arial" w:hAnsi="Arial" w:cs="Arial"/>
          <w:sz w:val="22"/>
          <w:szCs w:val="22"/>
        </w:rPr>
      </w:pPr>
    </w:p>
    <w:p w14:paraId="2E3743FD" w14:textId="77777777" w:rsidR="00C97854" w:rsidRPr="00254044" w:rsidRDefault="00C97854" w:rsidP="0062345A">
      <w:pPr>
        <w:spacing w:after="0" w:line="360" w:lineRule="auto"/>
        <w:jc w:val="both"/>
        <w:rPr>
          <w:rFonts w:ascii="Arial" w:hAnsi="Arial" w:cs="Arial"/>
          <w:sz w:val="22"/>
          <w:szCs w:val="22"/>
        </w:rPr>
      </w:pPr>
      <w:r w:rsidRPr="00254044">
        <w:rPr>
          <w:rFonts w:ascii="Arial" w:hAnsi="Arial" w:cs="Arial"/>
          <w:sz w:val="22"/>
          <w:szCs w:val="22"/>
        </w:rPr>
        <w:t>The central organisational failure was therefore “responsibility without authority”. Nurses and junior doctors were accountable for monitoring and escalation but could not provide the experienced reassessment, surgical intervention or coordination Lewis required. Sekar et al. (2022) show how authority gradients reduce confidence to challenge senior assumptions, while Sapkota et al. (2023) identify unclear role boundaries and weak coordination as recurring decentralisation problems. In Lewis’s case, the result was fragmented communication, diagnostic fixation, hesitant escalation and blurred accountability: each professional level completed parts of care, but no sufficiently empowered clinician assumed timely ownership of the developing crisis.</w:t>
      </w:r>
    </w:p>
    <w:p w14:paraId="19381A87" w14:textId="77777777" w:rsidR="00C97854" w:rsidRPr="00254044" w:rsidRDefault="00C97854" w:rsidP="0062345A">
      <w:pPr>
        <w:spacing w:after="0" w:line="360" w:lineRule="auto"/>
        <w:jc w:val="both"/>
        <w:rPr>
          <w:rFonts w:ascii="Arial" w:hAnsi="Arial" w:cs="Arial"/>
          <w:sz w:val="22"/>
          <w:szCs w:val="22"/>
        </w:rPr>
      </w:pPr>
    </w:p>
    <w:p w14:paraId="417EC644" w14:textId="283E58AE" w:rsidR="00761705" w:rsidRPr="00254044" w:rsidRDefault="00C97854" w:rsidP="0062345A">
      <w:pPr>
        <w:spacing w:after="0" w:line="360" w:lineRule="auto"/>
        <w:jc w:val="both"/>
        <w:rPr>
          <w:rFonts w:ascii="Arial" w:hAnsi="Arial" w:cs="Arial"/>
          <w:sz w:val="22"/>
          <w:szCs w:val="22"/>
        </w:rPr>
      </w:pPr>
      <w:r w:rsidRPr="00254044">
        <w:rPr>
          <w:rFonts w:ascii="Arial" w:hAnsi="Arial" w:cs="Arial"/>
          <w:sz w:val="22"/>
          <w:szCs w:val="22"/>
        </w:rPr>
        <w:t xml:space="preserve">A balanced hybrid structure is consequently more appropriate than </w:t>
      </w:r>
      <w:r w:rsidR="001C4B0C">
        <w:rPr>
          <w:rFonts w:ascii="Arial" w:hAnsi="Arial" w:cs="Arial"/>
          <w:sz w:val="22"/>
          <w:szCs w:val="22"/>
        </w:rPr>
        <w:t>an extreme one</w:t>
      </w:r>
      <w:r w:rsidRPr="00254044">
        <w:rPr>
          <w:rFonts w:ascii="Arial" w:hAnsi="Arial" w:cs="Arial"/>
          <w:sz w:val="22"/>
          <w:szCs w:val="22"/>
        </w:rPr>
        <w:t xml:space="preserve">. Although McDermott et al. (2015) examine regulation rather than bedside practice, their model usefully combines top-down standards and accountability with bottom-up professional empowerment. </w:t>
      </w:r>
      <w:proofErr w:type="spellStart"/>
      <w:r w:rsidRPr="00254044">
        <w:rPr>
          <w:rFonts w:ascii="Arial" w:hAnsi="Arial" w:cs="Arial"/>
          <w:sz w:val="22"/>
          <w:szCs w:val="22"/>
        </w:rPr>
        <w:t>Gheduzzi</w:t>
      </w:r>
      <w:proofErr w:type="spellEnd"/>
      <w:r w:rsidRPr="00254044">
        <w:rPr>
          <w:rFonts w:ascii="Arial" w:hAnsi="Arial" w:cs="Arial"/>
          <w:sz w:val="22"/>
          <w:szCs w:val="22"/>
        </w:rPr>
        <w:t xml:space="preserve"> et al. (2026) similarly demonstrate that governance forms must be matched to context rather than treating one structure as universally superior. Senior clinicians should retain overall accountability, but frontline staff must be authorised to bypass hierarchy when warning signs appear; defined triggers should require immediate senior review; and families should have an independent escalation route. Bucknall et al. (2021) support family-activated rapid-response </w:t>
      </w:r>
      <w:r w:rsidRPr="00254044">
        <w:rPr>
          <w:rFonts w:ascii="Arial" w:hAnsi="Arial" w:cs="Arial"/>
          <w:sz w:val="22"/>
          <w:szCs w:val="22"/>
        </w:rPr>
        <w:lastRenderedPageBreak/>
        <w:t>systems as additional safety mechanisms. The Lewis Blackman Hospital Patient Safety Act subsequently identified the attending physician as responsible for care, required nurses to help patients contact that physician and mandated an always-available mechanism for prompt assistance. The essential lesson is that safe care depends on reconnecting frontline responsibility with meaningful authority, senior support and accountability.</w:t>
      </w:r>
    </w:p>
    <w:p w14:paraId="746EEC9E" w14:textId="2A0892D6" w:rsidR="00761705" w:rsidRPr="00254044" w:rsidRDefault="0062345A" w:rsidP="0062345A">
      <w:pPr>
        <w:pStyle w:val="Heading1"/>
        <w:jc w:val="both"/>
        <w:rPr>
          <w:rFonts w:ascii="Arial" w:hAnsi="Arial" w:cs="Arial"/>
          <w:b/>
          <w:bCs/>
          <w:color w:val="auto"/>
          <w:sz w:val="24"/>
          <w:szCs w:val="24"/>
        </w:rPr>
      </w:pPr>
      <w:bookmarkStart w:id="3" w:name="_Toc236855886"/>
      <w:r w:rsidRPr="00254044">
        <w:rPr>
          <w:rFonts w:ascii="Arial" w:hAnsi="Arial" w:cs="Arial"/>
          <w:b/>
          <w:bCs/>
          <w:color w:val="auto"/>
          <w:sz w:val="24"/>
          <w:szCs w:val="24"/>
        </w:rPr>
        <w:t>LEADERSHIP THEORIES AND APPLICATION TO THE LEWIS BLACKMAN CASE</w:t>
      </w:r>
      <w:bookmarkEnd w:id="3"/>
    </w:p>
    <w:p w14:paraId="5E786913" w14:textId="77777777" w:rsidR="00761705" w:rsidRPr="00254044" w:rsidRDefault="00761705" w:rsidP="0062345A">
      <w:pPr>
        <w:spacing w:after="0" w:line="360" w:lineRule="auto"/>
        <w:jc w:val="both"/>
        <w:rPr>
          <w:rFonts w:ascii="Arial" w:hAnsi="Arial" w:cs="Arial"/>
          <w:sz w:val="22"/>
          <w:szCs w:val="22"/>
        </w:rPr>
      </w:pPr>
      <w:r w:rsidRPr="00254044">
        <w:rPr>
          <w:rFonts w:ascii="Arial" w:hAnsi="Arial" w:cs="Arial"/>
          <w:sz w:val="22"/>
          <w:szCs w:val="22"/>
        </w:rPr>
        <w:t xml:space="preserve">Leadership effectiveness in the Lewis Blackman case can be assessed through transactional, transformational and situational leadership, supported by distributed leadership and psychological safety. No single model is sufficient because the failures involved weak compliance systems, hierarchy, communication and clinical judgement. Tedla and Hamid (2022) argue that healthcare complexity requires technical competence, collaboration and adaptability, while </w:t>
      </w:r>
      <w:proofErr w:type="spellStart"/>
      <w:r w:rsidRPr="00254044">
        <w:rPr>
          <w:rFonts w:ascii="Arial" w:hAnsi="Arial" w:cs="Arial"/>
          <w:sz w:val="22"/>
          <w:szCs w:val="22"/>
        </w:rPr>
        <w:t>Gruessner</w:t>
      </w:r>
      <w:proofErr w:type="spellEnd"/>
      <w:r w:rsidRPr="00254044">
        <w:rPr>
          <w:rFonts w:ascii="Arial" w:hAnsi="Arial" w:cs="Arial"/>
          <w:sz w:val="22"/>
          <w:szCs w:val="22"/>
        </w:rPr>
        <w:t xml:space="preserve"> (2023) treats transformational and transactional leadership as complementary rather than competing approaches. Accordingly, the analysis must consider both individual leaders and the organisational arrangements that shaped who could act, speak and escalate concerns.</w:t>
      </w:r>
    </w:p>
    <w:p w14:paraId="4C63EB86" w14:textId="77777777" w:rsidR="00761705" w:rsidRPr="00254044" w:rsidRDefault="00761705" w:rsidP="0062345A">
      <w:pPr>
        <w:spacing w:after="0" w:line="360" w:lineRule="auto"/>
        <w:jc w:val="both"/>
        <w:rPr>
          <w:rFonts w:ascii="Arial" w:hAnsi="Arial" w:cs="Arial"/>
          <w:sz w:val="22"/>
          <w:szCs w:val="22"/>
        </w:rPr>
      </w:pPr>
    </w:p>
    <w:p w14:paraId="304F438E" w14:textId="77777777" w:rsidR="00761705" w:rsidRPr="00254044" w:rsidRDefault="00761705" w:rsidP="0062345A">
      <w:pPr>
        <w:spacing w:after="0" w:line="360" w:lineRule="auto"/>
        <w:jc w:val="both"/>
        <w:rPr>
          <w:rFonts w:ascii="Arial" w:hAnsi="Arial" w:cs="Arial"/>
          <w:sz w:val="22"/>
          <w:szCs w:val="22"/>
        </w:rPr>
      </w:pPr>
      <w:r w:rsidRPr="00254044">
        <w:rPr>
          <w:rFonts w:ascii="Arial" w:hAnsi="Arial" w:cs="Arial"/>
          <w:sz w:val="22"/>
          <w:szCs w:val="22"/>
        </w:rPr>
        <w:t>Transactional leadership is based on clear duties, performance expectations, monitoring and corrective action. Al-</w:t>
      </w:r>
      <w:proofErr w:type="spellStart"/>
      <w:r w:rsidRPr="00254044">
        <w:rPr>
          <w:rFonts w:ascii="Arial" w:hAnsi="Arial" w:cs="Arial"/>
          <w:sz w:val="22"/>
          <w:szCs w:val="22"/>
        </w:rPr>
        <w:t>Rjoub</w:t>
      </w:r>
      <w:proofErr w:type="spellEnd"/>
      <w:r w:rsidRPr="00254044">
        <w:rPr>
          <w:rFonts w:ascii="Arial" w:hAnsi="Arial" w:cs="Arial"/>
          <w:sz w:val="22"/>
          <w:szCs w:val="22"/>
        </w:rPr>
        <w:t xml:space="preserve"> et al. (2024) distinguish contingent reward from active management-by-exception, through which leaders monitor performance and intervene when deviation threatens organisational goals. Dong (2023) adds that transactional leadership can be effective in high-pressure, short-term and task-focused environments. It is therefore relevant to acute healthcare, where medication rules, observation schedules and escalation thresholds require consistent application.</w:t>
      </w:r>
    </w:p>
    <w:p w14:paraId="6BDF6A30" w14:textId="77777777" w:rsidR="00761705" w:rsidRPr="00254044" w:rsidRDefault="00761705" w:rsidP="0062345A">
      <w:pPr>
        <w:spacing w:after="0" w:line="360" w:lineRule="auto"/>
        <w:jc w:val="both"/>
        <w:rPr>
          <w:rFonts w:ascii="Arial" w:hAnsi="Arial" w:cs="Arial"/>
          <w:sz w:val="22"/>
          <w:szCs w:val="22"/>
        </w:rPr>
      </w:pPr>
    </w:p>
    <w:p w14:paraId="74F997D7" w14:textId="77777777" w:rsidR="00761705" w:rsidRPr="00254044" w:rsidRDefault="00761705" w:rsidP="0062345A">
      <w:pPr>
        <w:spacing w:after="0" w:line="360" w:lineRule="auto"/>
        <w:jc w:val="both"/>
        <w:rPr>
          <w:rFonts w:ascii="Arial" w:hAnsi="Arial" w:cs="Arial"/>
          <w:sz w:val="22"/>
          <w:szCs w:val="22"/>
        </w:rPr>
      </w:pPr>
      <w:r w:rsidRPr="00254044">
        <w:rPr>
          <w:rFonts w:ascii="Arial" w:hAnsi="Arial" w:cs="Arial"/>
          <w:sz w:val="22"/>
          <w:szCs w:val="22"/>
        </w:rPr>
        <w:t>Applied to Lewis’s care, transactional leadership should have made accountability visible at every stage. Medication rules should have governed the use and monitoring of ketorolac; postoperative observations should have been recorded, interpreted and escalated; and documentation should have identified clinical responsibility. Supervision should also have ensured that junior practitioners identified themselves correctly and worked within their competence. Since Al-</w:t>
      </w:r>
      <w:proofErr w:type="spellStart"/>
      <w:r w:rsidRPr="00254044">
        <w:rPr>
          <w:rFonts w:ascii="Arial" w:hAnsi="Arial" w:cs="Arial"/>
          <w:sz w:val="22"/>
          <w:szCs w:val="22"/>
        </w:rPr>
        <w:t>Rjoub</w:t>
      </w:r>
      <w:proofErr w:type="spellEnd"/>
      <w:r w:rsidRPr="00254044">
        <w:rPr>
          <w:rFonts w:ascii="Arial" w:hAnsi="Arial" w:cs="Arial"/>
          <w:sz w:val="22"/>
          <w:szCs w:val="22"/>
        </w:rPr>
        <w:t xml:space="preserve"> et al. (2024) associate transactional leadership with stronger adherence to standardised procedures, repeated abnormal observations should have triggered mandatory senior review.</w:t>
      </w:r>
    </w:p>
    <w:p w14:paraId="2642FC3B" w14:textId="77777777" w:rsidR="00761705" w:rsidRPr="00254044" w:rsidRDefault="00761705" w:rsidP="0062345A">
      <w:pPr>
        <w:spacing w:after="0" w:line="360" w:lineRule="auto"/>
        <w:jc w:val="both"/>
        <w:rPr>
          <w:rFonts w:ascii="Arial" w:hAnsi="Arial" w:cs="Arial"/>
          <w:sz w:val="22"/>
          <w:szCs w:val="22"/>
        </w:rPr>
      </w:pPr>
    </w:p>
    <w:p w14:paraId="72D33747" w14:textId="39884EC5" w:rsidR="00761705" w:rsidRPr="00254044" w:rsidRDefault="00761705" w:rsidP="0062345A">
      <w:pPr>
        <w:spacing w:after="0" w:line="360" w:lineRule="auto"/>
        <w:jc w:val="both"/>
        <w:rPr>
          <w:rFonts w:ascii="Arial" w:hAnsi="Arial" w:cs="Arial"/>
          <w:sz w:val="22"/>
          <w:szCs w:val="22"/>
        </w:rPr>
      </w:pPr>
      <w:r w:rsidRPr="00254044">
        <w:rPr>
          <w:rFonts w:ascii="Arial" w:hAnsi="Arial" w:cs="Arial"/>
          <w:sz w:val="22"/>
          <w:szCs w:val="22"/>
        </w:rPr>
        <w:t xml:space="preserve">However, the case demonstrates failure to enact controls. Alarms were altered, escalation did not occur, responsibility was unclear, observations were not integrated, and no attending physician </w:t>
      </w:r>
      <w:r w:rsidRPr="00254044">
        <w:rPr>
          <w:rFonts w:ascii="Arial" w:hAnsi="Arial" w:cs="Arial"/>
          <w:sz w:val="22"/>
          <w:szCs w:val="22"/>
        </w:rPr>
        <w:lastRenderedPageBreak/>
        <w:t xml:space="preserve">reviewed Lewis during the critical period. Transactional systems therefore existed without effective management-by-exception. Dong (2023) warns that excessive dependence on this style may restrict initiative and long-term learning. More importantly, rules cannot ensure that a nurse, junior doctor, patient or parent feels safe challenging senior authority. </w:t>
      </w:r>
    </w:p>
    <w:p w14:paraId="2BFC8273" w14:textId="77777777" w:rsidR="00761705" w:rsidRPr="00254044" w:rsidRDefault="00761705" w:rsidP="0062345A">
      <w:pPr>
        <w:spacing w:after="0" w:line="360" w:lineRule="auto"/>
        <w:jc w:val="both"/>
        <w:rPr>
          <w:rFonts w:ascii="Arial" w:hAnsi="Arial" w:cs="Arial"/>
          <w:sz w:val="22"/>
          <w:szCs w:val="22"/>
        </w:rPr>
      </w:pPr>
    </w:p>
    <w:p w14:paraId="11253FBC" w14:textId="6C0DC509" w:rsidR="00761705" w:rsidRPr="00254044" w:rsidRDefault="00761705" w:rsidP="0062345A">
      <w:pPr>
        <w:spacing w:after="0" w:line="360" w:lineRule="auto"/>
        <w:jc w:val="both"/>
        <w:rPr>
          <w:rFonts w:ascii="Arial" w:hAnsi="Arial" w:cs="Arial"/>
          <w:sz w:val="22"/>
          <w:szCs w:val="22"/>
        </w:rPr>
      </w:pPr>
      <w:r w:rsidRPr="00254044">
        <w:rPr>
          <w:rFonts w:ascii="Arial" w:hAnsi="Arial" w:cs="Arial"/>
          <w:sz w:val="22"/>
          <w:szCs w:val="22"/>
        </w:rPr>
        <w:t>Transformational leadership addresses this cultural weakness by creating a shared vision, motivating staff and challenging established practice. Gabel (2013) identifies idealised influence, inspirational motivation, intellectual stimulation and individualised consideration as its central elements. In healthcare, these behaviours connect organisational values to bedside conduct by making safety a collective moral purpose rather than merely a checklist. Al-</w:t>
      </w:r>
      <w:proofErr w:type="spellStart"/>
      <w:r w:rsidRPr="00254044">
        <w:rPr>
          <w:rFonts w:ascii="Arial" w:hAnsi="Arial" w:cs="Arial"/>
          <w:sz w:val="22"/>
          <w:szCs w:val="22"/>
        </w:rPr>
        <w:t>Rjoub</w:t>
      </w:r>
      <w:proofErr w:type="spellEnd"/>
      <w:r w:rsidRPr="00254044">
        <w:rPr>
          <w:rFonts w:ascii="Arial" w:hAnsi="Arial" w:cs="Arial"/>
          <w:sz w:val="22"/>
          <w:szCs w:val="22"/>
        </w:rPr>
        <w:t xml:space="preserve"> et al. (2024) associate this style with empowerment, trust and innovation, although inspiration alone does not guarantee compliance with specific clinical standards.</w:t>
      </w:r>
      <w:r w:rsidR="00812E6D" w:rsidRPr="00254044">
        <w:rPr>
          <w:sz w:val="22"/>
          <w:szCs w:val="22"/>
        </w:rPr>
        <w:t xml:space="preserve"> </w:t>
      </w:r>
    </w:p>
    <w:p w14:paraId="5D0ACD7C" w14:textId="77777777" w:rsidR="00761705" w:rsidRPr="00254044" w:rsidRDefault="00761705" w:rsidP="0062345A">
      <w:pPr>
        <w:spacing w:after="0" w:line="360" w:lineRule="auto"/>
        <w:jc w:val="both"/>
        <w:rPr>
          <w:rFonts w:ascii="Arial" w:hAnsi="Arial" w:cs="Arial"/>
          <w:sz w:val="22"/>
          <w:szCs w:val="22"/>
        </w:rPr>
      </w:pPr>
    </w:p>
    <w:p w14:paraId="027A051D" w14:textId="06424223" w:rsidR="00761705" w:rsidRPr="00254044" w:rsidRDefault="00761705" w:rsidP="0062345A">
      <w:pPr>
        <w:spacing w:after="0" w:line="360" w:lineRule="auto"/>
        <w:jc w:val="both"/>
        <w:rPr>
          <w:rFonts w:ascii="Arial" w:hAnsi="Arial" w:cs="Arial"/>
          <w:sz w:val="22"/>
          <w:szCs w:val="22"/>
        </w:rPr>
      </w:pPr>
      <w:r w:rsidRPr="00254044">
        <w:rPr>
          <w:rFonts w:ascii="Arial" w:hAnsi="Arial" w:cs="Arial"/>
          <w:sz w:val="22"/>
          <w:szCs w:val="22"/>
        </w:rPr>
        <w:t>The system surrounding Lewis appeared to lack a shared safety purpose strong enough to overcome hierarchy and fragmented responsibility. Following his death, patient safety reportedly became more explicit in hospital strategy, his story was incorporated into staff orientation, and simulation-based education supported learning. These actions reflect transformational leadership because they use a patient narrative to reshape values and professional identity. Gabel (2013) notes that much healthcare leadership literature remains prescriptive, while Al-</w:t>
      </w:r>
      <w:proofErr w:type="spellStart"/>
      <w:r w:rsidRPr="00254044">
        <w:rPr>
          <w:rFonts w:ascii="Arial" w:hAnsi="Arial" w:cs="Arial"/>
          <w:sz w:val="22"/>
          <w:szCs w:val="22"/>
        </w:rPr>
        <w:t>Rjoub</w:t>
      </w:r>
      <w:proofErr w:type="spellEnd"/>
      <w:r w:rsidRPr="00254044">
        <w:rPr>
          <w:rFonts w:ascii="Arial" w:hAnsi="Arial" w:cs="Arial"/>
          <w:sz w:val="22"/>
          <w:szCs w:val="22"/>
        </w:rPr>
        <w:t xml:space="preserve"> et al. (2024) found limited differences in </w:t>
      </w:r>
      <w:r w:rsidR="00812E6D" w:rsidRPr="00254044">
        <w:rPr>
          <w:rFonts w:ascii="Arial" w:hAnsi="Arial" w:cs="Arial"/>
          <w:sz w:val="22"/>
          <w:szCs w:val="22"/>
        </w:rPr>
        <w:t xml:space="preserve">patient’s outcome </w:t>
      </w:r>
      <w:r w:rsidRPr="00254044">
        <w:rPr>
          <w:rFonts w:ascii="Arial" w:hAnsi="Arial" w:cs="Arial"/>
          <w:sz w:val="22"/>
          <w:szCs w:val="22"/>
        </w:rPr>
        <w:t>between leadership settings. The evidence therefore indicates cultural change but provides limited numerical proof of sustained improvement.</w:t>
      </w:r>
    </w:p>
    <w:p w14:paraId="1E22CEB4" w14:textId="77777777" w:rsidR="00761705" w:rsidRPr="00254044" w:rsidRDefault="00761705" w:rsidP="0062345A">
      <w:pPr>
        <w:spacing w:after="0" w:line="360" w:lineRule="auto"/>
        <w:jc w:val="both"/>
        <w:rPr>
          <w:rFonts w:ascii="Arial" w:hAnsi="Arial" w:cs="Arial"/>
          <w:sz w:val="22"/>
          <w:szCs w:val="22"/>
        </w:rPr>
      </w:pPr>
    </w:p>
    <w:p w14:paraId="38608677" w14:textId="77777777" w:rsidR="00761705" w:rsidRPr="00254044" w:rsidRDefault="00761705" w:rsidP="0062345A">
      <w:pPr>
        <w:spacing w:after="0" w:line="360" w:lineRule="auto"/>
        <w:jc w:val="both"/>
        <w:rPr>
          <w:rFonts w:ascii="Arial" w:hAnsi="Arial" w:cs="Arial"/>
          <w:sz w:val="22"/>
          <w:szCs w:val="22"/>
        </w:rPr>
      </w:pPr>
      <w:r w:rsidRPr="00254044">
        <w:rPr>
          <w:rFonts w:ascii="Arial" w:hAnsi="Arial" w:cs="Arial"/>
          <w:sz w:val="22"/>
          <w:szCs w:val="22"/>
        </w:rPr>
        <w:t>Situational leadership proposes that leaders adjust direction and support according to staff ability, willingness, task demands and context. Wang et al. (2024) describe diagnosis, flexibility and matching leadership behaviour to follower readiness as its core requirements. Leadership suitable for a stable patient may become unsafe when acuity rises. However, Graeff (1983) criticises conceptual ambiguity in the theory, especially the difficulty of judging staff “maturity” and prescribing the correct response. It is therefore more useful as a flexible guide than as a precise formula.</w:t>
      </w:r>
    </w:p>
    <w:p w14:paraId="6A13611D" w14:textId="77777777" w:rsidR="00761705" w:rsidRPr="00254044" w:rsidRDefault="00761705" w:rsidP="0062345A">
      <w:pPr>
        <w:spacing w:after="0" w:line="360" w:lineRule="auto"/>
        <w:jc w:val="both"/>
        <w:rPr>
          <w:rFonts w:ascii="Arial" w:hAnsi="Arial" w:cs="Arial"/>
          <w:sz w:val="22"/>
          <w:szCs w:val="22"/>
        </w:rPr>
      </w:pPr>
    </w:p>
    <w:p w14:paraId="0481863B" w14:textId="5C2C6F91" w:rsidR="00761705" w:rsidRPr="00254044" w:rsidRDefault="00761705" w:rsidP="0062345A">
      <w:pPr>
        <w:spacing w:after="0" w:line="360" w:lineRule="auto"/>
        <w:jc w:val="both"/>
        <w:rPr>
          <w:rFonts w:ascii="Arial" w:hAnsi="Arial" w:cs="Arial"/>
          <w:sz w:val="22"/>
          <w:szCs w:val="22"/>
        </w:rPr>
      </w:pPr>
      <w:r w:rsidRPr="00254044">
        <w:rPr>
          <w:rFonts w:ascii="Arial" w:hAnsi="Arial" w:cs="Arial"/>
          <w:sz w:val="22"/>
          <w:szCs w:val="22"/>
        </w:rPr>
        <w:t xml:space="preserve">Routine delegation may have been reasonable while Lewis was stable, provided staff were competent and supervised. Once his pain, urine output, observations and general condition worsened, leadership should have shifted towards direct senior assessment, tighter coordination, </w:t>
      </w:r>
      <w:r w:rsidRPr="00254044">
        <w:rPr>
          <w:rFonts w:ascii="Arial" w:hAnsi="Arial" w:cs="Arial"/>
          <w:sz w:val="22"/>
          <w:szCs w:val="22"/>
        </w:rPr>
        <w:lastRenderedPageBreak/>
        <w:t xml:space="preserve">explicit task allocation and crisis decision-making. Instead, the response remained dispersed and routine until cardiac arrest forced senior involvement. This was a major situational leadership failure: the clinical context changed, but the leadership response did not. Wang et al. (2024) also caution that application depends on subjective </w:t>
      </w:r>
      <w:r w:rsidR="001C4B0C">
        <w:rPr>
          <w:rFonts w:ascii="Arial" w:hAnsi="Arial" w:cs="Arial"/>
          <w:sz w:val="22"/>
          <w:szCs w:val="22"/>
        </w:rPr>
        <w:t>judgment,</w:t>
      </w:r>
      <w:r w:rsidRPr="00254044">
        <w:rPr>
          <w:rFonts w:ascii="Arial" w:hAnsi="Arial" w:cs="Arial"/>
          <w:sz w:val="22"/>
          <w:szCs w:val="22"/>
        </w:rPr>
        <w:t xml:space="preserve"> and that supporting studies often use weak reporting and insufficiently validated tools.</w:t>
      </w:r>
    </w:p>
    <w:p w14:paraId="78074019" w14:textId="77777777" w:rsidR="00761705" w:rsidRPr="00254044" w:rsidRDefault="00761705" w:rsidP="0062345A">
      <w:pPr>
        <w:spacing w:after="0" w:line="360" w:lineRule="auto"/>
        <w:jc w:val="both"/>
        <w:rPr>
          <w:rFonts w:ascii="Arial" w:hAnsi="Arial" w:cs="Arial"/>
          <w:sz w:val="22"/>
          <w:szCs w:val="22"/>
        </w:rPr>
      </w:pPr>
    </w:p>
    <w:p w14:paraId="493307E7" w14:textId="1F452490" w:rsidR="00761705" w:rsidRPr="00254044" w:rsidRDefault="00761705" w:rsidP="0062345A">
      <w:pPr>
        <w:spacing w:after="0" w:line="360" w:lineRule="auto"/>
        <w:jc w:val="both"/>
        <w:rPr>
          <w:rFonts w:ascii="Arial" w:hAnsi="Arial" w:cs="Arial"/>
          <w:sz w:val="22"/>
          <w:szCs w:val="22"/>
        </w:rPr>
      </w:pPr>
      <w:r w:rsidRPr="00254044">
        <w:rPr>
          <w:rFonts w:ascii="Arial" w:hAnsi="Arial" w:cs="Arial"/>
          <w:sz w:val="22"/>
          <w:szCs w:val="22"/>
        </w:rPr>
        <w:t xml:space="preserve">Distributed leadership is also essential because patient-safety information is held across professional and personal boundaries. Günzel-Jensen, Jain and Kjeldsen (2018) describe leadership as influence shared among multiple actors, but stress that formal leaders must enable participation. Carstensen, Kjeldsen and Nielsen (2024) similarly found that frontline leadership requires managerial support and clear coordination. Nurses, junior doctors, senior clinicians, managers, Lewis and his mother all held relevant information. Distribution does not mean equal clinical authority; it means a </w:t>
      </w:r>
      <w:r w:rsidR="00AD1FFE">
        <w:rPr>
          <w:rFonts w:ascii="Arial" w:hAnsi="Arial" w:cs="Arial"/>
          <w:sz w:val="22"/>
          <w:szCs w:val="22"/>
        </w:rPr>
        <w:t>recognized</w:t>
      </w:r>
      <w:r w:rsidRPr="00254044">
        <w:rPr>
          <w:rFonts w:ascii="Arial" w:hAnsi="Arial" w:cs="Arial"/>
          <w:sz w:val="22"/>
          <w:szCs w:val="22"/>
        </w:rPr>
        <w:t xml:space="preserve"> voice and accessible escalation route. This distinction matters because safe care requires both delegated initiative and visible accountability. Putra et al. (2025) link inclusive and transformational leadership with trust, open communication and psychological safety, although healthcare-specific evidence remains limited. Emotional intelligence and compassionate listening should therefore have treated Lewis’s mother’s concern as clinical intelligence rather than interference.</w:t>
      </w:r>
    </w:p>
    <w:p w14:paraId="45C2F678" w14:textId="77777777" w:rsidR="00761705" w:rsidRPr="00254044" w:rsidRDefault="00761705" w:rsidP="0062345A">
      <w:pPr>
        <w:spacing w:after="0" w:line="360" w:lineRule="auto"/>
        <w:jc w:val="both"/>
        <w:rPr>
          <w:rFonts w:ascii="Arial" w:hAnsi="Arial" w:cs="Arial"/>
          <w:sz w:val="22"/>
          <w:szCs w:val="22"/>
        </w:rPr>
      </w:pPr>
    </w:p>
    <w:p w14:paraId="470B24D1" w14:textId="27B941C9" w:rsidR="00BB26D9" w:rsidRPr="00254044" w:rsidRDefault="00761705" w:rsidP="0062345A">
      <w:pPr>
        <w:spacing w:after="0" w:line="360" w:lineRule="auto"/>
        <w:jc w:val="both"/>
        <w:rPr>
          <w:rFonts w:ascii="Arial" w:hAnsi="Arial" w:cs="Arial"/>
          <w:sz w:val="22"/>
          <w:szCs w:val="22"/>
        </w:rPr>
      </w:pPr>
      <w:r w:rsidRPr="00254044">
        <w:rPr>
          <w:rFonts w:ascii="Arial" w:hAnsi="Arial" w:cs="Arial"/>
          <w:sz w:val="22"/>
          <w:szCs w:val="22"/>
        </w:rPr>
        <w:t xml:space="preserve">Overall, a hybrid model is most defensible. Transformational leadership is needed to establish a shared safety culture; transactional leadership must secure compliance with medication, monitoring and escalation standards; situational leadership must intensify direction during deterioration; and distributed leadership must legitimise frontline, patient and family voices. This supports </w:t>
      </w:r>
      <w:proofErr w:type="spellStart"/>
      <w:r w:rsidRPr="00254044">
        <w:rPr>
          <w:rFonts w:ascii="Arial" w:hAnsi="Arial" w:cs="Arial"/>
          <w:sz w:val="22"/>
          <w:szCs w:val="22"/>
        </w:rPr>
        <w:t>Gruessner’s</w:t>
      </w:r>
      <w:proofErr w:type="spellEnd"/>
      <w:r w:rsidRPr="00254044">
        <w:rPr>
          <w:rFonts w:ascii="Arial" w:hAnsi="Arial" w:cs="Arial"/>
          <w:sz w:val="22"/>
          <w:szCs w:val="22"/>
        </w:rPr>
        <w:t xml:space="preserve"> (2023) argument that healthcare complexity requires complementary styles. Leadership in Lewis’s care was passive, fragmented and reactive: it became decisive only after cardiac arrest and strategically reformative only after his death</w:t>
      </w:r>
    </w:p>
    <w:p w14:paraId="2A17E229" w14:textId="525F291E" w:rsidR="000532A5" w:rsidRPr="00254044" w:rsidRDefault="0062345A" w:rsidP="0062345A">
      <w:pPr>
        <w:pStyle w:val="Heading1"/>
        <w:jc w:val="both"/>
        <w:rPr>
          <w:rFonts w:ascii="Arial" w:hAnsi="Arial" w:cs="Arial"/>
          <w:b/>
          <w:bCs/>
          <w:color w:val="auto"/>
          <w:sz w:val="24"/>
          <w:szCs w:val="24"/>
        </w:rPr>
      </w:pPr>
      <w:bookmarkStart w:id="4" w:name="_Toc236855887"/>
      <w:r w:rsidRPr="00254044">
        <w:rPr>
          <w:rFonts w:ascii="Arial" w:hAnsi="Arial" w:cs="Arial"/>
          <w:b/>
          <w:bCs/>
          <w:color w:val="auto"/>
          <w:sz w:val="24"/>
          <w:szCs w:val="24"/>
        </w:rPr>
        <w:t>IMPROVEMENT AND LESSONS LEARNED</w:t>
      </w:r>
      <w:bookmarkEnd w:id="4"/>
    </w:p>
    <w:p w14:paraId="714BFE48" w14:textId="5C7BB26D" w:rsidR="000532A5"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Lewis Blackman’s death generated both organisational and legal transformation. Organisationally, it stimulated changes in education, communication, staff identification</w:t>
      </w:r>
      <w:r w:rsidR="00B24E47">
        <w:rPr>
          <w:rFonts w:ascii="Arial" w:hAnsi="Arial" w:cs="Arial"/>
          <w:sz w:val="22"/>
          <w:szCs w:val="22"/>
        </w:rPr>
        <w:t>, and safety culture; legally, it prompted enforceable duties regarding transparency, senior medical access,</w:t>
      </w:r>
      <w:r w:rsidRPr="00254044">
        <w:rPr>
          <w:rFonts w:ascii="Arial" w:hAnsi="Arial" w:cs="Arial"/>
          <w:sz w:val="22"/>
          <w:szCs w:val="22"/>
        </w:rPr>
        <w:t xml:space="preserve"> and family escalation. This distinction matters because culture change depends on leadership, engagement and measurement, whereas legislation establishes minimum obligations. Clack, Smith</w:t>
      </w:r>
      <w:r w:rsidR="00812102">
        <w:rPr>
          <w:rFonts w:ascii="Arial" w:hAnsi="Arial" w:cs="Arial"/>
          <w:sz w:val="22"/>
          <w:szCs w:val="22"/>
        </w:rPr>
        <w:t xml:space="preserve">, and </w:t>
      </w:r>
      <w:proofErr w:type="spellStart"/>
      <w:r w:rsidR="00812102">
        <w:rPr>
          <w:rFonts w:ascii="Arial" w:hAnsi="Arial" w:cs="Arial"/>
          <w:sz w:val="22"/>
          <w:szCs w:val="22"/>
        </w:rPr>
        <w:lastRenderedPageBreak/>
        <w:t>Charns</w:t>
      </w:r>
      <w:proofErr w:type="spellEnd"/>
      <w:r w:rsidR="00812102">
        <w:rPr>
          <w:rFonts w:ascii="Arial" w:hAnsi="Arial" w:cs="Arial"/>
          <w:sz w:val="22"/>
          <w:szCs w:val="22"/>
        </w:rPr>
        <w:t xml:space="preserve"> (2026) nevertheless caution that healthcare transformation is often evaluated only weakly</w:t>
      </w:r>
      <w:r w:rsidRPr="00254044">
        <w:rPr>
          <w:rFonts w:ascii="Arial" w:hAnsi="Arial" w:cs="Arial"/>
          <w:sz w:val="22"/>
          <w:szCs w:val="22"/>
        </w:rPr>
        <w:t>, so reported change should not be mistaken for demonstrated improvement.</w:t>
      </w:r>
    </w:p>
    <w:p w14:paraId="0B6703A0" w14:textId="77777777" w:rsidR="000532A5" w:rsidRPr="00254044" w:rsidRDefault="000532A5" w:rsidP="0062345A">
      <w:pPr>
        <w:spacing w:after="0" w:line="360" w:lineRule="auto"/>
        <w:jc w:val="both"/>
        <w:rPr>
          <w:rFonts w:ascii="Arial" w:hAnsi="Arial" w:cs="Arial"/>
          <w:sz w:val="22"/>
          <w:szCs w:val="22"/>
        </w:rPr>
      </w:pPr>
    </w:p>
    <w:p w14:paraId="0A02C128" w14:textId="38BA031F" w:rsidR="000532A5"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 xml:space="preserve">Helen Haskell converted personal loss into sustained advocacy through Mothers Against Medical Error and wider diagnostic-safety work. Haskell et al. (2025) position patients as partners in diagnosis, while Chien et al. (2025) show how lived accounts </w:t>
      </w:r>
      <w:r w:rsidR="00812102">
        <w:rPr>
          <w:rFonts w:ascii="Arial" w:hAnsi="Arial" w:cs="Arial"/>
          <w:sz w:val="22"/>
          <w:szCs w:val="22"/>
        </w:rPr>
        <w:t>humanize</w:t>
      </w:r>
      <w:r w:rsidRPr="00254044">
        <w:rPr>
          <w:rFonts w:ascii="Arial" w:hAnsi="Arial" w:cs="Arial"/>
          <w:sz w:val="22"/>
          <w:szCs w:val="22"/>
        </w:rPr>
        <w:t xml:space="preserve"> policy failures and influence legislators. Her campaigning advanced transparency, informed consent and family escalation. However, relying on bereaved relatives is ethically problematic: healthcare systems should </w:t>
      </w:r>
      <w:r w:rsidR="00812102">
        <w:rPr>
          <w:rFonts w:ascii="Arial" w:hAnsi="Arial" w:cs="Arial"/>
          <w:sz w:val="22"/>
          <w:szCs w:val="22"/>
        </w:rPr>
        <w:t>routinely identify hazards rather than depend on families to have</w:t>
      </w:r>
      <w:r w:rsidRPr="00254044">
        <w:rPr>
          <w:rFonts w:ascii="Arial" w:hAnsi="Arial" w:cs="Arial"/>
          <w:sz w:val="22"/>
          <w:szCs w:val="22"/>
        </w:rPr>
        <w:t xml:space="preserve"> the confidence and resources to campaign.</w:t>
      </w:r>
    </w:p>
    <w:p w14:paraId="26B8DF91" w14:textId="77777777" w:rsidR="000532A5" w:rsidRPr="00254044" w:rsidRDefault="000532A5" w:rsidP="0062345A">
      <w:pPr>
        <w:spacing w:after="0" w:line="360" w:lineRule="auto"/>
        <w:jc w:val="both"/>
        <w:rPr>
          <w:rFonts w:ascii="Arial" w:hAnsi="Arial" w:cs="Arial"/>
          <w:sz w:val="22"/>
          <w:szCs w:val="22"/>
        </w:rPr>
      </w:pPr>
    </w:p>
    <w:p w14:paraId="1D6594D2" w14:textId="681CC0F7" w:rsidR="000532A5"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The Lewis Blackman Hospital Patient Safety Act became law in South Carolina on 8 June 2005</w:t>
      </w:r>
      <w:r w:rsidR="00777B06" w:rsidRPr="00254044">
        <w:t xml:space="preserve"> </w:t>
      </w:r>
      <w:r w:rsidR="00777B06" w:rsidRPr="00254044">
        <w:rPr>
          <w:rFonts w:ascii="Arial" w:hAnsi="Arial" w:cs="Arial"/>
          <w:sz w:val="22"/>
          <w:szCs w:val="22"/>
        </w:rPr>
        <w:t>(South Carolina General Assembly, 2005)</w:t>
      </w:r>
      <w:r w:rsidRPr="00254044">
        <w:rPr>
          <w:rFonts w:ascii="Arial" w:hAnsi="Arial" w:cs="Arial"/>
          <w:sz w:val="22"/>
          <w:szCs w:val="22"/>
        </w:rPr>
        <w:t xml:space="preserve">. It aimed to clarify who was providing care, establish </w:t>
      </w:r>
      <w:r w:rsidR="00812102">
        <w:rPr>
          <w:rFonts w:ascii="Arial" w:hAnsi="Arial" w:cs="Arial"/>
          <w:sz w:val="22"/>
          <w:szCs w:val="22"/>
        </w:rPr>
        <w:t>the attending physician's responsibility,</w:t>
      </w:r>
      <w:r w:rsidRPr="00254044">
        <w:rPr>
          <w:rFonts w:ascii="Arial" w:hAnsi="Arial" w:cs="Arial"/>
          <w:sz w:val="22"/>
          <w:szCs w:val="22"/>
        </w:rPr>
        <w:t xml:space="preserve"> and guarantee access to prompt assistance. The Act therefore converted failures exposed by one death into hospital-wide statutory duties. Yet legislation is only a foundation; </w:t>
      </w:r>
      <w:proofErr w:type="spellStart"/>
      <w:r w:rsidRPr="00254044">
        <w:rPr>
          <w:rFonts w:ascii="Arial" w:hAnsi="Arial" w:cs="Arial"/>
          <w:sz w:val="22"/>
          <w:szCs w:val="22"/>
        </w:rPr>
        <w:t>Auraaen</w:t>
      </w:r>
      <w:proofErr w:type="spellEnd"/>
      <w:r w:rsidRPr="00254044">
        <w:rPr>
          <w:rFonts w:ascii="Arial" w:hAnsi="Arial" w:cs="Arial"/>
          <w:sz w:val="22"/>
          <w:szCs w:val="22"/>
        </w:rPr>
        <w:t>, Saar</w:t>
      </w:r>
      <w:r w:rsidR="00812102">
        <w:rPr>
          <w:rFonts w:ascii="Arial" w:hAnsi="Arial" w:cs="Arial"/>
          <w:sz w:val="22"/>
          <w:szCs w:val="22"/>
        </w:rPr>
        <w:t xml:space="preserve">, and </w:t>
      </w:r>
      <w:proofErr w:type="spellStart"/>
      <w:r w:rsidR="00812102">
        <w:rPr>
          <w:rFonts w:ascii="Arial" w:hAnsi="Arial" w:cs="Arial"/>
          <w:sz w:val="22"/>
          <w:szCs w:val="22"/>
        </w:rPr>
        <w:t>Klazinga</w:t>
      </w:r>
      <w:proofErr w:type="spellEnd"/>
      <w:r w:rsidR="00812102">
        <w:rPr>
          <w:rFonts w:ascii="Arial" w:hAnsi="Arial" w:cs="Arial"/>
          <w:sz w:val="22"/>
          <w:szCs w:val="22"/>
        </w:rPr>
        <w:t xml:space="preserve"> (2020) argue that rules must align with monitoring, leadership, capacity building,</w:t>
      </w:r>
      <w:r w:rsidRPr="00254044">
        <w:rPr>
          <w:rFonts w:ascii="Arial" w:hAnsi="Arial" w:cs="Arial"/>
          <w:sz w:val="22"/>
          <w:szCs w:val="22"/>
        </w:rPr>
        <w:t xml:space="preserve"> and patient involvement to improve outcomes.</w:t>
      </w:r>
    </w:p>
    <w:p w14:paraId="5D0AF947" w14:textId="77777777" w:rsidR="000532A5" w:rsidRPr="00254044" w:rsidRDefault="000532A5" w:rsidP="0062345A">
      <w:pPr>
        <w:spacing w:after="0" w:line="360" w:lineRule="auto"/>
        <w:jc w:val="both"/>
        <w:rPr>
          <w:rFonts w:ascii="Arial" w:hAnsi="Arial" w:cs="Arial"/>
          <w:sz w:val="22"/>
          <w:szCs w:val="22"/>
        </w:rPr>
      </w:pPr>
    </w:p>
    <w:p w14:paraId="090A1374" w14:textId="2FC0FA8C" w:rsidR="000532A5"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The Act requires visible badges stating staff members’ names, departments</w:t>
      </w:r>
      <w:r w:rsidR="001C4B0C">
        <w:rPr>
          <w:rFonts w:ascii="Arial" w:hAnsi="Arial" w:cs="Arial"/>
          <w:sz w:val="22"/>
          <w:szCs w:val="22"/>
        </w:rPr>
        <w:t>,</w:t>
      </w:r>
      <w:r w:rsidRPr="00254044">
        <w:rPr>
          <w:rFonts w:ascii="Arial" w:hAnsi="Arial" w:cs="Arial"/>
          <w:sz w:val="22"/>
          <w:szCs w:val="22"/>
        </w:rPr>
        <w:t xml:space="preserve"> and professional or trainee roles in language understandable to the public. This directly addressed the family’s difficulty distinguishing residents from attending physicians. Identification is not merely administrative: it supports informed consent, clarifies authority and accountability, and reduces information asymmetry. Its effect remains limited, however, when patients do not understand professional roles or feel unable to question clinicians.</w:t>
      </w:r>
    </w:p>
    <w:p w14:paraId="629909E0" w14:textId="77777777" w:rsidR="000532A5" w:rsidRPr="00254044" w:rsidRDefault="000532A5" w:rsidP="0062345A">
      <w:pPr>
        <w:spacing w:after="0" w:line="360" w:lineRule="auto"/>
        <w:jc w:val="both"/>
        <w:rPr>
          <w:rFonts w:ascii="Arial" w:hAnsi="Arial" w:cs="Arial"/>
          <w:sz w:val="22"/>
          <w:szCs w:val="22"/>
        </w:rPr>
      </w:pPr>
    </w:p>
    <w:p w14:paraId="241CD42E" w14:textId="633E3E8B" w:rsidR="000532A5"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 xml:space="preserve">Patients must be told that the attending physician holds primary responsibility, and nurses must contact the attending physician or authorised designee when requested. This sought to establish clinical ownership and prevent deterioration remaining within an inadequately supervised junior hierarchy. Kern, Bynum and Pincus (2024) distinguish continuity from coordination: multiple clinicians are not inherently unsafe when they follow a coherent plan. In Lewis’s case, responsibility was dispersed without effective </w:t>
      </w:r>
      <w:r w:rsidR="00812102">
        <w:rPr>
          <w:rFonts w:ascii="Arial" w:hAnsi="Arial" w:cs="Arial"/>
          <w:sz w:val="22"/>
          <w:szCs w:val="22"/>
        </w:rPr>
        <w:t>coordination at the senior level</w:t>
      </w:r>
      <w:r w:rsidRPr="00254044">
        <w:rPr>
          <w:rFonts w:ascii="Arial" w:hAnsi="Arial" w:cs="Arial"/>
          <w:sz w:val="22"/>
          <w:szCs w:val="22"/>
        </w:rPr>
        <w:t>.</w:t>
      </w:r>
    </w:p>
    <w:p w14:paraId="0104C194" w14:textId="77777777" w:rsidR="000532A5" w:rsidRPr="00254044" w:rsidRDefault="000532A5" w:rsidP="0062345A">
      <w:pPr>
        <w:spacing w:after="0" w:line="360" w:lineRule="auto"/>
        <w:jc w:val="both"/>
        <w:rPr>
          <w:rFonts w:ascii="Arial" w:hAnsi="Arial" w:cs="Arial"/>
          <w:sz w:val="22"/>
          <w:szCs w:val="22"/>
        </w:rPr>
      </w:pPr>
    </w:p>
    <w:p w14:paraId="2E830E94" w14:textId="77777777" w:rsidR="000532A5"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 xml:space="preserve">Hospitals must also provide an always-available mechanism for prompt assistance with urgent care concerns. This creates an alternative route through authority gradients when staff dismiss </w:t>
      </w:r>
      <w:r w:rsidRPr="00254044">
        <w:rPr>
          <w:rFonts w:ascii="Arial" w:hAnsi="Arial" w:cs="Arial"/>
          <w:sz w:val="22"/>
          <w:szCs w:val="22"/>
        </w:rPr>
        <w:lastRenderedPageBreak/>
        <w:t>family observations and recognises relatives as sources of clinical intelligence. Nevertheless, poor publicity, inconsistent design, limited health literacy and fear of damaging staff relationships may suppress its use. Hibbert et al. (2023) therefore argue that patient engagement must be embedded within organisational policy, education and practice.</w:t>
      </w:r>
    </w:p>
    <w:p w14:paraId="74D30600" w14:textId="77777777" w:rsidR="000532A5" w:rsidRPr="00254044" w:rsidRDefault="000532A5" w:rsidP="0062345A">
      <w:pPr>
        <w:spacing w:after="0" w:line="360" w:lineRule="auto"/>
        <w:jc w:val="both"/>
        <w:rPr>
          <w:rFonts w:ascii="Arial" w:hAnsi="Arial" w:cs="Arial"/>
          <w:sz w:val="22"/>
          <w:szCs w:val="22"/>
        </w:rPr>
      </w:pPr>
    </w:p>
    <w:p w14:paraId="5E9A2938" w14:textId="2CCAA5AF" w:rsidR="000532A5"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Johnson, Haskell</w:t>
      </w:r>
      <w:r w:rsidR="00812102">
        <w:rPr>
          <w:rFonts w:ascii="Arial" w:hAnsi="Arial" w:cs="Arial"/>
          <w:sz w:val="22"/>
          <w:szCs w:val="22"/>
        </w:rPr>
        <w:t>, and Barach (2012) describe a broader post-case safety agenda at MUSC and across South Carolina, including simulation-based team training, patient safety education, clearer staff identification,</w:t>
      </w:r>
      <w:r w:rsidRPr="00254044">
        <w:rPr>
          <w:rFonts w:ascii="Arial" w:hAnsi="Arial" w:cs="Arial"/>
          <w:sz w:val="22"/>
          <w:szCs w:val="22"/>
        </w:rPr>
        <w:t xml:space="preserve"> and greater attention to communication with families. These represent educational transformation </w:t>
      </w:r>
      <w:r w:rsidR="00812102">
        <w:rPr>
          <w:rFonts w:ascii="Arial" w:hAnsi="Arial" w:cs="Arial"/>
          <w:sz w:val="22"/>
          <w:szCs w:val="22"/>
        </w:rPr>
        <w:t xml:space="preserve">through competence development </w:t>
      </w:r>
      <w:r w:rsidRPr="00254044">
        <w:rPr>
          <w:rFonts w:ascii="Arial" w:hAnsi="Arial" w:cs="Arial"/>
          <w:sz w:val="22"/>
          <w:szCs w:val="22"/>
        </w:rPr>
        <w:t xml:space="preserve">and cultural transformation by challenging assumptions about hierarchy and patient voice. Training alone is insufficient, however. Clack, Smith and </w:t>
      </w:r>
      <w:proofErr w:type="spellStart"/>
      <w:r w:rsidRPr="00254044">
        <w:rPr>
          <w:rFonts w:ascii="Arial" w:hAnsi="Arial" w:cs="Arial"/>
          <w:sz w:val="22"/>
          <w:szCs w:val="22"/>
        </w:rPr>
        <w:t>Charns</w:t>
      </w:r>
      <w:proofErr w:type="spellEnd"/>
      <w:r w:rsidRPr="00254044">
        <w:rPr>
          <w:rFonts w:ascii="Arial" w:hAnsi="Arial" w:cs="Arial"/>
          <w:sz w:val="22"/>
          <w:szCs w:val="22"/>
        </w:rPr>
        <w:t xml:space="preserve"> (2026) identify distributed leadership, staff engagement and culture as recurring features of successful transformation, while highlighting weak evidence about whether change is sustained.</w:t>
      </w:r>
    </w:p>
    <w:p w14:paraId="5B2C2B46" w14:textId="77777777" w:rsidR="000532A5" w:rsidRPr="00254044" w:rsidRDefault="000532A5" w:rsidP="0062345A">
      <w:pPr>
        <w:spacing w:after="0" w:line="360" w:lineRule="auto"/>
        <w:jc w:val="both"/>
        <w:rPr>
          <w:rFonts w:ascii="Arial" w:hAnsi="Arial" w:cs="Arial"/>
          <w:sz w:val="22"/>
          <w:szCs w:val="22"/>
        </w:rPr>
      </w:pPr>
    </w:p>
    <w:p w14:paraId="488505C7" w14:textId="076B745B" w:rsidR="000532A5"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Lewis’s tachycardia, pallor, anuria, falling temperature, abdominal signs and unobtainable blood pressure required structured recognition and mandatory escalation. Bell (2025) supports electronic early-warning scores and proactive rapid-response review, while NSW Health (2025) combines observation charts, defined calling criteria, emergency responses, education and family escalation. These systems might have triggered earlier senior assessment. However, scores cannot protect patients when observations are inaccurate, trends are undocumented, staff are unavailable</w:t>
      </w:r>
      <w:r w:rsidR="00812102">
        <w:rPr>
          <w:rFonts w:ascii="Arial" w:hAnsi="Arial" w:cs="Arial"/>
          <w:sz w:val="22"/>
          <w:szCs w:val="22"/>
        </w:rPr>
        <w:t>,</w:t>
      </w:r>
      <w:r w:rsidRPr="00254044">
        <w:rPr>
          <w:rFonts w:ascii="Arial" w:hAnsi="Arial" w:cs="Arial"/>
          <w:sz w:val="22"/>
          <w:szCs w:val="22"/>
        </w:rPr>
        <w:t xml:space="preserve"> or clinicians override escalation triggers.</w:t>
      </w:r>
    </w:p>
    <w:p w14:paraId="323B8BF8" w14:textId="77777777" w:rsidR="000532A5" w:rsidRPr="00254044" w:rsidRDefault="000532A5" w:rsidP="0062345A">
      <w:pPr>
        <w:spacing w:after="0" w:line="360" w:lineRule="auto"/>
        <w:jc w:val="both"/>
        <w:rPr>
          <w:rFonts w:ascii="Arial" w:hAnsi="Arial" w:cs="Arial"/>
          <w:sz w:val="22"/>
          <w:szCs w:val="22"/>
        </w:rPr>
      </w:pPr>
    </w:p>
    <w:p w14:paraId="3175796B" w14:textId="713A35F5" w:rsidR="000532A5"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Communication improvements should include structured handover, multidisciplinary safety huddles, shared care plans, named clinical ownership and review of vital-sign trends. Kern, Bynum and Pincus (2024) argue that coordination requires clinicians to work collectively around an overall plan. Singh, Connor and Dhaliwal (2022) similarly support interprofessional huddles that reduce hierarchy and combine information from professionals, patients and families. In Lewis’s case, these processes could have connected his changing observations, medication exposure</w:t>
      </w:r>
      <w:r w:rsidR="00812102">
        <w:rPr>
          <w:rFonts w:ascii="Arial" w:hAnsi="Arial" w:cs="Arial"/>
          <w:sz w:val="22"/>
          <w:szCs w:val="22"/>
        </w:rPr>
        <w:t>, and family concerns, rather than</w:t>
      </w:r>
      <w:r w:rsidRPr="00254044">
        <w:rPr>
          <w:rFonts w:ascii="Arial" w:hAnsi="Arial" w:cs="Arial"/>
          <w:sz w:val="22"/>
          <w:szCs w:val="22"/>
        </w:rPr>
        <w:t xml:space="preserve"> allowing each clinician to interpret isolated fragments.</w:t>
      </w:r>
    </w:p>
    <w:p w14:paraId="02BFCCED" w14:textId="77777777" w:rsidR="000532A5" w:rsidRPr="00254044" w:rsidRDefault="000532A5" w:rsidP="0062345A">
      <w:pPr>
        <w:spacing w:after="0" w:line="360" w:lineRule="auto"/>
        <w:jc w:val="both"/>
        <w:rPr>
          <w:rFonts w:ascii="Arial" w:hAnsi="Arial" w:cs="Arial"/>
          <w:sz w:val="22"/>
          <w:szCs w:val="22"/>
        </w:rPr>
      </w:pPr>
    </w:p>
    <w:p w14:paraId="1325456A" w14:textId="325B1A2F" w:rsidR="000532A5"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The persistent diagnosis of ileus illustrates anchoring, premature closure</w:t>
      </w:r>
      <w:r w:rsidR="001C4B0C">
        <w:rPr>
          <w:rFonts w:ascii="Arial" w:hAnsi="Arial" w:cs="Arial"/>
          <w:sz w:val="22"/>
          <w:szCs w:val="22"/>
        </w:rPr>
        <w:t>,</w:t>
      </w:r>
      <w:r w:rsidRPr="00254044">
        <w:rPr>
          <w:rFonts w:ascii="Arial" w:hAnsi="Arial" w:cs="Arial"/>
          <w:sz w:val="22"/>
          <w:szCs w:val="22"/>
        </w:rPr>
        <w:t xml:space="preserve"> and belief perseverance. Webster, Taylor</w:t>
      </w:r>
      <w:r w:rsidR="00812102">
        <w:rPr>
          <w:rFonts w:ascii="Arial" w:hAnsi="Arial" w:cs="Arial"/>
          <w:sz w:val="22"/>
          <w:szCs w:val="22"/>
        </w:rPr>
        <w:t xml:space="preserve">, and Weller (2021) find mixed evidence for self-checking, as an imperfect cognitive system is </w:t>
      </w:r>
      <w:r w:rsidRPr="00254044">
        <w:rPr>
          <w:rFonts w:ascii="Arial" w:hAnsi="Arial" w:cs="Arial"/>
          <w:sz w:val="22"/>
          <w:szCs w:val="22"/>
        </w:rPr>
        <w:t xml:space="preserve">asked to correct itself. Doherty and Carroll (2020) support guided reflection, consideration of alternatives and simulation, but acknowledge measurement </w:t>
      </w:r>
      <w:r w:rsidRPr="00254044">
        <w:rPr>
          <w:rFonts w:ascii="Arial" w:hAnsi="Arial" w:cs="Arial"/>
          <w:sz w:val="22"/>
          <w:szCs w:val="22"/>
        </w:rPr>
        <w:lastRenderedPageBreak/>
        <w:t>limitations. Cognitive-unmooring questions should therefore be reinforced by second opinions, mandatory review triggers, team reasoning and clinical decision-support tools.</w:t>
      </w:r>
    </w:p>
    <w:p w14:paraId="17E4B886" w14:textId="77777777" w:rsidR="000532A5" w:rsidRPr="00254044" w:rsidRDefault="000532A5" w:rsidP="0062345A">
      <w:pPr>
        <w:spacing w:after="0" w:line="360" w:lineRule="auto"/>
        <w:jc w:val="both"/>
        <w:rPr>
          <w:rFonts w:ascii="Arial" w:hAnsi="Arial" w:cs="Arial"/>
          <w:sz w:val="22"/>
          <w:szCs w:val="22"/>
        </w:rPr>
      </w:pPr>
    </w:p>
    <w:p w14:paraId="3C879BF6" w14:textId="0C7A00F6" w:rsidR="000532A5"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 xml:space="preserve">Psychological safety determines whether concern becomes action. Vu et al. (2025) found that </w:t>
      </w:r>
      <w:r w:rsidR="00AD1FFE">
        <w:rPr>
          <w:rFonts w:ascii="Arial" w:hAnsi="Arial" w:cs="Arial"/>
          <w:sz w:val="22"/>
          <w:szCs w:val="22"/>
        </w:rPr>
        <w:t xml:space="preserve">combining e-learning and simulation improved speaking up, teamwork, and </w:t>
      </w:r>
      <w:r w:rsidR="00812102">
        <w:rPr>
          <w:rFonts w:ascii="Arial" w:hAnsi="Arial" w:cs="Arial"/>
          <w:sz w:val="22"/>
          <w:szCs w:val="22"/>
        </w:rPr>
        <w:t>use of cognitive aids</w:t>
      </w:r>
      <w:r w:rsidR="00AD1FFE">
        <w:rPr>
          <w:rFonts w:ascii="Arial" w:hAnsi="Arial" w:cs="Arial"/>
          <w:sz w:val="22"/>
          <w:szCs w:val="22"/>
        </w:rPr>
        <w:t>, although leadership commitment was essential and implementation faced cultural, financial,</w:t>
      </w:r>
      <w:r w:rsidRPr="00254044">
        <w:rPr>
          <w:rFonts w:ascii="Arial" w:hAnsi="Arial" w:cs="Arial"/>
          <w:sz w:val="22"/>
          <w:szCs w:val="22"/>
        </w:rPr>
        <w:t xml:space="preserve"> and logistical barriers. In Lewis’s </w:t>
      </w:r>
      <w:r w:rsidR="00AD1FFE">
        <w:rPr>
          <w:rFonts w:ascii="Arial" w:hAnsi="Arial" w:cs="Arial"/>
          <w:sz w:val="22"/>
          <w:szCs w:val="22"/>
        </w:rPr>
        <w:t>case</w:t>
      </w:r>
      <w:r w:rsidRPr="00254044">
        <w:rPr>
          <w:rFonts w:ascii="Arial" w:hAnsi="Arial" w:cs="Arial"/>
          <w:sz w:val="22"/>
          <w:szCs w:val="22"/>
        </w:rPr>
        <w:t>, nurses and junior clinicians needed confidence to challenge prevailing assumptions and seek senior review. Psychological safety should also include families, whose escalation must not be treated as disloyalty, criticism</w:t>
      </w:r>
      <w:r w:rsidR="00812102">
        <w:rPr>
          <w:rFonts w:ascii="Arial" w:hAnsi="Arial" w:cs="Arial"/>
          <w:sz w:val="22"/>
          <w:szCs w:val="22"/>
        </w:rPr>
        <w:t>,</w:t>
      </w:r>
      <w:r w:rsidRPr="00254044">
        <w:rPr>
          <w:rFonts w:ascii="Arial" w:hAnsi="Arial" w:cs="Arial"/>
          <w:sz w:val="22"/>
          <w:szCs w:val="22"/>
        </w:rPr>
        <w:t xml:space="preserve"> or interference.</w:t>
      </w:r>
    </w:p>
    <w:p w14:paraId="3976F772" w14:textId="77777777" w:rsidR="000532A5" w:rsidRPr="00254044" w:rsidRDefault="000532A5" w:rsidP="0062345A">
      <w:pPr>
        <w:spacing w:after="0" w:line="360" w:lineRule="auto"/>
        <w:jc w:val="both"/>
        <w:rPr>
          <w:rFonts w:ascii="Arial" w:hAnsi="Arial" w:cs="Arial"/>
          <w:sz w:val="22"/>
          <w:szCs w:val="22"/>
        </w:rPr>
      </w:pPr>
    </w:p>
    <w:p w14:paraId="23FFAA68" w14:textId="51C8C34E" w:rsidR="000532A5"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 xml:space="preserve">Sustainable improvement requires governance </w:t>
      </w:r>
      <w:r w:rsidR="00AD1FFE">
        <w:rPr>
          <w:rFonts w:ascii="Arial" w:hAnsi="Arial" w:cs="Arial"/>
          <w:sz w:val="22"/>
          <w:szCs w:val="22"/>
        </w:rPr>
        <w:t>that connects incident reporting, board oversight, escalation audits, medication review, mortality review,</w:t>
      </w:r>
      <w:r w:rsidRPr="00254044">
        <w:rPr>
          <w:rFonts w:ascii="Arial" w:hAnsi="Arial" w:cs="Arial"/>
          <w:sz w:val="22"/>
          <w:szCs w:val="22"/>
        </w:rPr>
        <w:t xml:space="preserve"> and transparent safety indicators. Ahmed et al. (2025) found that governance influenced patient safety partly through teamwork and continuous improvement, while Hibbert et al. (2023) identified safety culture, implementation processes, staff support and patient engagement as interdependent</w:t>
      </w:r>
    </w:p>
    <w:p w14:paraId="22391107" w14:textId="77777777" w:rsidR="000532A5" w:rsidRPr="00254044" w:rsidRDefault="000532A5" w:rsidP="0062345A">
      <w:pPr>
        <w:spacing w:after="0" w:line="360" w:lineRule="auto"/>
        <w:jc w:val="both"/>
        <w:rPr>
          <w:rFonts w:ascii="Arial" w:hAnsi="Arial" w:cs="Arial"/>
          <w:sz w:val="22"/>
          <w:szCs w:val="22"/>
        </w:rPr>
      </w:pPr>
    </w:p>
    <w:p w14:paraId="727EBA4D" w14:textId="4CB7E55D" w:rsidR="00633282" w:rsidRPr="00254044" w:rsidRDefault="000532A5" w:rsidP="0062345A">
      <w:pPr>
        <w:spacing w:after="0" w:line="360" w:lineRule="auto"/>
        <w:jc w:val="both"/>
        <w:rPr>
          <w:rFonts w:ascii="Arial" w:hAnsi="Arial" w:cs="Arial"/>
          <w:sz w:val="22"/>
          <w:szCs w:val="22"/>
        </w:rPr>
      </w:pPr>
      <w:r w:rsidRPr="00254044">
        <w:rPr>
          <w:rFonts w:ascii="Arial" w:hAnsi="Arial" w:cs="Arial"/>
          <w:sz w:val="22"/>
          <w:szCs w:val="22"/>
        </w:rPr>
        <w:t>Neither the Act nor hospital initiatives automatically secured adequate staffing, medication surveillance, early-warning systems, weekend senior cover, timely escalation or psychological safety. Policies become symbolic when they are underfunded, poorly understood or unaudited. Lewis’s death therefore shows that patient safety depends on the interaction of law, accountable leadership, professional competence, reliable communication, family participation, organisational culture and measurable implementation. Reform is credible only when organisations demonstrate that these elements operate consistently during real clinical deterioration</w:t>
      </w:r>
    </w:p>
    <w:p w14:paraId="164C73CB" w14:textId="099533F7" w:rsidR="002C00C8" w:rsidRPr="00254044" w:rsidRDefault="0062345A" w:rsidP="0062345A">
      <w:pPr>
        <w:pStyle w:val="Heading1"/>
        <w:jc w:val="both"/>
        <w:rPr>
          <w:rFonts w:ascii="Arial" w:hAnsi="Arial" w:cs="Arial"/>
          <w:b/>
          <w:bCs/>
          <w:color w:val="auto"/>
          <w:sz w:val="24"/>
          <w:szCs w:val="24"/>
        </w:rPr>
      </w:pPr>
      <w:bookmarkStart w:id="5" w:name="_Toc236855888"/>
      <w:r w:rsidRPr="00254044">
        <w:rPr>
          <w:rFonts w:ascii="Arial" w:hAnsi="Arial" w:cs="Arial"/>
          <w:b/>
          <w:bCs/>
          <w:color w:val="auto"/>
          <w:sz w:val="24"/>
          <w:szCs w:val="24"/>
        </w:rPr>
        <w:t>RECOMMENDATIONS</w:t>
      </w:r>
      <w:bookmarkEnd w:id="5"/>
    </w:p>
    <w:p w14:paraId="2248458E" w14:textId="0DAFA8BF" w:rsidR="000C4F0F" w:rsidRPr="00254044" w:rsidRDefault="000C4F0F" w:rsidP="0062345A">
      <w:pPr>
        <w:spacing w:after="0" w:line="360" w:lineRule="auto"/>
        <w:jc w:val="both"/>
        <w:rPr>
          <w:rFonts w:ascii="Arial" w:hAnsi="Arial" w:cs="Arial"/>
          <w:sz w:val="22"/>
          <w:szCs w:val="22"/>
        </w:rPr>
      </w:pPr>
      <w:r w:rsidRPr="00254044">
        <w:rPr>
          <w:rFonts w:ascii="Arial" w:hAnsi="Arial" w:cs="Arial"/>
          <w:sz w:val="22"/>
          <w:szCs w:val="22"/>
        </w:rPr>
        <w:t xml:space="preserve">The recommended strategy should integrate transformational, transactional, situational and distributed leadership because the failures in Lewis Blackman’s care involved culture, accountability, clinical </w:t>
      </w:r>
      <w:r w:rsidR="00AD1FFE">
        <w:rPr>
          <w:rFonts w:ascii="Arial" w:hAnsi="Arial" w:cs="Arial"/>
          <w:sz w:val="22"/>
          <w:szCs w:val="22"/>
        </w:rPr>
        <w:t>judgment</w:t>
      </w:r>
      <w:r w:rsidRPr="00254044">
        <w:rPr>
          <w:rFonts w:ascii="Arial" w:hAnsi="Arial" w:cs="Arial"/>
          <w:sz w:val="22"/>
          <w:szCs w:val="22"/>
        </w:rPr>
        <w:t xml:space="preserve"> and fragmented responsibility. McCleskey (2014) cautions that no leadership style is universally effective. Transformational leadership should establish a shared safety vision; transactional leadership should enforce escalation standards; and situational leadership should adapt responses to clinical urgency. Although McCleskey (2014) does not examine distributed leadership, Ahmed et al. (2025) and Lin et al. (2022) support its application through teamwork, shared problem-solving and frontline participation in safety improvement. </w:t>
      </w:r>
    </w:p>
    <w:p w14:paraId="54BE5775" w14:textId="77777777" w:rsidR="003C7228" w:rsidRPr="00254044" w:rsidRDefault="003C7228" w:rsidP="0062345A">
      <w:pPr>
        <w:spacing w:after="0" w:line="360" w:lineRule="auto"/>
        <w:jc w:val="both"/>
        <w:rPr>
          <w:rFonts w:ascii="Arial" w:hAnsi="Arial" w:cs="Arial"/>
          <w:sz w:val="22"/>
          <w:szCs w:val="22"/>
        </w:rPr>
      </w:pPr>
    </w:p>
    <w:p w14:paraId="49A120AB" w14:textId="44C00E95" w:rsidR="000C4F0F" w:rsidRPr="00254044" w:rsidRDefault="000C4F0F" w:rsidP="0062345A">
      <w:pPr>
        <w:spacing w:after="0" w:line="360" w:lineRule="auto"/>
        <w:jc w:val="both"/>
        <w:rPr>
          <w:rFonts w:ascii="Arial" w:hAnsi="Arial" w:cs="Arial"/>
          <w:sz w:val="22"/>
          <w:szCs w:val="22"/>
        </w:rPr>
      </w:pPr>
      <w:r w:rsidRPr="00254044">
        <w:rPr>
          <w:rFonts w:ascii="Arial" w:hAnsi="Arial" w:cs="Arial"/>
          <w:sz w:val="22"/>
          <w:szCs w:val="22"/>
        </w:rPr>
        <w:lastRenderedPageBreak/>
        <w:t xml:space="preserve">Hospitals should introduce clear deterioration criteria linked to automatic escalation, guaranteed attending-physician review and defined response times, with emergency triggers requiring immediate review and urgent deterioration reviewed within 30 minutes. The bedside nurse should initiate and record </w:t>
      </w:r>
      <w:r w:rsidR="00AD1FFE">
        <w:rPr>
          <w:rFonts w:ascii="Arial" w:hAnsi="Arial" w:cs="Arial"/>
          <w:sz w:val="22"/>
          <w:szCs w:val="22"/>
        </w:rPr>
        <w:t>the escalation; the rapid-response or senior team should receive it;</w:t>
      </w:r>
      <w:r w:rsidRPr="00254044">
        <w:rPr>
          <w:rFonts w:ascii="Arial" w:hAnsi="Arial" w:cs="Arial"/>
          <w:sz w:val="22"/>
          <w:szCs w:val="22"/>
        </w:rPr>
        <w:t xml:space="preserve"> and the attending physician should document the assessment and treatment decision. McKinney et al. (2019) demonstrate that early-warning systems can still fail </w:t>
      </w:r>
      <w:r w:rsidR="00AD1FFE">
        <w:rPr>
          <w:rFonts w:ascii="Arial" w:hAnsi="Arial" w:cs="Arial"/>
          <w:sz w:val="22"/>
          <w:szCs w:val="22"/>
        </w:rPr>
        <w:t>due to incorrect scoring, protocol non-adherence, workload pressures,</w:t>
      </w:r>
      <w:r w:rsidRPr="00254044">
        <w:rPr>
          <w:rFonts w:ascii="Arial" w:hAnsi="Arial" w:cs="Arial"/>
          <w:sz w:val="22"/>
          <w:szCs w:val="22"/>
        </w:rPr>
        <w:t xml:space="preserve"> and hierarchy. Compliance should therefore be measured through response-time dashboards, record audits and investigation of every delayed or missed escalation. </w:t>
      </w:r>
    </w:p>
    <w:p w14:paraId="6EE73B73" w14:textId="77777777" w:rsidR="003C7228" w:rsidRPr="00254044" w:rsidRDefault="003C7228" w:rsidP="0062345A">
      <w:pPr>
        <w:spacing w:after="0" w:line="360" w:lineRule="auto"/>
        <w:jc w:val="both"/>
        <w:rPr>
          <w:rFonts w:ascii="Arial" w:hAnsi="Arial" w:cs="Arial"/>
          <w:sz w:val="22"/>
          <w:szCs w:val="22"/>
        </w:rPr>
      </w:pPr>
    </w:p>
    <w:p w14:paraId="456F0FEB" w14:textId="7E6F11C0" w:rsidR="000C4F0F" w:rsidRPr="00254044" w:rsidRDefault="000C4F0F" w:rsidP="0062345A">
      <w:pPr>
        <w:spacing w:after="0" w:line="360" w:lineRule="auto"/>
        <w:jc w:val="both"/>
        <w:rPr>
          <w:rFonts w:ascii="Arial" w:hAnsi="Arial" w:cs="Arial"/>
          <w:sz w:val="22"/>
          <w:szCs w:val="22"/>
        </w:rPr>
      </w:pPr>
      <w:r w:rsidRPr="00254044">
        <w:rPr>
          <w:rFonts w:ascii="Arial" w:hAnsi="Arial" w:cs="Arial"/>
          <w:sz w:val="22"/>
          <w:szCs w:val="22"/>
        </w:rPr>
        <w:t xml:space="preserve">Patients and relatives should have access to a clearly advertised rapid-response number, written and verbal instructions, visible staff identification and formal protection from dismissive treatment. McKinney et al. (2019) recognise families as important detectors of deterioration but also identify limited evidence, uneven awareness and calls concerning non-safety matters. Implementation should therefore include public education and appropriate triage rather than </w:t>
      </w:r>
      <w:r w:rsidR="001C4B0C">
        <w:rPr>
          <w:rFonts w:ascii="Arial" w:hAnsi="Arial" w:cs="Arial"/>
          <w:sz w:val="22"/>
          <w:szCs w:val="22"/>
        </w:rPr>
        <w:t>assuming</w:t>
      </w:r>
      <w:r w:rsidRPr="00254044">
        <w:rPr>
          <w:rFonts w:ascii="Arial" w:hAnsi="Arial" w:cs="Arial"/>
          <w:sz w:val="22"/>
          <w:szCs w:val="22"/>
        </w:rPr>
        <w:t xml:space="preserve"> every call requires the same response. Audits should examine call numbers, reasons, response times, clinical outcomes, complaints and staff conduct, distinguishing inappropriate activation from legitimate concerns overlooked by professionals. </w:t>
      </w:r>
    </w:p>
    <w:p w14:paraId="40C73409" w14:textId="77777777" w:rsidR="003C7228" w:rsidRPr="00254044" w:rsidRDefault="003C7228" w:rsidP="0062345A">
      <w:pPr>
        <w:spacing w:after="0" w:line="360" w:lineRule="auto"/>
        <w:jc w:val="both"/>
        <w:rPr>
          <w:rFonts w:ascii="Arial" w:hAnsi="Arial" w:cs="Arial"/>
          <w:sz w:val="22"/>
          <w:szCs w:val="22"/>
        </w:rPr>
      </w:pPr>
    </w:p>
    <w:p w14:paraId="50C2955E" w14:textId="13F29046" w:rsidR="000C4F0F" w:rsidRPr="00254044" w:rsidRDefault="000C4F0F" w:rsidP="0062345A">
      <w:pPr>
        <w:spacing w:after="0" w:line="360" w:lineRule="auto"/>
        <w:jc w:val="both"/>
        <w:rPr>
          <w:rFonts w:ascii="Arial" w:hAnsi="Arial" w:cs="Arial"/>
          <w:sz w:val="22"/>
          <w:szCs w:val="22"/>
        </w:rPr>
      </w:pPr>
      <w:r w:rsidRPr="00254044">
        <w:rPr>
          <w:rFonts w:ascii="Arial" w:hAnsi="Arial" w:cs="Arial"/>
          <w:sz w:val="22"/>
          <w:szCs w:val="22"/>
        </w:rPr>
        <w:t xml:space="preserve">Each patient should have one named senior clinician accountable for overall coordination, supported by </w:t>
      </w:r>
      <w:r w:rsidR="003C7228" w:rsidRPr="00254044">
        <w:rPr>
          <w:rFonts w:ascii="Arial" w:hAnsi="Arial" w:cs="Arial"/>
          <w:sz w:val="22"/>
          <w:szCs w:val="22"/>
        </w:rPr>
        <w:t>Situation, Background, Assessment, and Recommendation (</w:t>
      </w:r>
      <w:r w:rsidRPr="00254044">
        <w:rPr>
          <w:rFonts w:ascii="Arial" w:hAnsi="Arial" w:cs="Arial"/>
          <w:sz w:val="22"/>
          <w:szCs w:val="22"/>
        </w:rPr>
        <w:t>SBAR</w:t>
      </w:r>
      <w:r w:rsidR="003C7228" w:rsidRPr="00254044">
        <w:rPr>
          <w:rFonts w:ascii="Arial" w:hAnsi="Arial" w:cs="Arial"/>
          <w:sz w:val="22"/>
          <w:szCs w:val="22"/>
        </w:rPr>
        <w:t>)</w:t>
      </w:r>
      <w:r w:rsidRPr="00254044">
        <w:rPr>
          <w:rFonts w:ascii="Arial" w:hAnsi="Arial" w:cs="Arial"/>
          <w:sz w:val="22"/>
          <w:szCs w:val="22"/>
        </w:rPr>
        <w:t xml:space="preserve"> handovers, multidisciplinary safety huddles and shared review of abnormal observations, investigations and medication risks. Ghosh, Ramamoorthy and </w:t>
      </w:r>
      <w:r w:rsidR="00AD1FFE" w:rsidRPr="00254044">
        <w:rPr>
          <w:rFonts w:ascii="Arial" w:hAnsi="Arial" w:cs="Arial"/>
          <w:sz w:val="22"/>
          <w:szCs w:val="22"/>
        </w:rPr>
        <w:t xml:space="preserve">Pott </w:t>
      </w:r>
      <w:r w:rsidR="00AD1FFE">
        <w:rPr>
          <w:rFonts w:ascii="Arial" w:hAnsi="Arial" w:cs="Arial"/>
          <w:sz w:val="22"/>
          <w:szCs w:val="22"/>
        </w:rPr>
        <w:t>Kat</w:t>
      </w:r>
      <w:r w:rsidRPr="00254044">
        <w:rPr>
          <w:rFonts w:ascii="Arial" w:hAnsi="Arial" w:cs="Arial"/>
          <w:sz w:val="22"/>
          <w:szCs w:val="22"/>
        </w:rPr>
        <w:t xml:space="preserve"> (2021) found improved handover quality and patient satisfaction after SBAR implementation, although their single-ward design limits generalisability. Lin et al. (2022) similarly found that huddles strengthened problem-solving and accountability, but low attendance and retrospective evaluation weaken causal conclusions. These interventions should therefore be piloted and audited rather than adopted uncritically. </w:t>
      </w:r>
    </w:p>
    <w:p w14:paraId="43248F87" w14:textId="77777777" w:rsidR="003C7228" w:rsidRPr="00254044" w:rsidRDefault="003C7228" w:rsidP="0062345A">
      <w:pPr>
        <w:spacing w:after="0" w:line="360" w:lineRule="auto"/>
        <w:jc w:val="both"/>
        <w:rPr>
          <w:rFonts w:ascii="Arial" w:hAnsi="Arial" w:cs="Arial"/>
          <w:sz w:val="22"/>
          <w:szCs w:val="22"/>
        </w:rPr>
      </w:pPr>
    </w:p>
    <w:p w14:paraId="53E91FAC" w14:textId="544608FE" w:rsidR="000C4F0F" w:rsidRPr="00254044" w:rsidRDefault="000C4F0F" w:rsidP="0062345A">
      <w:pPr>
        <w:spacing w:after="0" w:line="360" w:lineRule="auto"/>
        <w:jc w:val="both"/>
        <w:rPr>
          <w:rFonts w:ascii="Arial" w:hAnsi="Arial" w:cs="Arial"/>
          <w:sz w:val="22"/>
          <w:szCs w:val="22"/>
        </w:rPr>
      </w:pPr>
      <w:r w:rsidRPr="00254044">
        <w:rPr>
          <w:rFonts w:ascii="Arial" w:hAnsi="Arial" w:cs="Arial"/>
          <w:sz w:val="22"/>
          <w:szCs w:val="22"/>
        </w:rPr>
        <w:t xml:space="preserve">Medication safeguards should include admission and postoperative risk assessment, pharmacist review of high-risk medicines, electronic decision-support alerts and mandatory documentation before alarms are silenced or monitoring parameters altered. Unreadable or seriously abnormal vital signs should trigger reassessment and escalation. Otero et al. (2025) identify opioids as high-risk </w:t>
      </w:r>
      <w:proofErr w:type="spellStart"/>
      <w:r w:rsidR="00AD1FFE">
        <w:rPr>
          <w:rFonts w:ascii="Arial" w:hAnsi="Arial" w:cs="Arial"/>
          <w:sz w:val="22"/>
          <w:szCs w:val="22"/>
        </w:rPr>
        <w:t>pediatric</w:t>
      </w:r>
      <w:proofErr w:type="spellEnd"/>
      <w:r w:rsidRPr="00254044">
        <w:rPr>
          <w:rFonts w:ascii="Arial" w:hAnsi="Arial" w:cs="Arial"/>
          <w:sz w:val="22"/>
          <w:szCs w:val="22"/>
        </w:rPr>
        <w:t xml:space="preserve"> medicines and recommend multidisciplinary safeguards across prescribing, administration and monitoring, while NHS England (2025) supports prescribing leads, electronic </w:t>
      </w:r>
      <w:r w:rsidRPr="00254044">
        <w:rPr>
          <w:rFonts w:ascii="Arial" w:hAnsi="Arial" w:cs="Arial"/>
          <w:sz w:val="22"/>
          <w:szCs w:val="22"/>
        </w:rPr>
        <w:lastRenderedPageBreak/>
        <w:t xml:space="preserve">systems, audit and incident learning. However, alert fatigue requires </w:t>
      </w:r>
      <w:r w:rsidR="00676622">
        <w:rPr>
          <w:rFonts w:ascii="Arial" w:hAnsi="Arial" w:cs="Arial"/>
          <w:sz w:val="22"/>
          <w:szCs w:val="22"/>
        </w:rPr>
        <w:t>prioritized warnings and continued professional judgment</w:t>
      </w:r>
      <w:r w:rsidRPr="00254044">
        <w:rPr>
          <w:rFonts w:ascii="Arial" w:hAnsi="Arial" w:cs="Arial"/>
          <w:sz w:val="22"/>
          <w:szCs w:val="22"/>
        </w:rPr>
        <w:t xml:space="preserve"> rather than dependence on technology alone. </w:t>
      </w:r>
    </w:p>
    <w:p w14:paraId="457DE983" w14:textId="77777777" w:rsidR="003C7228" w:rsidRPr="00254044" w:rsidRDefault="003C7228" w:rsidP="0062345A">
      <w:pPr>
        <w:spacing w:after="0" w:line="360" w:lineRule="auto"/>
        <w:jc w:val="both"/>
        <w:rPr>
          <w:rFonts w:ascii="Arial" w:hAnsi="Arial" w:cs="Arial"/>
          <w:sz w:val="22"/>
          <w:szCs w:val="22"/>
        </w:rPr>
      </w:pPr>
    </w:p>
    <w:p w14:paraId="3170F23C" w14:textId="2339A5A1" w:rsidR="000C4F0F" w:rsidRPr="00254044" w:rsidRDefault="000C4F0F" w:rsidP="0062345A">
      <w:pPr>
        <w:spacing w:after="0" w:line="360" w:lineRule="auto"/>
        <w:jc w:val="both"/>
        <w:rPr>
          <w:rFonts w:ascii="Arial" w:hAnsi="Arial" w:cs="Arial"/>
          <w:sz w:val="22"/>
          <w:szCs w:val="22"/>
        </w:rPr>
      </w:pPr>
      <w:r w:rsidRPr="00254044">
        <w:rPr>
          <w:rFonts w:ascii="Arial" w:hAnsi="Arial" w:cs="Arial"/>
          <w:sz w:val="22"/>
          <w:szCs w:val="22"/>
        </w:rPr>
        <w:t xml:space="preserve">Workforce improvement should address skill mix, senior cover during nights and weekends, simulation training, </w:t>
      </w:r>
      <w:r w:rsidR="00676622">
        <w:rPr>
          <w:rFonts w:ascii="Arial" w:hAnsi="Arial" w:cs="Arial"/>
          <w:sz w:val="22"/>
          <w:szCs w:val="22"/>
        </w:rPr>
        <w:t>cognitive bias education,</w:t>
      </w:r>
      <w:r w:rsidRPr="00254044">
        <w:rPr>
          <w:rFonts w:ascii="Arial" w:hAnsi="Arial" w:cs="Arial"/>
          <w:sz w:val="22"/>
          <w:szCs w:val="22"/>
        </w:rPr>
        <w:t xml:space="preserve"> and assertive speaking-up </w:t>
      </w:r>
      <w:r w:rsidR="00676622" w:rsidRPr="00254044">
        <w:rPr>
          <w:rFonts w:ascii="Arial" w:hAnsi="Arial" w:cs="Arial"/>
          <w:sz w:val="22"/>
          <w:szCs w:val="22"/>
        </w:rPr>
        <w:t>skills.</w:t>
      </w:r>
      <w:r w:rsidRPr="00254044">
        <w:rPr>
          <w:rFonts w:ascii="Arial" w:hAnsi="Arial" w:cs="Arial"/>
          <w:sz w:val="22"/>
          <w:szCs w:val="22"/>
        </w:rPr>
        <w:t xml:space="preserve"> Edmondson (1999) demonstrates that psychological safety supports team learning by making interpersonal risk-taking safer, although findings from manufacturing teams cannot be transferred automatically to hospitals. The Department of Health and Social Care (2025) also indicates that confidence in organisational responses to concerns remains weaker than confidence in raising them. Training will therefore fail without adequate staffing, supportive leadership and protection from retaliation. </w:t>
      </w:r>
    </w:p>
    <w:p w14:paraId="198EC744" w14:textId="77777777" w:rsidR="003C7228" w:rsidRPr="00254044" w:rsidRDefault="003C7228" w:rsidP="0062345A">
      <w:pPr>
        <w:spacing w:after="0" w:line="360" w:lineRule="auto"/>
        <w:jc w:val="both"/>
        <w:rPr>
          <w:rFonts w:ascii="Arial" w:hAnsi="Arial" w:cs="Arial"/>
          <w:sz w:val="22"/>
          <w:szCs w:val="22"/>
        </w:rPr>
      </w:pPr>
    </w:p>
    <w:p w14:paraId="5509BF16" w14:textId="2160CC6A" w:rsidR="000C4F0F" w:rsidRPr="00254044" w:rsidRDefault="000C4F0F" w:rsidP="0062345A">
      <w:pPr>
        <w:spacing w:after="0" w:line="360" w:lineRule="auto"/>
        <w:jc w:val="both"/>
        <w:rPr>
          <w:rFonts w:ascii="Arial" w:hAnsi="Arial" w:cs="Arial"/>
          <w:sz w:val="22"/>
          <w:szCs w:val="22"/>
        </w:rPr>
      </w:pPr>
      <w:r w:rsidRPr="00254044">
        <w:rPr>
          <w:rFonts w:ascii="Arial" w:hAnsi="Arial" w:cs="Arial"/>
          <w:sz w:val="22"/>
          <w:szCs w:val="22"/>
        </w:rPr>
        <w:t xml:space="preserve">The hospital board should monitor escalation times, senior-review compliance, failure-to-rescue rates, medication incidents, family-activated calls, complaints and psychological-safety results. Ahmed et al. (2025) associate governance with safety through teamwork and continuous improvement, but their cross-sectional, self-reported data cannot establish causality. Measures should therefore combine incident reports, clinical audits, patient feedback and staff surveys, with transparent reporting to clinical teams, families and governing bodies. Data should support learning and corrective action rather than punitive target management that may encourage concealment. </w:t>
      </w:r>
    </w:p>
    <w:p w14:paraId="4D66D0AE" w14:textId="77777777" w:rsidR="003C7228" w:rsidRPr="00254044" w:rsidRDefault="003C7228" w:rsidP="0062345A">
      <w:pPr>
        <w:spacing w:after="0" w:line="360" w:lineRule="auto"/>
        <w:jc w:val="both"/>
        <w:rPr>
          <w:rFonts w:ascii="Arial" w:hAnsi="Arial" w:cs="Arial"/>
          <w:sz w:val="22"/>
          <w:szCs w:val="22"/>
        </w:rPr>
      </w:pPr>
    </w:p>
    <w:p w14:paraId="12137422" w14:textId="3CCC08ED" w:rsidR="000C4F0F" w:rsidRDefault="000C4F0F" w:rsidP="0062345A">
      <w:pPr>
        <w:spacing w:after="0" w:line="360" w:lineRule="auto"/>
        <w:jc w:val="both"/>
        <w:rPr>
          <w:rFonts w:ascii="Arial" w:hAnsi="Arial" w:cs="Arial"/>
          <w:sz w:val="22"/>
          <w:szCs w:val="22"/>
        </w:rPr>
      </w:pPr>
      <w:r w:rsidRPr="00254044">
        <w:rPr>
          <w:rFonts w:ascii="Arial" w:hAnsi="Arial" w:cs="Arial"/>
          <w:sz w:val="22"/>
          <w:szCs w:val="22"/>
        </w:rPr>
        <w:t xml:space="preserve">Finally, the </w:t>
      </w:r>
      <w:r w:rsidR="00676622">
        <w:rPr>
          <w:rFonts w:ascii="Arial" w:hAnsi="Arial" w:cs="Arial"/>
          <w:sz w:val="22"/>
          <w:szCs w:val="22"/>
        </w:rPr>
        <w:t>program</w:t>
      </w:r>
      <w:r w:rsidRPr="00254044">
        <w:rPr>
          <w:rFonts w:ascii="Arial" w:hAnsi="Arial" w:cs="Arial"/>
          <w:sz w:val="22"/>
          <w:szCs w:val="22"/>
        </w:rPr>
        <w:t xml:space="preserve"> should improve technical efficiency by using existing staff, monitors and clinical information more reliably, and allocative efficiency by directing senior expertise towards high-risk patients earlier (Cylus, </w:t>
      </w:r>
      <w:proofErr w:type="spellStart"/>
      <w:r w:rsidRPr="00254044">
        <w:rPr>
          <w:rFonts w:ascii="Arial" w:hAnsi="Arial" w:cs="Arial"/>
          <w:sz w:val="22"/>
          <w:szCs w:val="22"/>
        </w:rPr>
        <w:t>Papanicolas</w:t>
      </w:r>
      <w:proofErr w:type="spellEnd"/>
      <w:r w:rsidRPr="00254044">
        <w:rPr>
          <w:rFonts w:ascii="Arial" w:hAnsi="Arial" w:cs="Arial"/>
          <w:sz w:val="22"/>
          <w:szCs w:val="22"/>
        </w:rPr>
        <w:t xml:space="preserve"> and Smith, 2016). Patients and families should co-produce escalation materials, followed by phased pilots and regular evaluation. Staff resistance, training and technology costs, workload, false alarms and alert fatigue should be monitored as balancing measures. Effective implementation therefore requires adaptive leadership, enforceable accountability, professional collaboration, adequate resources and continuous organisational learning. </w:t>
      </w:r>
    </w:p>
    <w:p w14:paraId="0EDB60CF" w14:textId="77777777" w:rsidR="00254044" w:rsidRDefault="00254044" w:rsidP="0062345A">
      <w:pPr>
        <w:spacing w:after="0" w:line="360" w:lineRule="auto"/>
        <w:jc w:val="both"/>
        <w:rPr>
          <w:rFonts w:ascii="Arial" w:hAnsi="Arial" w:cs="Arial"/>
          <w:sz w:val="22"/>
          <w:szCs w:val="22"/>
        </w:rPr>
      </w:pPr>
    </w:p>
    <w:p w14:paraId="3B2B8BD8" w14:textId="77777777" w:rsidR="00254044" w:rsidRDefault="00254044" w:rsidP="0062345A">
      <w:pPr>
        <w:spacing w:after="0" w:line="360" w:lineRule="auto"/>
        <w:jc w:val="both"/>
        <w:rPr>
          <w:rFonts w:ascii="Arial" w:hAnsi="Arial" w:cs="Arial"/>
          <w:sz w:val="22"/>
          <w:szCs w:val="22"/>
        </w:rPr>
      </w:pPr>
    </w:p>
    <w:p w14:paraId="1887FE36" w14:textId="77777777" w:rsidR="00254044" w:rsidRPr="00254044" w:rsidRDefault="00254044" w:rsidP="0062345A">
      <w:pPr>
        <w:spacing w:after="0" w:line="360" w:lineRule="auto"/>
        <w:jc w:val="both"/>
        <w:rPr>
          <w:rFonts w:ascii="Arial" w:hAnsi="Arial" w:cs="Arial"/>
          <w:sz w:val="22"/>
          <w:szCs w:val="22"/>
        </w:rPr>
      </w:pPr>
    </w:p>
    <w:p w14:paraId="3E2A9520" w14:textId="29E86E0E" w:rsidR="002C00C8" w:rsidRPr="00254044" w:rsidRDefault="0062345A" w:rsidP="0062345A">
      <w:pPr>
        <w:pStyle w:val="Heading1"/>
        <w:jc w:val="both"/>
        <w:rPr>
          <w:rFonts w:ascii="Arial" w:hAnsi="Arial" w:cs="Arial"/>
          <w:b/>
          <w:bCs/>
          <w:color w:val="auto"/>
          <w:sz w:val="24"/>
          <w:szCs w:val="24"/>
        </w:rPr>
      </w:pPr>
      <w:bookmarkStart w:id="6" w:name="_Toc236855889"/>
      <w:r w:rsidRPr="00254044">
        <w:rPr>
          <w:rFonts w:ascii="Arial" w:hAnsi="Arial" w:cs="Arial"/>
          <w:b/>
          <w:bCs/>
          <w:color w:val="auto"/>
          <w:sz w:val="24"/>
          <w:szCs w:val="24"/>
        </w:rPr>
        <w:lastRenderedPageBreak/>
        <w:t>CONCLUSION</w:t>
      </w:r>
      <w:bookmarkEnd w:id="6"/>
    </w:p>
    <w:p w14:paraId="02A7CFC2" w14:textId="6F30B914" w:rsidR="002C00C8" w:rsidRPr="00254044" w:rsidRDefault="002C00C8" w:rsidP="0062345A">
      <w:pPr>
        <w:spacing w:after="0" w:line="360" w:lineRule="auto"/>
        <w:jc w:val="both"/>
        <w:rPr>
          <w:rFonts w:ascii="Arial" w:hAnsi="Arial" w:cs="Arial"/>
          <w:sz w:val="22"/>
          <w:szCs w:val="22"/>
        </w:rPr>
      </w:pPr>
      <w:r w:rsidRPr="00254044">
        <w:rPr>
          <w:rFonts w:ascii="Arial" w:hAnsi="Arial" w:cs="Arial"/>
          <w:sz w:val="22"/>
          <w:szCs w:val="22"/>
        </w:rPr>
        <w:t xml:space="preserve">Lewis Blackman's death was not the result of a single clinical error but of multiple interacting failures across the healthcare system. The report demonstrates that preventable harm arose from the failure to recognise progressive clinical deterioration, inappropriate medication management and monitoring, weak senior clinical supervision, cognitive bias in diagnostic decision-making, ineffective communication, fragmented coordination of care and the exclusion of his family from the escalation process. Individually, each weakness increased clinical risk; collectively, they created conditions in which warning signs were repeatedly documented but not </w:t>
      </w:r>
      <w:r w:rsidR="00676622">
        <w:rPr>
          <w:rFonts w:ascii="Arial" w:hAnsi="Arial" w:cs="Arial"/>
          <w:sz w:val="22"/>
          <w:szCs w:val="22"/>
        </w:rPr>
        <w:t>appropriately interpreted or acted upon</w:t>
      </w:r>
      <w:r w:rsidRPr="00254044">
        <w:rPr>
          <w:rFonts w:ascii="Arial" w:hAnsi="Arial" w:cs="Arial"/>
          <w:sz w:val="22"/>
          <w:szCs w:val="22"/>
        </w:rPr>
        <w:t>. The case therefore illustrates that patient safety failures often emerge from interconnected organisational and human factors rather than isolated professional mistakes.</w:t>
      </w:r>
    </w:p>
    <w:p w14:paraId="7ADA04DD" w14:textId="77777777" w:rsidR="002C00C8" w:rsidRPr="00254044" w:rsidRDefault="002C00C8" w:rsidP="0062345A">
      <w:pPr>
        <w:spacing w:after="0" w:line="360" w:lineRule="auto"/>
        <w:jc w:val="both"/>
        <w:rPr>
          <w:rFonts w:ascii="Arial" w:hAnsi="Arial" w:cs="Arial"/>
          <w:sz w:val="22"/>
          <w:szCs w:val="22"/>
        </w:rPr>
      </w:pPr>
    </w:p>
    <w:p w14:paraId="18F985C1" w14:textId="77777777" w:rsidR="002C00C8" w:rsidRPr="00254044" w:rsidRDefault="002C00C8" w:rsidP="0062345A">
      <w:pPr>
        <w:spacing w:after="0" w:line="360" w:lineRule="auto"/>
        <w:jc w:val="both"/>
        <w:rPr>
          <w:rFonts w:ascii="Arial" w:hAnsi="Arial" w:cs="Arial"/>
          <w:sz w:val="22"/>
          <w:szCs w:val="22"/>
        </w:rPr>
      </w:pPr>
      <w:r w:rsidRPr="00254044">
        <w:rPr>
          <w:rFonts w:ascii="Arial" w:hAnsi="Arial" w:cs="Arial"/>
          <w:sz w:val="22"/>
          <w:szCs w:val="22"/>
        </w:rPr>
        <w:t>The Rich Picture analysis further demonstrated that Lewis's care was shaped by a complex network of relationships, organisational processes and communication pathways. Although responsibility for day-to-day patient management was effectively decentralised to nurses, interns and junior doctors, meaningful decision-making authority remained centralised among senior physicians who were unavailable during the critical period of deterioration. This imbalance created responsibility without corresponding authority, weakened accountability, delayed escalation and prevented the integration of clinical information into a coordinated response. Consequently, the organisational structure itself contributed significantly to the failure to rescue a deteriorating patient.</w:t>
      </w:r>
    </w:p>
    <w:p w14:paraId="378D0412" w14:textId="77777777" w:rsidR="002C00C8" w:rsidRPr="00254044" w:rsidRDefault="002C00C8" w:rsidP="0062345A">
      <w:pPr>
        <w:spacing w:after="0" w:line="360" w:lineRule="auto"/>
        <w:jc w:val="both"/>
        <w:rPr>
          <w:rFonts w:ascii="Arial" w:hAnsi="Arial" w:cs="Arial"/>
          <w:sz w:val="22"/>
          <w:szCs w:val="22"/>
        </w:rPr>
      </w:pPr>
    </w:p>
    <w:p w14:paraId="37E200E7" w14:textId="77777777" w:rsidR="002C00C8" w:rsidRPr="00254044" w:rsidRDefault="002C00C8" w:rsidP="0062345A">
      <w:pPr>
        <w:spacing w:after="0" w:line="360" w:lineRule="auto"/>
        <w:jc w:val="both"/>
        <w:rPr>
          <w:rFonts w:ascii="Arial" w:hAnsi="Arial" w:cs="Arial"/>
          <w:sz w:val="22"/>
          <w:szCs w:val="22"/>
        </w:rPr>
      </w:pPr>
      <w:r w:rsidRPr="00254044">
        <w:rPr>
          <w:rFonts w:ascii="Arial" w:hAnsi="Arial" w:cs="Arial"/>
          <w:sz w:val="22"/>
          <w:szCs w:val="22"/>
        </w:rPr>
        <w:t>The leadership analysis highlighted important weaknesses across transactional, transformational and situational leadership. Transactional leadership failed to ensure compliance with monitoring, medication review and escalation procedures; transformational leadership did not establish a sufficiently open culture that encouraged questioning and speaking up; and situational leadership failed to adapt as Lewis's condition rapidly worsened. In response to these failures, the introduction of the Lewis Blackman Hospital Patient Safety Act, simulation-based education, greater organisational transparency and formal family escalation pathways represented significant developments aimed at strengthening accountability, communication and patient-centred care while promoting a more responsive safety culture.</w:t>
      </w:r>
    </w:p>
    <w:p w14:paraId="74497A01" w14:textId="77777777" w:rsidR="002C00C8" w:rsidRPr="00254044" w:rsidRDefault="002C00C8" w:rsidP="0062345A">
      <w:pPr>
        <w:spacing w:after="0" w:line="360" w:lineRule="auto"/>
        <w:jc w:val="both"/>
        <w:rPr>
          <w:rFonts w:ascii="Arial" w:hAnsi="Arial" w:cs="Arial"/>
          <w:sz w:val="22"/>
          <w:szCs w:val="22"/>
        </w:rPr>
      </w:pPr>
    </w:p>
    <w:p w14:paraId="6DDEBD85" w14:textId="77777777" w:rsidR="0062345A" w:rsidRDefault="002C00C8" w:rsidP="0062345A">
      <w:pPr>
        <w:spacing w:after="0" w:line="360" w:lineRule="auto"/>
        <w:jc w:val="both"/>
        <w:rPr>
          <w:rFonts w:ascii="Arial" w:hAnsi="Arial" w:cs="Arial"/>
          <w:sz w:val="22"/>
          <w:szCs w:val="22"/>
        </w:rPr>
      </w:pPr>
      <w:r w:rsidRPr="00254044">
        <w:rPr>
          <w:rFonts w:ascii="Arial" w:hAnsi="Arial" w:cs="Arial"/>
          <w:sz w:val="22"/>
          <w:szCs w:val="22"/>
        </w:rPr>
        <w:t xml:space="preserve">Overall, the report concludes that legislation, organisational policies and clinical guidelines are essential foundations for safe healthcare but are insufficient in isolation. Sustainable patient safety depends equally on strong leadership, psychological safety, effective governance, integrated </w:t>
      </w:r>
      <w:r w:rsidRPr="00254044">
        <w:rPr>
          <w:rFonts w:ascii="Arial" w:hAnsi="Arial" w:cs="Arial"/>
          <w:sz w:val="22"/>
          <w:szCs w:val="22"/>
        </w:rPr>
        <w:lastRenderedPageBreak/>
        <w:t>healthcare systems, visible senior accountability and meaningful involvement of patients and families in care decisions. Ultimately, the most important lesson from Lewis Blackman's case is that patient safety is determined by how effectively the entire healthcare system recognises, communicates and responds to warning signs, rather than by the actions of any single healthcare professional.</w:t>
      </w:r>
    </w:p>
    <w:p w14:paraId="1E762541" w14:textId="77777777" w:rsidR="00254044" w:rsidRDefault="00254044" w:rsidP="0062345A">
      <w:pPr>
        <w:spacing w:after="0" w:line="360" w:lineRule="auto"/>
        <w:jc w:val="both"/>
        <w:rPr>
          <w:rFonts w:ascii="Arial" w:hAnsi="Arial" w:cs="Arial"/>
          <w:sz w:val="22"/>
          <w:szCs w:val="22"/>
        </w:rPr>
      </w:pPr>
    </w:p>
    <w:p w14:paraId="0841824C" w14:textId="77777777" w:rsidR="00254044" w:rsidRDefault="00254044" w:rsidP="0062345A">
      <w:pPr>
        <w:spacing w:after="0" w:line="360" w:lineRule="auto"/>
        <w:jc w:val="both"/>
        <w:rPr>
          <w:rFonts w:ascii="Arial" w:hAnsi="Arial" w:cs="Arial"/>
          <w:sz w:val="22"/>
          <w:szCs w:val="22"/>
        </w:rPr>
      </w:pPr>
    </w:p>
    <w:p w14:paraId="3747065B" w14:textId="77777777" w:rsidR="00254044" w:rsidRPr="00254044" w:rsidRDefault="00254044" w:rsidP="0062345A">
      <w:pPr>
        <w:spacing w:after="0" w:line="360" w:lineRule="auto"/>
        <w:jc w:val="both"/>
        <w:rPr>
          <w:rFonts w:ascii="Arial" w:hAnsi="Arial" w:cs="Arial"/>
          <w:sz w:val="22"/>
          <w:szCs w:val="22"/>
        </w:rPr>
      </w:pPr>
    </w:p>
    <w:p w14:paraId="32D8BB83" w14:textId="1B9CEA8C" w:rsidR="00A623D9" w:rsidRPr="00254044" w:rsidRDefault="00A623D9" w:rsidP="0062345A">
      <w:pPr>
        <w:pStyle w:val="Heading1"/>
        <w:jc w:val="both"/>
        <w:rPr>
          <w:rFonts w:ascii="Arial" w:hAnsi="Arial" w:cs="Arial"/>
          <w:b/>
          <w:bCs/>
          <w:color w:val="auto"/>
          <w:sz w:val="24"/>
          <w:szCs w:val="24"/>
        </w:rPr>
      </w:pPr>
      <w:bookmarkStart w:id="7" w:name="_Toc236855890"/>
      <w:r w:rsidRPr="00254044">
        <w:rPr>
          <w:rFonts w:ascii="Arial" w:hAnsi="Arial" w:cs="Arial"/>
          <w:b/>
          <w:bCs/>
          <w:color w:val="auto"/>
          <w:sz w:val="24"/>
          <w:szCs w:val="24"/>
        </w:rPr>
        <w:t>REFERENCES</w:t>
      </w:r>
      <w:bookmarkEnd w:id="7"/>
    </w:p>
    <w:p w14:paraId="03F3F9D7" w14:textId="77777777" w:rsidR="00254044" w:rsidRPr="00254044" w:rsidRDefault="00254044" w:rsidP="0062345A">
      <w:pPr>
        <w:spacing w:line="360" w:lineRule="auto"/>
        <w:jc w:val="both"/>
        <w:rPr>
          <w:rFonts w:ascii="Arial" w:hAnsi="Arial" w:cs="Arial"/>
          <w:sz w:val="22"/>
          <w:szCs w:val="22"/>
        </w:rPr>
      </w:pPr>
    </w:p>
    <w:p w14:paraId="41C460E2"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Acquaviva, K., Haskell, H. and Johnson, J. (2013) ‘Human cognition and the dynamics of failure to rescue: The Lewis Blackman case’, </w:t>
      </w:r>
      <w:r w:rsidRPr="00254044">
        <w:rPr>
          <w:rFonts w:ascii="Arial" w:hAnsi="Arial" w:cs="Arial"/>
          <w:i/>
          <w:iCs/>
          <w:sz w:val="22"/>
          <w:szCs w:val="22"/>
        </w:rPr>
        <w:t>Journal of Professional Nursing</w:t>
      </w:r>
      <w:r w:rsidRPr="00254044">
        <w:rPr>
          <w:rFonts w:ascii="Arial" w:hAnsi="Arial" w:cs="Arial"/>
          <w:sz w:val="22"/>
          <w:szCs w:val="22"/>
        </w:rPr>
        <w:t xml:space="preserve">, 29(2), pp. 95–101. Available at: </w:t>
      </w:r>
      <w:hyperlink r:id="rId7" w:history="1">
        <w:r w:rsidRPr="00254044">
          <w:rPr>
            <w:rStyle w:val="Hyperlink"/>
            <w:rFonts w:ascii="Arial" w:hAnsi="Arial" w:cs="Arial"/>
            <w:sz w:val="22"/>
            <w:szCs w:val="22"/>
          </w:rPr>
          <w:t>https://doi.org/10.1016/j.profnurs.2012.12.009</w:t>
        </w:r>
      </w:hyperlink>
      <w:r w:rsidRPr="00254044">
        <w:rPr>
          <w:rFonts w:ascii="Arial" w:hAnsi="Arial" w:cs="Arial"/>
          <w:sz w:val="22"/>
          <w:szCs w:val="22"/>
        </w:rPr>
        <w:t>.</w:t>
      </w:r>
    </w:p>
    <w:p w14:paraId="25C58549"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Ahmed, S., Ashrafi, D.M., Ahammad, M.F., Rahman, M.K. and Sakib, M.N. (2025) ‘Role of governance on patient safety in private hospitals through the mediating effects of teamwork and continuous improvement’, </w:t>
      </w:r>
      <w:r w:rsidRPr="00254044">
        <w:rPr>
          <w:rFonts w:ascii="Arial" w:hAnsi="Arial" w:cs="Arial"/>
          <w:i/>
          <w:iCs/>
          <w:sz w:val="22"/>
          <w:szCs w:val="22"/>
        </w:rPr>
        <w:t>International Journal of Quality &amp; Reliability Management</w:t>
      </w:r>
      <w:r w:rsidRPr="00254044">
        <w:rPr>
          <w:rFonts w:ascii="Arial" w:hAnsi="Arial" w:cs="Arial"/>
          <w:sz w:val="22"/>
          <w:szCs w:val="22"/>
        </w:rPr>
        <w:t xml:space="preserve">. Available at: </w:t>
      </w:r>
      <w:hyperlink r:id="rId8" w:history="1">
        <w:r w:rsidRPr="00254044">
          <w:rPr>
            <w:rStyle w:val="Hyperlink"/>
            <w:rFonts w:ascii="Arial" w:hAnsi="Arial" w:cs="Arial"/>
            <w:sz w:val="22"/>
            <w:szCs w:val="22"/>
          </w:rPr>
          <w:t>https://doi.org/10.1108/IJQRM-04-2025-0115</w:t>
        </w:r>
      </w:hyperlink>
      <w:r w:rsidRPr="00254044">
        <w:rPr>
          <w:rFonts w:ascii="Arial" w:hAnsi="Arial" w:cs="Arial"/>
          <w:sz w:val="22"/>
          <w:szCs w:val="22"/>
        </w:rPr>
        <w:t>.</w:t>
      </w:r>
    </w:p>
    <w:p w14:paraId="25970A6D"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Al-</w:t>
      </w:r>
      <w:proofErr w:type="spellStart"/>
      <w:r w:rsidRPr="00254044">
        <w:rPr>
          <w:rFonts w:ascii="Arial" w:hAnsi="Arial" w:cs="Arial"/>
          <w:sz w:val="22"/>
          <w:szCs w:val="22"/>
        </w:rPr>
        <w:t>Rjoub</w:t>
      </w:r>
      <w:proofErr w:type="spellEnd"/>
      <w:r w:rsidRPr="00254044">
        <w:rPr>
          <w:rFonts w:ascii="Arial" w:hAnsi="Arial" w:cs="Arial"/>
          <w:sz w:val="22"/>
          <w:szCs w:val="22"/>
        </w:rPr>
        <w:t xml:space="preserve">, S., </w:t>
      </w:r>
      <w:proofErr w:type="spellStart"/>
      <w:r w:rsidRPr="00254044">
        <w:rPr>
          <w:rFonts w:ascii="Arial" w:hAnsi="Arial" w:cs="Arial"/>
          <w:sz w:val="22"/>
          <w:szCs w:val="22"/>
        </w:rPr>
        <w:t>Alsharawneh</w:t>
      </w:r>
      <w:proofErr w:type="spellEnd"/>
      <w:r w:rsidRPr="00254044">
        <w:rPr>
          <w:rFonts w:ascii="Arial" w:hAnsi="Arial" w:cs="Arial"/>
          <w:sz w:val="22"/>
          <w:szCs w:val="22"/>
        </w:rPr>
        <w:t xml:space="preserve">, A., </w:t>
      </w:r>
      <w:proofErr w:type="spellStart"/>
      <w:r w:rsidRPr="00254044">
        <w:rPr>
          <w:rFonts w:ascii="Arial" w:hAnsi="Arial" w:cs="Arial"/>
          <w:sz w:val="22"/>
          <w:szCs w:val="22"/>
        </w:rPr>
        <w:t>Alhawajreh</w:t>
      </w:r>
      <w:proofErr w:type="spellEnd"/>
      <w:r w:rsidRPr="00254044">
        <w:rPr>
          <w:rFonts w:ascii="Arial" w:hAnsi="Arial" w:cs="Arial"/>
          <w:sz w:val="22"/>
          <w:szCs w:val="22"/>
        </w:rPr>
        <w:t xml:space="preserve">, M.J. and Othman, E.H. (2024) ‘Exploring the impact of transformational and transactional style of leadership on nursing care performance and patient outcomes’, </w:t>
      </w:r>
      <w:r w:rsidRPr="00254044">
        <w:rPr>
          <w:rFonts w:ascii="Arial" w:hAnsi="Arial" w:cs="Arial"/>
          <w:i/>
          <w:iCs/>
          <w:sz w:val="22"/>
          <w:szCs w:val="22"/>
        </w:rPr>
        <w:t>Journal of Healthcare Leadership</w:t>
      </w:r>
      <w:r w:rsidRPr="00254044">
        <w:rPr>
          <w:rFonts w:ascii="Arial" w:hAnsi="Arial" w:cs="Arial"/>
          <w:sz w:val="22"/>
          <w:szCs w:val="22"/>
        </w:rPr>
        <w:t xml:space="preserve">, 16, pp. 557–568. Available at: </w:t>
      </w:r>
      <w:hyperlink r:id="rId9" w:history="1">
        <w:r w:rsidRPr="00254044">
          <w:rPr>
            <w:rStyle w:val="Hyperlink"/>
            <w:rFonts w:ascii="Arial" w:hAnsi="Arial" w:cs="Arial"/>
            <w:sz w:val="22"/>
            <w:szCs w:val="22"/>
          </w:rPr>
          <w:t>https://doi.org/10.2147/JHL.S496266</w:t>
        </w:r>
      </w:hyperlink>
      <w:r w:rsidRPr="00254044">
        <w:rPr>
          <w:rFonts w:ascii="Arial" w:hAnsi="Arial" w:cs="Arial"/>
          <w:sz w:val="22"/>
          <w:szCs w:val="22"/>
        </w:rPr>
        <w:t>.</w:t>
      </w:r>
    </w:p>
    <w:p w14:paraId="2E77C753" w14:textId="77777777" w:rsidR="00254044" w:rsidRPr="00254044" w:rsidRDefault="00254044" w:rsidP="0062345A">
      <w:pPr>
        <w:jc w:val="both"/>
        <w:rPr>
          <w:rFonts w:ascii="Arial" w:hAnsi="Arial" w:cs="Arial"/>
          <w:sz w:val="22"/>
          <w:szCs w:val="22"/>
        </w:rPr>
      </w:pPr>
      <w:proofErr w:type="spellStart"/>
      <w:r w:rsidRPr="00254044">
        <w:rPr>
          <w:rFonts w:ascii="Arial" w:hAnsi="Arial" w:cs="Arial"/>
          <w:sz w:val="22"/>
          <w:szCs w:val="22"/>
        </w:rPr>
        <w:t>Auraaen</w:t>
      </w:r>
      <w:proofErr w:type="spellEnd"/>
      <w:r w:rsidRPr="00254044">
        <w:rPr>
          <w:rFonts w:ascii="Arial" w:hAnsi="Arial" w:cs="Arial"/>
          <w:sz w:val="22"/>
          <w:szCs w:val="22"/>
        </w:rPr>
        <w:t xml:space="preserve">, A., Saar, K. and </w:t>
      </w:r>
      <w:proofErr w:type="spellStart"/>
      <w:r w:rsidRPr="00254044">
        <w:rPr>
          <w:rFonts w:ascii="Arial" w:hAnsi="Arial" w:cs="Arial"/>
          <w:sz w:val="22"/>
          <w:szCs w:val="22"/>
        </w:rPr>
        <w:t>Klazinga</w:t>
      </w:r>
      <w:proofErr w:type="spellEnd"/>
      <w:r w:rsidRPr="00254044">
        <w:rPr>
          <w:rFonts w:ascii="Arial" w:hAnsi="Arial" w:cs="Arial"/>
          <w:sz w:val="22"/>
          <w:szCs w:val="22"/>
        </w:rPr>
        <w:t xml:space="preserve">, N. (2020) </w:t>
      </w:r>
      <w:r w:rsidRPr="00254044">
        <w:rPr>
          <w:rFonts w:ascii="Arial" w:hAnsi="Arial" w:cs="Arial"/>
          <w:i/>
          <w:iCs/>
          <w:sz w:val="22"/>
          <w:szCs w:val="22"/>
        </w:rPr>
        <w:t>System governance towards improved patient safety: Key functions, approaches and pathways to implementation</w:t>
      </w:r>
      <w:r w:rsidRPr="00254044">
        <w:rPr>
          <w:rFonts w:ascii="Arial" w:hAnsi="Arial" w:cs="Arial"/>
          <w:sz w:val="22"/>
          <w:szCs w:val="22"/>
        </w:rPr>
        <w:t xml:space="preserve">. OECD Health Working Papers, No. 120. Paris: OECD Publishing. Available at: </w:t>
      </w:r>
      <w:hyperlink r:id="rId10" w:history="1">
        <w:r w:rsidRPr="00254044">
          <w:rPr>
            <w:rStyle w:val="Hyperlink"/>
            <w:rFonts w:ascii="Arial" w:hAnsi="Arial" w:cs="Arial"/>
            <w:sz w:val="22"/>
            <w:szCs w:val="22"/>
          </w:rPr>
          <w:t>https://doi.org/10.1787/2abdd834-en</w:t>
        </w:r>
      </w:hyperlink>
      <w:r w:rsidRPr="00254044">
        <w:rPr>
          <w:rFonts w:ascii="Arial" w:hAnsi="Arial" w:cs="Arial"/>
          <w:sz w:val="22"/>
          <w:szCs w:val="22"/>
        </w:rPr>
        <w:t>.</w:t>
      </w:r>
    </w:p>
    <w:p w14:paraId="442678D2"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Bell, A. (2025) </w:t>
      </w:r>
      <w:r w:rsidRPr="00254044">
        <w:rPr>
          <w:rFonts w:ascii="Arial" w:hAnsi="Arial" w:cs="Arial"/>
          <w:i/>
          <w:iCs/>
          <w:sz w:val="22"/>
          <w:szCs w:val="22"/>
        </w:rPr>
        <w:t>Early recognition in patient deterioration: A quality improvement project</w:t>
      </w:r>
      <w:r w:rsidRPr="00254044">
        <w:rPr>
          <w:rFonts w:ascii="Arial" w:hAnsi="Arial" w:cs="Arial"/>
          <w:sz w:val="22"/>
          <w:szCs w:val="22"/>
        </w:rPr>
        <w:t>. Doctor of Nursing Practice project. Gardner-Webb University.</w:t>
      </w:r>
    </w:p>
    <w:p w14:paraId="12F5D693"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Bucknall, T., Quinney, R., Booth, L., McKinney, A., </w:t>
      </w:r>
      <w:proofErr w:type="spellStart"/>
      <w:r w:rsidRPr="00254044">
        <w:rPr>
          <w:rFonts w:ascii="Arial" w:hAnsi="Arial" w:cs="Arial"/>
          <w:sz w:val="22"/>
          <w:szCs w:val="22"/>
        </w:rPr>
        <w:t>Subbe</w:t>
      </w:r>
      <w:proofErr w:type="spellEnd"/>
      <w:r w:rsidRPr="00254044">
        <w:rPr>
          <w:rFonts w:ascii="Arial" w:hAnsi="Arial" w:cs="Arial"/>
          <w:sz w:val="22"/>
          <w:szCs w:val="22"/>
        </w:rPr>
        <w:t xml:space="preserve">, C.P. and Odell, M. (2021) ‘When patients (and families) raise the alarm: Patient and family activated rapid response as a safety strategy for hospitals’, </w:t>
      </w:r>
      <w:r w:rsidRPr="00254044">
        <w:rPr>
          <w:rFonts w:ascii="Arial" w:hAnsi="Arial" w:cs="Arial"/>
          <w:i/>
          <w:iCs/>
          <w:sz w:val="22"/>
          <w:szCs w:val="22"/>
        </w:rPr>
        <w:t>Future Healthcare Journal</w:t>
      </w:r>
      <w:r w:rsidRPr="00254044">
        <w:rPr>
          <w:rFonts w:ascii="Arial" w:hAnsi="Arial" w:cs="Arial"/>
          <w:sz w:val="22"/>
          <w:szCs w:val="22"/>
        </w:rPr>
        <w:t xml:space="preserve">, 8(3), pp. e609–e612. Available at: </w:t>
      </w:r>
      <w:hyperlink r:id="rId11" w:history="1">
        <w:r w:rsidRPr="00254044">
          <w:rPr>
            <w:rStyle w:val="Hyperlink"/>
            <w:rFonts w:ascii="Arial" w:hAnsi="Arial" w:cs="Arial"/>
            <w:sz w:val="22"/>
            <w:szCs w:val="22"/>
          </w:rPr>
          <w:t>https://doi.org/10.7861/fhj.2021-0134</w:t>
        </w:r>
      </w:hyperlink>
      <w:r w:rsidRPr="00254044">
        <w:rPr>
          <w:rFonts w:ascii="Arial" w:hAnsi="Arial" w:cs="Arial"/>
          <w:sz w:val="22"/>
          <w:szCs w:val="22"/>
        </w:rPr>
        <w:t>.</w:t>
      </w:r>
    </w:p>
    <w:p w14:paraId="7C358769"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Carstensen, K., Kjeldsen, A.M. and Nielsen, C.P. (2024) ‘Distributed leadership in health quality improvement collaboratives’, </w:t>
      </w:r>
      <w:r w:rsidRPr="00254044">
        <w:rPr>
          <w:rFonts w:ascii="Arial" w:hAnsi="Arial" w:cs="Arial"/>
          <w:i/>
          <w:iCs/>
          <w:sz w:val="22"/>
          <w:szCs w:val="22"/>
        </w:rPr>
        <w:t>Health Care Management Review</w:t>
      </w:r>
      <w:r w:rsidRPr="00254044">
        <w:rPr>
          <w:rFonts w:ascii="Arial" w:hAnsi="Arial" w:cs="Arial"/>
          <w:sz w:val="22"/>
          <w:szCs w:val="22"/>
        </w:rPr>
        <w:t xml:space="preserve">, 49(1), pp. 46–58. Available at: </w:t>
      </w:r>
      <w:hyperlink r:id="rId12" w:history="1">
        <w:r w:rsidRPr="00254044">
          <w:rPr>
            <w:rStyle w:val="Hyperlink"/>
            <w:rFonts w:ascii="Arial" w:hAnsi="Arial" w:cs="Arial"/>
            <w:sz w:val="22"/>
            <w:szCs w:val="22"/>
          </w:rPr>
          <w:t>https://doi.org/10.1097/HMR.0000000000000385</w:t>
        </w:r>
      </w:hyperlink>
      <w:r w:rsidRPr="00254044">
        <w:rPr>
          <w:rFonts w:ascii="Arial" w:hAnsi="Arial" w:cs="Arial"/>
          <w:sz w:val="22"/>
          <w:szCs w:val="22"/>
        </w:rPr>
        <w:t>.</w:t>
      </w:r>
    </w:p>
    <w:p w14:paraId="2C98C853"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lastRenderedPageBreak/>
        <w:t xml:space="preserve">Chien, L.J., Kwan, J.L., Cifra, C., Liberman, A.L., Haskell, H., McDonald, K. </w:t>
      </w:r>
      <w:r w:rsidRPr="00254044">
        <w:rPr>
          <w:rFonts w:ascii="Arial" w:hAnsi="Arial" w:cs="Arial"/>
          <w:i/>
          <w:iCs/>
          <w:sz w:val="22"/>
          <w:szCs w:val="22"/>
        </w:rPr>
        <w:t>et al.</w:t>
      </w:r>
      <w:r w:rsidRPr="00254044">
        <w:rPr>
          <w:rFonts w:ascii="Arial" w:hAnsi="Arial" w:cs="Arial"/>
          <w:sz w:val="22"/>
          <w:szCs w:val="22"/>
        </w:rPr>
        <w:t xml:space="preserve"> (2025) ‘The Society to Improve Diagnosis in Medicine’s legacy: Building a foundation for diagnostic excellence’, </w:t>
      </w:r>
      <w:r w:rsidRPr="00254044">
        <w:rPr>
          <w:rFonts w:ascii="Arial" w:hAnsi="Arial" w:cs="Arial"/>
          <w:i/>
          <w:iCs/>
          <w:sz w:val="22"/>
          <w:szCs w:val="22"/>
        </w:rPr>
        <w:t>Diagnosis</w:t>
      </w:r>
      <w:r w:rsidRPr="00254044">
        <w:rPr>
          <w:rFonts w:ascii="Arial" w:hAnsi="Arial" w:cs="Arial"/>
          <w:sz w:val="22"/>
          <w:szCs w:val="22"/>
        </w:rPr>
        <w:t xml:space="preserve">, 12(4), pp. 510–519. Available at: </w:t>
      </w:r>
      <w:hyperlink r:id="rId13" w:history="1">
        <w:r w:rsidRPr="00254044">
          <w:rPr>
            <w:rStyle w:val="Hyperlink"/>
            <w:rFonts w:ascii="Arial" w:hAnsi="Arial" w:cs="Arial"/>
            <w:sz w:val="22"/>
            <w:szCs w:val="22"/>
          </w:rPr>
          <w:t>https://doi.org/10.1515/dx-2025-0120</w:t>
        </w:r>
      </w:hyperlink>
      <w:r w:rsidRPr="00254044">
        <w:rPr>
          <w:rFonts w:ascii="Arial" w:hAnsi="Arial" w:cs="Arial"/>
          <w:sz w:val="22"/>
          <w:szCs w:val="22"/>
        </w:rPr>
        <w:t>.</w:t>
      </w:r>
    </w:p>
    <w:p w14:paraId="7C49D152"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Clack, L., Smith, J. and </w:t>
      </w:r>
      <w:proofErr w:type="spellStart"/>
      <w:r w:rsidRPr="00254044">
        <w:rPr>
          <w:rFonts w:ascii="Arial" w:hAnsi="Arial" w:cs="Arial"/>
          <w:sz w:val="22"/>
          <w:szCs w:val="22"/>
        </w:rPr>
        <w:t>Charns</w:t>
      </w:r>
      <w:proofErr w:type="spellEnd"/>
      <w:r w:rsidRPr="00254044">
        <w:rPr>
          <w:rFonts w:ascii="Arial" w:hAnsi="Arial" w:cs="Arial"/>
          <w:sz w:val="22"/>
          <w:szCs w:val="22"/>
        </w:rPr>
        <w:t xml:space="preserve">, M. (2026) ‘Defining and measuring organizational transformation in health care: A systematic literature review’, </w:t>
      </w:r>
      <w:r w:rsidRPr="00254044">
        <w:rPr>
          <w:rFonts w:ascii="Arial" w:hAnsi="Arial" w:cs="Arial"/>
          <w:i/>
          <w:iCs/>
          <w:sz w:val="22"/>
          <w:szCs w:val="22"/>
        </w:rPr>
        <w:t>Medical Care Research and Review</w:t>
      </w:r>
      <w:r w:rsidRPr="00254044">
        <w:rPr>
          <w:rFonts w:ascii="Arial" w:hAnsi="Arial" w:cs="Arial"/>
          <w:sz w:val="22"/>
          <w:szCs w:val="22"/>
        </w:rPr>
        <w:t xml:space="preserve">, 83(2), pp. 71–102. Available at: </w:t>
      </w:r>
      <w:hyperlink r:id="rId14" w:history="1">
        <w:r w:rsidRPr="00254044">
          <w:rPr>
            <w:rStyle w:val="Hyperlink"/>
            <w:rFonts w:ascii="Arial" w:hAnsi="Arial" w:cs="Arial"/>
            <w:sz w:val="22"/>
            <w:szCs w:val="22"/>
          </w:rPr>
          <w:t>https://doi.org/10.1177/10775587251356130</w:t>
        </w:r>
      </w:hyperlink>
      <w:r w:rsidRPr="00254044">
        <w:rPr>
          <w:rFonts w:ascii="Arial" w:hAnsi="Arial" w:cs="Arial"/>
          <w:sz w:val="22"/>
          <w:szCs w:val="22"/>
        </w:rPr>
        <w:t>.</w:t>
      </w:r>
    </w:p>
    <w:p w14:paraId="36F02755"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Cylus, J., </w:t>
      </w:r>
      <w:proofErr w:type="spellStart"/>
      <w:r w:rsidRPr="00254044">
        <w:rPr>
          <w:rFonts w:ascii="Arial" w:hAnsi="Arial" w:cs="Arial"/>
          <w:sz w:val="22"/>
          <w:szCs w:val="22"/>
        </w:rPr>
        <w:t>Papanicolas</w:t>
      </w:r>
      <w:proofErr w:type="spellEnd"/>
      <w:r w:rsidRPr="00254044">
        <w:rPr>
          <w:rFonts w:ascii="Arial" w:hAnsi="Arial" w:cs="Arial"/>
          <w:sz w:val="22"/>
          <w:szCs w:val="22"/>
        </w:rPr>
        <w:t xml:space="preserve">, I. and Smith, P.C. (2016) ‘A framework for thinking about health system efficiency’, in Cylus, J., </w:t>
      </w:r>
      <w:proofErr w:type="spellStart"/>
      <w:r w:rsidRPr="00254044">
        <w:rPr>
          <w:rFonts w:ascii="Arial" w:hAnsi="Arial" w:cs="Arial"/>
          <w:sz w:val="22"/>
          <w:szCs w:val="22"/>
        </w:rPr>
        <w:t>Papanicolas</w:t>
      </w:r>
      <w:proofErr w:type="spellEnd"/>
      <w:r w:rsidRPr="00254044">
        <w:rPr>
          <w:rFonts w:ascii="Arial" w:hAnsi="Arial" w:cs="Arial"/>
          <w:sz w:val="22"/>
          <w:szCs w:val="22"/>
        </w:rPr>
        <w:t xml:space="preserve">, I. and Smith, P.C. (eds.) </w:t>
      </w:r>
      <w:r w:rsidRPr="00254044">
        <w:rPr>
          <w:rFonts w:ascii="Arial" w:hAnsi="Arial" w:cs="Arial"/>
          <w:i/>
          <w:iCs/>
          <w:sz w:val="22"/>
          <w:szCs w:val="22"/>
        </w:rPr>
        <w:t>Health system efficiency: How to make measurement matter for policy and management</w:t>
      </w:r>
      <w:r w:rsidRPr="00254044">
        <w:rPr>
          <w:rFonts w:ascii="Arial" w:hAnsi="Arial" w:cs="Arial"/>
          <w:sz w:val="22"/>
          <w:szCs w:val="22"/>
        </w:rPr>
        <w:t>. Copenhagen: WHO Regional Office for Europe, pp. 1–20.</w:t>
      </w:r>
    </w:p>
    <w:p w14:paraId="3621BB20"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Department of Health and Social Care (2025) </w:t>
      </w:r>
      <w:r w:rsidRPr="00254044">
        <w:rPr>
          <w:rFonts w:ascii="Arial" w:hAnsi="Arial" w:cs="Arial"/>
          <w:i/>
          <w:iCs/>
          <w:sz w:val="22"/>
          <w:szCs w:val="22"/>
        </w:rPr>
        <w:t>Review of patient safety across the health and care landscape</w:t>
      </w:r>
      <w:r w:rsidRPr="00254044">
        <w:rPr>
          <w:rFonts w:ascii="Arial" w:hAnsi="Arial" w:cs="Arial"/>
          <w:sz w:val="22"/>
          <w:szCs w:val="22"/>
        </w:rPr>
        <w:t>. London: Department of Health and Social Care.</w:t>
      </w:r>
    </w:p>
    <w:p w14:paraId="47148CE5"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Doherty, T.S. and Carroll, A.E. (2020) ‘Believing in overcoming cognitive biases’, </w:t>
      </w:r>
      <w:r w:rsidRPr="00254044">
        <w:rPr>
          <w:rFonts w:ascii="Arial" w:hAnsi="Arial" w:cs="Arial"/>
          <w:i/>
          <w:iCs/>
          <w:sz w:val="22"/>
          <w:szCs w:val="22"/>
        </w:rPr>
        <w:t>AMA Journal of Ethics</w:t>
      </w:r>
      <w:r w:rsidRPr="00254044">
        <w:rPr>
          <w:rFonts w:ascii="Arial" w:hAnsi="Arial" w:cs="Arial"/>
          <w:sz w:val="22"/>
          <w:szCs w:val="22"/>
        </w:rPr>
        <w:t xml:space="preserve">, 22(9), pp. E773–E778. Available at: </w:t>
      </w:r>
      <w:hyperlink r:id="rId15" w:history="1">
        <w:r w:rsidRPr="00254044">
          <w:rPr>
            <w:rStyle w:val="Hyperlink"/>
            <w:rFonts w:ascii="Arial" w:hAnsi="Arial" w:cs="Arial"/>
            <w:sz w:val="22"/>
            <w:szCs w:val="22"/>
          </w:rPr>
          <w:t>https://doi.org/10.1001/amajethics.2020.773</w:t>
        </w:r>
      </w:hyperlink>
      <w:r w:rsidRPr="00254044">
        <w:rPr>
          <w:rFonts w:ascii="Arial" w:hAnsi="Arial" w:cs="Arial"/>
          <w:sz w:val="22"/>
          <w:szCs w:val="22"/>
        </w:rPr>
        <w:t>.</w:t>
      </w:r>
    </w:p>
    <w:p w14:paraId="7A6E17F6"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Dong, B. (2023) ‘A systematic review of the transactional leadership literature and future outlook’, </w:t>
      </w:r>
      <w:r w:rsidRPr="00254044">
        <w:rPr>
          <w:rFonts w:ascii="Arial" w:hAnsi="Arial" w:cs="Arial"/>
          <w:i/>
          <w:iCs/>
          <w:sz w:val="22"/>
          <w:szCs w:val="22"/>
        </w:rPr>
        <w:t>Academic Journal of Management and Social Sciences</w:t>
      </w:r>
      <w:r w:rsidRPr="00254044">
        <w:rPr>
          <w:rFonts w:ascii="Arial" w:hAnsi="Arial" w:cs="Arial"/>
          <w:sz w:val="22"/>
          <w:szCs w:val="22"/>
        </w:rPr>
        <w:t xml:space="preserve">, 2(3), pp. 21–25. Available at: </w:t>
      </w:r>
      <w:hyperlink r:id="rId16" w:history="1">
        <w:r w:rsidRPr="00254044">
          <w:rPr>
            <w:rStyle w:val="Hyperlink"/>
            <w:rFonts w:ascii="Arial" w:hAnsi="Arial" w:cs="Arial"/>
            <w:sz w:val="22"/>
            <w:szCs w:val="22"/>
          </w:rPr>
          <w:t>https://doi.org/10.54097/ajmss.v2i3.7972</w:t>
        </w:r>
      </w:hyperlink>
      <w:r w:rsidRPr="00254044">
        <w:rPr>
          <w:rFonts w:ascii="Arial" w:hAnsi="Arial" w:cs="Arial"/>
          <w:sz w:val="22"/>
          <w:szCs w:val="22"/>
        </w:rPr>
        <w:t>.</w:t>
      </w:r>
    </w:p>
    <w:p w14:paraId="6C9A3259"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Ede, J., Hutton, R., Watkinson, P., Kent, B. and Endacott, R. (2024) ‘Improving escalation of deteriorating patients through cognitive task analysis: Understanding differences between work-as-prescribed and work-as-done’, </w:t>
      </w:r>
      <w:r w:rsidRPr="00254044">
        <w:rPr>
          <w:rFonts w:ascii="Arial" w:hAnsi="Arial" w:cs="Arial"/>
          <w:i/>
          <w:iCs/>
          <w:sz w:val="22"/>
          <w:szCs w:val="22"/>
        </w:rPr>
        <w:t>International Journal of Nursing Studies</w:t>
      </w:r>
      <w:r w:rsidRPr="00254044">
        <w:rPr>
          <w:rFonts w:ascii="Arial" w:hAnsi="Arial" w:cs="Arial"/>
          <w:sz w:val="22"/>
          <w:szCs w:val="22"/>
        </w:rPr>
        <w:t xml:space="preserve">, 151, article 104671. Available at: </w:t>
      </w:r>
      <w:hyperlink r:id="rId17" w:history="1">
        <w:r w:rsidRPr="00254044">
          <w:rPr>
            <w:rStyle w:val="Hyperlink"/>
            <w:rFonts w:ascii="Arial" w:hAnsi="Arial" w:cs="Arial"/>
            <w:sz w:val="22"/>
            <w:szCs w:val="22"/>
          </w:rPr>
          <w:t>https://doi.org/10.1016/j.ijnurstu.2023.104671</w:t>
        </w:r>
      </w:hyperlink>
      <w:r w:rsidRPr="00254044">
        <w:rPr>
          <w:rFonts w:ascii="Arial" w:hAnsi="Arial" w:cs="Arial"/>
          <w:sz w:val="22"/>
          <w:szCs w:val="22"/>
        </w:rPr>
        <w:t>.</w:t>
      </w:r>
    </w:p>
    <w:p w14:paraId="728A7571"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Edmondson, A. (1999) ‘Psychological safety and learning </w:t>
      </w:r>
      <w:proofErr w:type="spellStart"/>
      <w:r w:rsidRPr="00254044">
        <w:rPr>
          <w:rFonts w:ascii="Arial" w:hAnsi="Arial" w:cs="Arial"/>
          <w:sz w:val="22"/>
          <w:szCs w:val="22"/>
        </w:rPr>
        <w:t>behavior</w:t>
      </w:r>
      <w:proofErr w:type="spellEnd"/>
      <w:r w:rsidRPr="00254044">
        <w:rPr>
          <w:rFonts w:ascii="Arial" w:hAnsi="Arial" w:cs="Arial"/>
          <w:sz w:val="22"/>
          <w:szCs w:val="22"/>
        </w:rPr>
        <w:t xml:space="preserve"> in work teams’, </w:t>
      </w:r>
      <w:r w:rsidRPr="00254044">
        <w:rPr>
          <w:rFonts w:ascii="Arial" w:hAnsi="Arial" w:cs="Arial"/>
          <w:i/>
          <w:iCs/>
          <w:sz w:val="22"/>
          <w:szCs w:val="22"/>
        </w:rPr>
        <w:t>Administrative Science Quarterly</w:t>
      </w:r>
      <w:r w:rsidRPr="00254044">
        <w:rPr>
          <w:rFonts w:ascii="Arial" w:hAnsi="Arial" w:cs="Arial"/>
          <w:sz w:val="22"/>
          <w:szCs w:val="22"/>
        </w:rPr>
        <w:t>, 44(2), pp. 350–383.</w:t>
      </w:r>
    </w:p>
    <w:p w14:paraId="44C86CA8"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Gabel, S. (2013) ‘Transformational leadership and healthcare’, </w:t>
      </w:r>
      <w:r w:rsidRPr="00254044">
        <w:rPr>
          <w:rFonts w:ascii="Arial" w:hAnsi="Arial" w:cs="Arial"/>
          <w:i/>
          <w:iCs/>
          <w:sz w:val="22"/>
          <w:szCs w:val="22"/>
        </w:rPr>
        <w:t>Medical Science Educator</w:t>
      </w:r>
      <w:r w:rsidRPr="00254044">
        <w:rPr>
          <w:rFonts w:ascii="Arial" w:hAnsi="Arial" w:cs="Arial"/>
          <w:sz w:val="22"/>
          <w:szCs w:val="22"/>
        </w:rPr>
        <w:t xml:space="preserve">, 23(1), pp. 55–60. Available at: </w:t>
      </w:r>
      <w:hyperlink r:id="rId18" w:history="1">
        <w:r w:rsidRPr="00254044">
          <w:rPr>
            <w:rStyle w:val="Hyperlink"/>
            <w:rFonts w:ascii="Arial" w:hAnsi="Arial" w:cs="Arial"/>
            <w:sz w:val="22"/>
            <w:szCs w:val="22"/>
          </w:rPr>
          <w:t>https://doi.org/10.1007/BF03341803</w:t>
        </w:r>
      </w:hyperlink>
      <w:r w:rsidRPr="00254044">
        <w:rPr>
          <w:rFonts w:ascii="Arial" w:hAnsi="Arial" w:cs="Arial"/>
          <w:sz w:val="22"/>
          <w:szCs w:val="22"/>
        </w:rPr>
        <w:t>.</w:t>
      </w:r>
    </w:p>
    <w:p w14:paraId="57FD4591"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Gheduzzi, E., Cui, T., Picco, M., </w:t>
      </w:r>
      <w:proofErr w:type="spellStart"/>
      <w:r w:rsidRPr="00254044">
        <w:rPr>
          <w:rFonts w:ascii="Arial" w:hAnsi="Arial" w:cs="Arial"/>
          <w:sz w:val="22"/>
          <w:szCs w:val="22"/>
        </w:rPr>
        <w:t>Segato</w:t>
      </w:r>
      <w:proofErr w:type="spellEnd"/>
      <w:r w:rsidRPr="00254044">
        <w:rPr>
          <w:rFonts w:ascii="Arial" w:hAnsi="Arial" w:cs="Arial"/>
          <w:sz w:val="22"/>
          <w:szCs w:val="22"/>
        </w:rPr>
        <w:t xml:space="preserve">, F. and Osborne, S. (2026) ‘What drives the centralization or decentralization of network governance? A configurational analysis in different health and social care networks’, </w:t>
      </w:r>
      <w:r w:rsidRPr="00254044">
        <w:rPr>
          <w:rFonts w:ascii="Arial" w:hAnsi="Arial" w:cs="Arial"/>
          <w:i/>
          <w:iCs/>
          <w:sz w:val="22"/>
          <w:szCs w:val="22"/>
        </w:rPr>
        <w:t>Public Administration</w:t>
      </w:r>
      <w:r w:rsidRPr="00254044">
        <w:rPr>
          <w:rFonts w:ascii="Arial" w:hAnsi="Arial" w:cs="Arial"/>
          <w:sz w:val="22"/>
          <w:szCs w:val="22"/>
        </w:rPr>
        <w:t xml:space="preserve">, 104, pp. 266–289. Available at: </w:t>
      </w:r>
      <w:hyperlink r:id="rId19" w:history="1">
        <w:r w:rsidRPr="00254044">
          <w:rPr>
            <w:rStyle w:val="Hyperlink"/>
            <w:rFonts w:ascii="Arial" w:hAnsi="Arial" w:cs="Arial"/>
            <w:sz w:val="22"/>
            <w:szCs w:val="22"/>
          </w:rPr>
          <w:t>https://doi.org/10.1111/padm.70013</w:t>
        </w:r>
      </w:hyperlink>
      <w:r w:rsidRPr="00254044">
        <w:rPr>
          <w:rFonts w:ascii="Arial" w:hAnsi="Arial" w:cs="Arial"/>
          <w:sz w:val="22"/>
          <w:szCs w:val="22"/>
        </w:rPr>
        <w:t>.</w:t>
      </w:r>
    </w:p>
    <w:p w14:paraId="2A62B208"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Ghosh, S., Ramamoorthy, L. and </w:t>
      </w:r>
      <w:proofErr w:type="spellStart"/>
      <w:r w:rsidRPr="00254044">
        <w:rPr>
          <w:rFonts w:ascii="Arial" w:hAnsi="Arial" w:cs="Arial"/>
          <w:sz w:val="22"/>
          <w:szCs w:val="22"/>
        </w:rPr>
        <w:t>Pottakat</w:t>
      </w:r>
      <w:proofErr w:type="spellEnd"/>
      <w:r w:rsidRPr="00254044">
        <w:rPr>
          <w:rFonts w:ascii="Arial" w:hAnsi="Arial" w:cs="Arial"/>
          <w:sz w:val="22"/>
          <w:szCs w:val="22"/>
        </w:rPr>
        <w:t xml:space="preserve">, B. (2021) ‘Impact of structured clinical handover protocol on communication and patient satisfaction’, </w:t>
      </w:r>
      <w:r w:rsidRPr="00254044">
        <w:rPr>
          <w:rFonts w:ascii="Arial" w:hAnsi="Arial" w:cs="Arial"/>
          <w:i/>
          <w:iCs/>
          <w:sz w:val="22"/>
          <w:szCs w:val="22"/>
        </w:rPr>
        <w:t>Journal of Patient Experience</w:t>
      </w:r>
      <w:r w:rsidRPr="00254044">
        <w:rPr>
          <w:rFonts w:ascii="Arial" w:hAnsi="Arial" w:cs="Arial"/>
          <w:sz w:val="22"/>
          <w:szCs w:val="22"/>
        </w:rPr>
        <w:t xml:space="preserve">, 8, pp. 1–6. Available at: </w:t>
      </w:r>
      <w:hyperlink r:id="rId20" w:history="1">
        <w:r w:rsidRPr="00254044">
          <w:rPr>
            <w:rStyle w:val="Hyperlink"/>
            <w:rFonts w:ascii="Arial" w:hAnsi="Arial" w:cs="Arial"/>
            <w:sz w:val="22"/>
            <w:szCs w:val="22"/>
          </w:rPr>
          <w:t>https://doi.org/10.1177/2374373521997733</w:t>
        </w:r>
      </w:hyperlink>
      <w:r w:rsidRPr="00254044">
        <w:rPr>
          <w:rFonts w:ascii="Arial" w:hAnsi="Arial" w:cs="Arial"/>
          <w:sz w:val="22"/>
          <w:szCs w:val="22"/>
        </w:rPr>
        <w:t>.</w:t>
      </w:r>
    </w:p>
    <w:p w14:paraId="27549508"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Graeff, C.L. (1983) ‘The situational leadership theory: A critical view’, </w:t>
      </w:r>
      <w:r w:rsidRPr="00254044">
        <w:rPr>
          <w:rFonts w:ascii="Arial" w:hAnsi="Arial" w:cs="Arial"/>
          <w:i/>
          <w:iCs/>
          <w:sz w:val="22"/>
          <w:szCs w:val="22"/>
        </w:rPr>
        <w:t>Academy of Management Review</w:t>
      </w:r>
      <w:r w:rsidRPr="00254044">
        <w:rPr>
          <w:rFonts w:ascii="Arial" w:hAnsi="Arial" w:cs="Arial"/>
          <w:sz w:val="22"/>
          <w:szCs w:val="22"/>
        </w:rPr>
        <w:t xml:space="preserve">, 8(2), pp. 285–291. Available at: </w:t>
      </w:r>
      <w:hyperlink r:id="rId21" w:history="1">
        <w:r w:rsidRPr="00254044">
          <w:rPr>
            <w:rStyle w:val="Hyperlink"/>
            <w:rFonts w:ascii="Arial" w:hAnsi="Arial" w:cs="Arial"/>
            <w:sz w:val="22"/>
            <w:szCs w:val="22"/>
          </w:rPr>
          <w:t>https://doi.org/10.5465/amr.1983.4284738</w:t>
        </w:r>
      </w:hyperlink>
      <w:r w:rsidRPr="00254044">
        <w:rPr>
          <w:rFonts w:ascii="Arial" w:hAnsi="Arial" w:cs="Arial"/>
          <w:sz w:val="22"/>
          <w:szCs w:val="22"/>
        </w:rPr>
        <w:t>.</w:t>
      </w:r>
    </w:p>
    <w:p w14:paraId="72E60941" w14:textId="77777777" w:rsidR="00254044" w:rsidRPr="00254044" w:rsidRDefault="00254044" w:rsidP="0062345A">
      <w:pPr>
        <w:jc w:val="both"/>
        <w:rPr>
          <w:rFonts w:ascii="Arial" w:hAnsi="Arial" w:cs="Arial"/>
          <w:sz w:val="22"/>
          <w:szCs w:val="22"/>
        </w:rPr>
      </w:pPr>
      <w:proofErr w:type="spellStart"/>
      <w:r w:rsidRPr="00254044">
        <w:rPr>
          <w:rFonts w:ascii="Arial" w:hAnsi="Arial" w:cs="Arial"/>
          <w:sz w:val="22"/>
          <w:szCs w:val="22"/>
        </w:rPr>
        <w:t>Gruessner</w:t>
      </w:r>
      <w:proofErr w:type="spellEnd"/>
      <w:r w:rsidRPr="00254044">
        <w:rPr>
          <w:rFonts w:ascii="Arial" w:hAnsi="Arial" w:cs="Arial"/>
          <w:sz w:val="22"/>
          <w:szCs w:val="22"/>
        </w:rPr>
        <w:t xml:space="preserve">, R.W.G. (2023) ‘The need for transformational and transactional leadership in modern health care systems and hospitals’, </w:t>
      </w:r>
      <w:r w:rsidRPr="00254044">
        <w:rPr>
          <w:rFonts w:ascii="Arial" w:hAnsi="Arial" w:cs="Arial"/>
          <w:i/>
          <w:iCs/>
          <w:sz w:val="22"/>
          <w:szCs w:val="22"/>
        </w:rPr>
        <w:t>Annals of Public Health &amp; Epidemiology</w:t>
      </w:r>
      <w:r w:rsidRPr="00254044">
        <w:rPr>
          <w:rFonts w:ascii="Arial" w:hAnsi="Arial" w:cs="Arial"/>
          <w:sz w:val="22"/>
          <w:szCs w:val="22"/>
        </w:rPr>
        <w:t xml:space="preserve">, 2(2), article 000534. Available at: </w:t>
      </w:r>
      <w:hyperlink r:id="rId22" w:history="1">
        <w:r w:rsidRPr="00254044">
          <w:rPr>
            <w:rStyle w:val="Hyperlink"/>
            <w:rFonts w:ascii="Arial" w:hAnsi="Arial" w:cs="Arial"/>
            <w:sz w:val="22"/>
            <w:szCs w:val="22"/>
          </w:rPr>
          <w:t>https://doi.org/10.33552/APHE.2023.02.000534</w:t>
        </w:r>
      </w:hyperlink>
      <w:r w:rsidRPr="00254044">
        <w:rPr>
          <w:rFonts w:ascii="Arial" w:hAnsi="Arial" w:cs="Arial"/>
          <w:sz w:val="22"/>
          <w:szCs w:val="22"/>
        </w:rPr>
        <w:t>.</w:t>
      </w:r>
    </w:p>
    <w:p w14:paraId="7DFDE909"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lastRenderedPageBreak/>
        <w:t xml:space="preserve">Günzel-Jensen, F., Jain, A.K. and Kjeldsen, A.M. (2018) ‘Distributed leadership in health care: The role of formal leadership styles and organizational efficacy’, </w:t>
      </w:r>
      <w:r w:rsidRPr="00254044">
        <w:rPr>
          <w:rFonts w:ascii="Arial" w:hAnsi="Arial" w:cs="Arial"/>
          <w:i/>
          <w:iCs/>
          <w:sz w:val="22"/>
          <w:szCs w:val="22"/>
        </w:rPr>
        <w:t>Leadership</w:t>
      </w:r>
      <w:r w:rsidRPr="00254044">
        <w:rPr>
          <w:rFonts w:ascii="Arial" w:hAnsi="Arial" w:cs="Arial"/>
          <w:sz w:val="22"/>
          <w:szCs w:val="22"/>
        </w:rPr>
        <w:t xml:space="preserve">, 14(1), pp. 110–133. Available at: </w:t>
      </w:r>
      <w:hyperlink r:id="rId23" w:history="1">
        <w:r w:rsidRPr="00254044">
          <w:rPr>
            <w:rStyle w:val="Hyperlink"/>
            <w:rFonts w:ascii="Arial" w:hAnsi="Arial" w:cs="Arial"/>
            <w:sz w:val="22"/>
            <w:szCs w:val="22"/>
          </w:rPr>
          <w:t>https://doi.org/10.1177/1742715016646441</w:t>
        </w:r>
      </w:hyperlink>
      <w:r w:rsidRPr="00254044">
        <w:rPr>
          <w:rFonts w:ascii="Arial" w:hAnsi="Arial" w:cs="Arial"/>
          <w:sz w:val="22"/>
          <w:szCs w:val="22"/>
        </w:rPr>
        <w:t>.</w:t>
      </w:r>
    </w:p>
    <w:p w14:paraId="10E20A2A"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Haskell, H., Giardina, T., </w:t>
      </w:r>
      <w:proofErr w:type="spellStart"/>
      <w:r w:rsidRPr="00254044">
        <w:rPr>
          <w:rFonts w:ascii="Arial" w:hAnsi="Arial" w:cs="Arial"/>
          <w:sz w:val="22"/>
          <w:szCs w:val="22"/>
        </w:rPr>
        <w:t>Dolka</w:t>
      </w:r>
      <w:proofErr w:type="spellEnd"/>
      <w:r w:rsidRPr="00254044">
        <w:rPr>
          <w:rFonts w:ascii="Arial" w:hAnsi="Arial" w:cs="Arial"/>
          <w:sz w:val="22"/>
          <w:szCs w:val="22"/>
        </w:rPr>
        <w:t xml:space="preserve">, I. and McDonald, K.M. (2025) ‘Ten years on: How far have we come in patient engagement in diagnosis?’, </w:t>
      </w:r>
      <w:r w:rsidRPr="00254044">
        <w:rPr>
          <w:rFonts w:ascii="Arial" w:hAnsi="Arial" w:cs="Arial"/>
          <w:i/>
          <w:iCs/>
          <w:sz w:val="22"/>
          <w:szCs w:val="22"/>
        </w:rPr>
        <w:t>Diagnosis</w:t>
      </w:r>
      <w:r w:rsidRPr="00254044">
        <w:rPr>
          <w:rFonts w:ascii="Arial" w:hAnsi="Arial" w:cs="Arial"/>
          <w:sz w:val="22"/>
          <w:szCs w:val="22"/>
        </w:rPr>
        <w:t xml:space="preserve">, 12(4). Available at: </w:t>
      </w:r>
      <w:hyperlink r:id="rId24" w:history="1">
        <w:r w:rsidRPr="00254044">
          <w:rPr>
            <w:rStyle w:val="Hyperlink"/>
            <w:rFonts w:ascii="Arial" w:hAnsi="Arial" w:cs="Arial"/>
            <w:sz w:val="22"/>
            <w:szCs w:val="22"/>
          </w:rPr>
          <w:t>https://doi.org/10.1515/dx-2025-0125</w:t>
        </w:r>
      </w:hyperlink>
      <w:r w:rsidRPr="00254044">
        <w:rPr>
          <w:rFonts w:ascii="Arial" w:hAnsi="Arial" w:cs="Arial"/>
          <w:sz w:val="22"/>
          <w:szCs w:val="22"/>
        </w:rPr>
        <w:t>.</w:t>
      </w:r>
    </w:p>
    <w:p w14:paraId="4AACA587"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Hibbert, P.D., Stewart, S., Wiles, L.K., Braithwaite, J., Runciman, W.B. and Thomas, M.J.W. (2023) ‘Improving patient safety governance and systems through learning from successes and failures: Qualitative surveys and interviews with international experts’, </w:t>
      </w:r>
      <w:r w:rsidRPr="00254044">
        <w:rPr>
          <w:rFonts w:ascii="Arial" w:hAnsi="Arial" w:cs="Arial"/>
          <w:i/>
          <w:iCs/>
          <w:sz w:val="22"/>
          <w:szCs w:val="22"/>
        </w:rPr>
        <w:t>International Journal for Quality in Health Care</w:t>
      </w:r>
      <w:r w:rsidRPr="00254044">
        <w:rPr>
          <w:rFonts w:ascii="Arial" w:hAnsi="Arial" w:cs="Arial"/>
          <w:sz w:val="22"/>
          <w:szCs w:val="22"/>
        </w:rPr>
        <w:t xml:space="preserve">, 35(4), mzad088. Available at: </w:t>
      </w:r>
      <w:hyperlink r:id="rId25" w:history="1">
        <w:r w:rsidRPr="00254044">
          <w:rPr>
            <w:rStyle w:val="Hyperlink"/>
            <w:rFonts w:ascii="Arial" w:hAnsi="Arial" w:cs="Arial"/>
            <w:sz w:val="22"/>
            <w:szCs w:val="22"/>
          </w:rPr>
          <w:t>https://doi.org/10.1093/intqhc/mzad088</w:t>
        </w:r>
      </w:hyperlink>
      <w:r w:rsidRPr="00254044">
        <w:rPr>
          <w:rFonts w:ascii="Arial" w:hAnsi="Arial" w:cs="Arial"/>
          <w:sz w:val="22"/>
          <w:szCs w:val="22"/>
        </w:rPr>
        <w:t>.</w:t>
      </w:r>
    </w:p>
    <w:p w14:paraId="5C5715B1"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Johnson, J., Haskell, H. and Barach, P. (2009) </w:t>
      </w:r>
      <w:r w:rsidRPr="00254044">
        <w:rPr>
          <w:rFonts w:ascii="Arial" w:hAnsi="Arial" w:cs="Arial"/>
          <w:i/>
          <w:iCs/>
          <w:sz w:val="22"/>
          <w:szCs w:val="22"/>
        </w:rPr>
        <w:t>Lewis’ story: “It’s hard to kill a healthy 15-year-old”</w:t>
      </w:r>
      <w:r w:rsidRPr="00254044">
        <w:rPr>
          <w:rFonts w:ascii="Arial" w:hAnsi="Arial" w:cs="Arial"/>
          <w:sz w:val="22"/>
          <w:szCs w:val="22"/>
        </w:rPr>
        <w:t xml:space="preserve"> [patient-safety timeline].</w:t>
      </w:r>
    </w:p>
    <w:p w14:paraId="13E8057D"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Johnson, J.K., Haskell, H. and Barach, P. (2012) ‘The Lewis Blackman Hospital Patient Safety Act: It’s hard to kill a healthy 15-year-old’, in </w:t>
      </w:r>
      <w:r w:rsidRPr="00254044">
        <w:rPr>
          <w:rFonts w:ascii="Arial" w:hAnsi="Arial" w:cs="Arial"/>
          <w:i/>
          <w:iCs/>
          <w:sz w:val="22"/>
          <w:szCs w:val="22"/>
        </w:rPr>
        <w:t>Implementing continuous quality improvement in health care: A global casebook</w:t>
      </w:r>
      <w:r w:rsidRPr="00254044">
        <w:rPr>
          <w:rFonts w:ascii="Arial" w:hAnsi="Arial" w:cs="Arial"/>
          <w:sz w:val="22"/>
          <w:szCs w:val="22"/>
        </w:rPr>
        <w:t>. Jones &amp; Bartlett Learning.</w:t>
      </w:r>
    </w:p>
    <w:p w14:paraId="47274C40"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Johnston, M.J., Arora, S., King, D., Bouras, G., </w:t>
      </w:r>
      <w:proofErr w:type="spellStart"/>
      <w:r w:rsidRPr="00254044">
        <w:rPr>
          <w:rFonts w:ascii="Arial" w:hAnsi="Arial" w:cs="Arial"/>
          <w:sz w:val="22"/>
          <w:szCs w:val="22"/>
        </w:rPr>
        <w:t>Almoudaris</w:t>
      </w:r>
      <w:proofErr w:type="spellEnd"/>
      <w:r w:rsidRPr="00254044">
        <w:rPr>
          <w:rFonts w:ascii="Arial" w:hAnsi="Arial" w:cs="Arial"/>
          <w:sz w:val="22"/>
          <w:szCs w:val="22"/>
        </w:rPr>
        <w:t xml:space="preserve">, A.M., Davis, R. and Darzi, A. (2015) ‘A systematic review to identify the factors that affect failure to rescue and escalation of care in surgery’, </w:t>
      </w:r>
      <w:r w:rsidRPr="00254044">
        <w:rPr>
          <w:rFonts w:ascii="Arial" w:hAnsi="Arial" w:cs="Arial"/>
          <w:i/>
          <w:iCs/>
          <w:sz w:val="22"/>
          <w:szCs w:val="22"/>
        </w:rPr>
        <w:t>Surgery</w:t>
      </w:r>
      <w:r w:rsidRPr="00254044">
        <w:rPr>
          <w:rFonts w:ascii="Arial" w:hAnsi="Arial" w:cs="Arial"/>
          <w:sz w:val="22"/>
          <w:szCs w:val="22"/>
        </w:rPr>
        <w:t xml:space="preserve">, 157(4), pp. 752–763. Available at: </w:t>
      </w:r>
      <w:hyperlink r:id="rId26" w:history="1">
        <w:r w:rsidRPr="00254044">
          <w:rPr>
            <w:rStyle w:val="Hyperlink"/>
            <w:rFonts w:ascii="Arial" w:hAnsi="Arial" w:cs="Arial"/>
            <w:sz w:val="22"/>
            <w:szCs w:val="22"/>
          </w:rPr>
          <w:t>https://doi.org/10.1016/j.surg.2014.10.017</w:t>
        </w:r>
      </w:hyperlink>
      <w:r w:rsidRPr="00254044">
        <w:rPr>
          <w:rFonts w:ascii="Arial" w:hAnsi="Arial" w:cs="Arial"/>
          <w:sz w:val="22"/>
          <w:szCs w:val="22"/>
        </w:rPr>
        <w:t>.</w:t>
      </w:r>
    </w:p>
    <w:p w14:paraId="49A503CC"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Kern, L.M., Bynum, J.P.W. and Pincus, H.A. (2024) ‘Care fragmentation, care continuity, and care coordination—how they differ and why </w:t>
      </w:r>
      <w:proofErr w:type="gramStart"/>
      <w:r w:rsidRPr="00254044">
        <w:rPr>
          <w:rFonts w:ascii="Arial" w:hAnsi="Arial" w:cs="Arial"/>
          <w:sz w:val="22"/>
          <w:szCs w:val="22"/>
        </w:rPr>
        <w:t>it</w:t>
      </w:r>
      <w:proofErr w:type="gramEnd"/>
      <w:r w:rsidRPr="00254044">
        <w:rPr>
          <w:rFonts w:ascii="Arial" w:hAnsi="Arial" w:cs="Arial"/>
          <w:sz w:val="22"/>
          <w:szCs w:val="22"/>
        </w:rPr>
        <w:t xml:space="preserve"> matters’, </w:t>
      </w:r>
      <w:r w:rsidRPr="00254044">
        <w:rPr>
          <w:rFonts w:ascii="Arial" w:hAnsi="Arial" w:cs="Arial"/>
          <w:i/>
          <w:iCs/>
          <w:sz w:val="22"/>
          <w:szCs w:val="22"/>
        </w:rPr>
        <w:t>JAMA Internal Medicine</w:t>
      </w:r>
      <w:r w:rsidRPr="00254044">
        <w:rPr>
          <w:rFonts w:ascii="Arial" w:hAnsi="Arial" w:cs="Arial"/>
          <w:sz w:val="22"/>
          <w:szCs w:val="22"/>
        </w:rPr>
        <w:t xml:space="preserve">, 184(3), pp. 236–237. Available at: </w:t>
      </w:r>
      <w:hyperlink r:id="rId27" w:history="1">
        <w:r w:rsidRPr="00254044">
          <w:rPr>
            <w:rStyle w:val="Hyperlink"/>
            <w:rFonts w:ascii="Arial" w:hAnsi="Arial" w:cs="Arial"/>
            <w:sz w:val="22"/>
            <w:szCs w:val="22"/>
          </w:rPr>
          <w:t>https://doi.org/10.1001/jamainternmed.2023.7628</w:t>
        </w:r>
      </w:hyperlink>
      <w:r w:rsidRPr="00254044">
        <w:rPr>
          <w:rFonts w:ascii="Arial" w:hAnsi="Arial" w:cs="Arial"/>
          <w:sz w:val="22"/>
          <w:szCs w:val="22"/>
        </w:rPr>
        <w:t>.</w:t>
      </w:r>
    </w:p>
    <w:p w14:paraId="5A8F8D10"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Lewis Blackman Case Study (2022) ‘Case Study 1’ [teaching material].</w:t>
      </w:r>
    </w:p>
    <w:p w14:paraId="5023847D"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Lin, S.P., Chang, C.W., Wu, C.Y., Chin, C.S., Lin, C.H., Shiu, S.I., Chen, Y.W., Yen, T.H., Chen, H.C., Lai, Y.H., Hou, S.C., Wu, M.J. and Chen, H.H. (2022) ‘The effectiveness of multidisciplinary team huddles in healthcare hospital-based setting’, </w:t>
      </w:r>
      <w:r w:rsidRPr="00254044">
        <w:rPr>
          <w:rFonts w:ascii="Arial" w:hAnsi="Arial" w:cs="Arial"/>
          <w:i/>
          <w:iCs/>
          <w:sz w:val="22"/>
          <w:szCs w:val="22"/>
        </w:rPr>
        <w:t>Journal of Multidisciplinary Healthcare</w:t>
      </w:r>
      <w:r w:rsidRPr="00254044">
        <w:rPr>
          <w:rFonts w:ascii="Arial" w:hAnsi="Arial" w:cs="Arial"/>
          <w:sz w:val="22"/>
          <w:szCs w:val="22"/>
        </w:rPr>
        <w:t>, 15, pp. 2241–2247.</w:t>
      </w:r>
    </w:p>
    <w:p w14:paraId="7D9E9BE7"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Mahmoodi, A.N., Patel, P. and Kim, P.Y. (2024) ‘Ketorolac’, in </w:t>
      </w:r>
      <w:proofErr w:type="spellStart"/>
      <w:r w:rsidRPr="00254044">
        <w:rPr>
          <w:rFonts w:ascii="Arial" w:hAnsi="Arial" w:cs="Arial"/>
          <w:i/>
          <w:iCs/>
          <w:sz w:val="22"/>
          <w:szCs w:val="22"/>
        </w:rPr>
        <w:t>StatPearls</w:t>
      </w:r>
      <w:proofErr w:type="spellEnd"/>
      <w:r w:rsidRPr="00254044">
        <w:rPr>
          <w:rFonts w:ascii="Arial" w:hAnsi="Arial" w:cs="Arial"/>
          <w:sz w:val="22"/>
          <w:szCs w:val="22"/>
        </w:rPr>
        <w:t xml:space="preserve"> [Internet]. Treasure Island, FL: </w:t>
      </w:r>
      <w:proofErr w:type="spellStart"/>
      <w:r w:rsidRPr="00254044">
        <w:rPr>
          <w:rFonts w:ascii="Arial" w:hAnsi="Arial" w:cs="Arial"/>
          <w:sz w:val="22"/>
          <w:szCs w:val="22"/>
        </w:rPr>
        <w:t>StatPearls</w:t>
      </w:r>
      <w:proofErr w:type="spellEnd"/>
      <w:r w:rsidRPr="00254044">
        <w:rPr>
          <w:rFonts w:ascii="Arial" w:hAnsi="Arial" w:cs="Arial"/>
          <w:sz w:val="22"/>
          <w:szCs w:val="22"/>
        </w:rPr>
        <w:t xml:space="preserve"> Publishing.</w:t>
      </w:r>
    </w:p>
    <w:p w14:paraId="48CFEDB8"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Marume, S.B.M. and </w:t>
      </w:r>
      <w:proofErr w:type="spellStart"/>
      <w:r w:rsidRPr="00254044">
        <w:rPr>
          <w:rFonts w:ascii="Arial" w:hAnsi="Arial" w:cs="Arial"/>
          <w:sz w:val="22"/>
          <w:szCs w:val="22"/>
        </w:rPr>
        <w:t>Jubenkanda</w:t>
      </w:r>
      <w:proofErr w:type="spellEnd"/>
      <w:r w:rsidRPr="00254044">
        <w:rPr>
          <w:rFonts w:ascii="Arial" w:hAnsi="Arial" w:cs="Arial"/>
          <w:sz w:val="22"/>
          <w:szCs w:val="22"/>
        </w:rPr>
        <w:t xml:space="preserve">, R.R. (2016) ‘Centralization and decentralization’, </w:t>
      </w:r>
      <w:r w:rsidRPr="00254044">
        <w:rPr>
          <w:rFonts w:ascii="Arial" w:hAnsi="Arial" w:cs="Arial"/>
          <w:i/>
          <w:iCs/>
          <w:sz w:val="22"/>
          <w:szCs w:val="22"/>
        </w:rPr>
        <w:t>Journal of Research in Humanities and Social Science</w:t>
      </w:r>
      <w:r w:rsidRPr="00254044">
        <w:rPr>
          <w:rFonts w:ascii="Arial" w:hAnsi="Arial" w:cs="Arial"/>
          <w:sz w:val="22"/>
          <w:szCs w:val="22"/>
        </w:rPr>
        <w:t>, 4(6), pp. 106–110.</w:t>
      </w:r>
    </w:p>
    <w:p w14:paraId="6BDF8EF9"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McCleskey, J.A. (2014) ‘Situational, transformational, and transactional leadership and leadership development’, </w:t>
      </w:r>
      <w:r w:rsidRPr="00254044">
        <w:rPr>
          <w:rFonts w:ascii="Arial" w:hAnsi="Arial" w:cs="Arial"/>
          <w:i/>
          <w:iCs/>
          <w:sz w:val="22"/>
          <w:szCs w:val="22"/>
        </w:rPr>
        <w:t>Journal of Business Studies Quarterly</w:t>
      </w:r>
      <w:r w:rsidRPr="00254044">
        <w:rPr>
          <w:rFonts w:ascii="Arial" w:hAnsi="Arial" w:cs="Arial"/>
          <w:sz w:val="22"/>
          <w:szCs w:val="22"/>
        </w:rPr>
        <w:t>, 5(4), pp. 117–130.</w:t>
      </w:r>
    </w:p>
    <w:p w14:paraId="7A7CCC35"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McDermott, A.M., Hamel, L.M., Steel, D., Flood, P.C. and McKee, L. (2015) ‘Hybrid healthcare governance for improvement? Combining top-down and bottom-up approaches to public sector regulation’, </w:t>
      </w:r>
      <w:r w:rsidRPr="00254044">
        <w:rPr>
          <w:rFonts w:ascii="Arial" w:hAnsi="Arial" w:cs="Arial"/>
          <w:i/>
          <w:iCs/>
          <w:sz w:val="22"/>
          <w:szCs w:val="22"/>
        </w:rPr>
        <w:t>Public Administration</w:t>
      </w:r>
      <w:r w:rsidRPr="00254044">
        <w:rPr>
          <w:rFonts w:ascii="Arial" w:hAnsi="Arial" w:cs="Arial"/>
          <w:sz w:val="22"/>
          <w:szCs w:val="22"/>
        </w:rPr>
        <w:t xml:space="preserve">, 93(2), pp. 324–344. Available at: </w:t>
      </w:r>
      <w:hyperlink r:id="rId28" w:history="1">
        <w:r w:rsidRPr="00254044">
          <w:rPr>
            <w:rStyle w:val="Hyperlink"/>
            <w:rFonts w:ascii="Arial" w:hAnsi="Arial" w:cs="Arial"/>
            <w:sz w:val="22"/>
            <w:szCs w:val="22"/>
          </w:rPr>
          <w:t>https://doi.org/10.1111/padm.12118</w:t>
        </w:r>
      </w:hyperlink>
      <w:r w:rsidRPr="00254044">
        <w:rPr>
          <w:rFonts w:ascii="Arial" w:hAnsi="Arial" w:cs="Arial"/>
          <w:sz w:val="22"/>
          <w:szCs w:val="22"/>
        </w:rPr>
        <w:t>.</w:t>
      </w:r>
    </w:p>
    <w:p w14:paraId="20B300DF"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lastRenderedPageBreak/>
        <w:t xml:space="preserve">McKinney, A., Fitzsimons, D., Blackwood, B. and McGaughey, J. (2019) ‘Patient and family-initiated escalation of care: A qualitative systematic review protocol’, </w:t>
      </w:r>
      <w:r w:rsidRPr="00254044">
        <w:rPr>
          <w:rFonts w:ascii="Arial" w:hAnsi="Arial" w:cs="Arial"/>
          <w:i/>
          <w:iCs/>
          <w:sz w:val="22"/>
          <w:szCs w:val="22"/>
        </w:rPr>
        <w:t>Systematic Reviews</w:t>
      </w:r>
      <w:r w:rsidRPr="00254044">
        <w:rPr>
          <w:rFonts w:ascii="Arial" w:hAnsi="Arial" w:cs="Arial"/>
          <w:sz w:val="22"/>
          <w:szCs w:val="22"/>
        </w:rPr>
        <w:t xml:space="preserve">, 8, article 91. Available at: </w:t>
      </w:r>
      <w:hyperlink r:id="rId29" w:history="1">
        <w:r w:rsidRPr="00254044">
          <w:rPr>
            <w:rStyle w:val="Hyperlink"/>
            <w:rFonts w:ascii="Arial" w:hAnsi="Arial" w:cs="Arial"/>
            <w:sz w:val="22"/>
            <w:szCs w:val="22"/>
          </w:rPr>
          <w:t>https://doi.org/10.1186/s13643-019-1010-z</w:t>
        </w:r>
      </w:hyperlink>
      <w:r w:rsidRPr="00254044">
        <w:rPr>
          <w:rFonts w:ascii="Arial" w:hAnsi="Arial" w:cs="Arial"/>
          <w:sz w:val="22"/>
          <w:szCs w:val="22"/>
        </w:rPr>
        <w:t>.</w:t>
      </w:r>
    </w:p>
    <w:p w14:paraId="0E3528FB"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National Health Systems Resource Centre (2022) Case study: Patient safety. New Delhi: National Health Systems Resource Centre. Available at: https://qps.nhsrcindia.org/sites/default/files/2022-11/Case-Study-Patient-Safety-Edited.pdf (Accessed: 5 August 2026).</w:t>
      </w:r>
    </w:p>
    <w:p w14:paraId="2871E0FA"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NHS England (2025) </w:t>
      </w:r>
      <w:r w:rsidRPr="00254044">
        <w:rPr>
          <w:rFonts w:ascii="Arial" w:hAnsi="Arial" w:cs="Arial"/>
          <w:i/>
          <w:iCs/>
          <w:sz w:val="22"/>
          <w:szCs w:val="22"/>
        </w:rPr>
        <w:t>Medication safety management</w:t>
      </w:r>
      <w:r w:rsidRPr="00254044">
        <w:rPr>
          <w:rFonts w:ascii="Arial" w:hAnsi="Arial" w:cs="Arial"/>
          <w:sz w:val="22"/>
          <w:szCs w:val="22"/>
        </w:rPr>
        <w:t>. Version 1.2. London: NHS England.</w:t>
      </w:r>
    </w:p>
    <w:p w14:paraId="33D0AEB6"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NSW Health (2025) </w:t>
      </w:r>
      <w:r w:rsidRPr="00254044">
        <w:rPr>
          <w:rFonts w:ascii="Arial" w:hAnsi="Arial" w:cs="Arial"/>
          <w:i/>
          <w:iCs/>
          <w:sz w:val="22"/>
          <w:szCs w:val="22"/>
        </w:rPr>
        <w:t>Recognition and management of patients who are deteriorating</w:t>
      </w:r>
      <w:r w:rsidRPr="00254044">
        <w:rPr>
          <w:rFonts w:ascii="Arial" w:hAnsi="Arial" w:cs="Arial"/>
          <w:sz w:val="22"/>
          <w:szCs w:val="22"/>
        </w:rPr>
        <w:t>. Policy Directive PD2025_014. Sydney: NSW Health.</w:t>
      </w:r>
    </w:p>
    <w:p w14:paraId="67CB586D"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Otero, M.J., Rodríguez Marrodan, B., Prieto Santos, N., Villalobos Pinto, E., Manrique Rodríguez, S., Padilla Peinado, R., Fernández-</w:t>
      </w:r>
      <w:proofErr w:type="spellStart"/>
      <w:r w:rsidRPr="00254044">
        <w:rPr>
          <w:rFonts w:ascii="Arial" w:hAnsi="Arial" w:cs="Arial"/>
          <w:sz w:val="22"/>
          <w:szCs w:val="22"/>
        </w:rPr>
        <w:t>Llamazares</w:t>
      </w:r>
      <w:proofErr w:type="spellEnd"/>
      <w:r w:rsidRPr="00254044">
        <w:rPr>
          <w:rFonts w:ascii="Arial" w:hAnsi="Arial" w:cs="Arial"/>
          <w:sz w:val="22"/>
          <w:szCs w:val="22"/>
        </w:rPr>
        <w:t xml:space="preserve">, C.M. and Madrid Rodríguez, A. (2025) ‘Recommendations for the safe use of high-risk medications in </w:t>
      </w:r>
      <w:proofErr w:type="spellStart"/>
      <w:r w:rsidRPr="00254044">
        <w:rPr>
          <w:rFonts w:ascii="Arial" w:hAnsi="Arial" w:cs="Arial"/>
          <w:sz w:val="22"/>
          <w:szCs w:val="22"/>
        </w:rPr>
        <w:t>pediatrics</w:t>
      </w:r>
      <w:proofErr w:type="spellEnd"/>
      <w:r w:rsidRPr="00254044">
        <w:rPr>
          <w:rFonts w:ascii="Arial" w:hAnsi="Arial" w:cs="Arial"/>
          <w:sz w:val="22"/>
          <w:szCs w:val="22"/>
        </w:rPr>
        <w:t xml:space="preserve">’, </w:t>
      </w:r>
      <w:proofErr w:type="spellStart"/>
      <w:r w:rsidRPr="00254044">
        <w:rPr>
          <w:rFonts w:ascii="Arial" w:hAnsi="Arial" w:cs="Arial"/>
          <w:i/>
          <w:iCs/>
          <w:sz w:val="22"/>
          <w:szCs w:val="22"/>
        </w:rPr>
        <w:t>Anales</w:t>
      </w:r>
      <w:proofErr w:type="spellEnd"/>
      <w:r w:rsidRPr="00254044">
        <w:rPr>
          <w:rFonts w:ascii="Arial" w:hAnsi="Arial" w:cs="Arial"/>
          <w:i/>
          <w:iCs/>
          <w:sz w:val="22"/>
          <w:szCs w:val="22"/>
        </w:rPr>
        <w:t xml:space="preserve"> de </w:t>
      </w:r>
      <w:proofErr w:type="spellStart"/>
      <w:r w:rsidRPr="00254044">
        <w:rPr>
          <w:rFonts w:ascii="Arial" w:hAnsi="Arial" w:cs="Arial"/>
          <w:i/>
          <w:iCs/>
          <w:sz w:val="22"/>
          <w:szCs w:val="22"/>
        </w:rPr>
        <w:t>Pediatría</w:t>
      </w:r>
      <w:proofErr w:type="spellEnd"/>
      <w:r w:rsidRPr="00254044">
        <w:rPr>
          <w:rFonts w:ascii="Arial" w:hAnsi="Arial" w:cs="Arial"/>
          <w:sz w:val="22"/>
          <w:szCs w:val="22"/>
        </w:rPr>
        <w:t xml:space="preserve">, 103, article 503815. Available at: </w:t>
      </w:r>
      <w:hyperlink r:id="rId30" w:history="1">
        <w:r w:rsidRPr="00254044">
          <w:rPr>
            <w:rStyle w:val="Hyperlink"/>
            <w:rFonts w:ascii="Arial" w:hAnsi="Arial" w:cs="Arial"/>
            <w:sz w:val="22"/>
            <w:szCs w:val="22"/>
          </w:rPr>
          <w:t>https://doi.org/10.1016/j.anpedi.2025.503815</w:t>
        </w:r>
      </w:hyperlink>
      <w:r w:rsidRPr="00254044">
        <w:rPr>
          <w:rFonts w:ascii="Arial" w:hAnsi="Arial" w:cs="Arial"/>
          <w:sz w:val="22"/>
          <w:szCs w:val="22"/>
        </w:rPr>
        <w:t>.</w:t>
      </w:r>
    </w:p>
    <w:p w14:paraId="7F0C4568"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Patient Safety Movement Foundation (2026) Lewis Blackman. Available at: https://psmf.org/story/lewis-blackman/ (Accessed: 5 August 2026).</w:t>
      </w:r>
    </w:p>
    <w:p w14:paraId="14CF91A2"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Putra, S., Setiadi, N.J., Gautama, I., Bandur, A. and </w:t>
      </w:r>
      <w:proofErr w:type="spellStart"/>
      <w:r w:rsidRPr="00254044">
        <w:rPr>
          <w:rFonts w:ascii="Arial" w:hAnsi="Arial" w:cs="Arial"/>
          <w:sz w:val="22"/>
          <w:szCs w:val="22"/>
        </w:rPr>
        <w:t>Sundjaja</w:t>
      </w:r>
      <w:proofErr w:type="spellEnd"/>
      <w:r w:rsidRPr="00254044">
        <w:rPr>
          <w:rFonts w:ascii="Arial" w:hAnsi="Arial" w:cs="Arial"/>
          <w:sz w:val="22"/>
          <w:szCs w:val="22"/>
        </w:rPr>
        <w:t xml:space="preserve">, A.M. (2025) ‘The relationship between leadership, psychological safety, and innovation: A bibliometric review analysis’, </w:t>
      </w:r>
      <w:r w:rsidRPr="00254044">
        <w:rPr>
          <w:rFonts w:ascii="Arial" w:hAnsi="Arial" w:cs="Arial"/>
          <w:i/>
          <w:iCs/>
          <w:sz w:val="22"/>
          <w:szCs w:val="22"/>
        </w:rPr>
        <w:t>International Journal of Innovative Research and Scientific Studies</w:t>
      </w:r>
      <w:r w:rsidRPr="00254044">
        <w:rPr>
          <w:rFonts w:ascii="Arial" w:hAnsi="Arial" w:cs="Arial"/>
          <w:sz w:val="22"/>
          <w:szCs w:val="22"/>
        </w:rPr>
        <w:t xml:space="preserve">, 8(3), pp. 2240–2254. Available at: </w:t>
      </w:r>
      <w:hyperlink r:id="rId31" w:history="1">
        <w:r w:rsidRPr="00254044">
          <w:rPr>
            <w:rStyle w:val="Hyperlink"/>
            <w:rFonts w:ascii="Arial" w:hAnsi="Arial" w:cs="Arial"/>
            <w:sz w:val="22"/>
            <w:szCs w:val="22"/>
          </w:rPr>
          <w:t>https://doi.org/10.53894/ijirss.v8i3.6977</w:t>
        </w:r>
      </w:hyperlink>
      <w:r w:rsidRPr="00254044">
        <w:rPr>
          <w:rFonts w:ascii="Arial" w:hAnsi="Arial" w:cs="Arial"/>
          <w:sz w:val="22"/>
          <w:szCs w:val="22"/>
        </w:rPr>
        <w:t>.</w:t>
      </w:r>
    </w:p>
    <w:p w14:paraId="7A12A839"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Rowe, E., McNicol, E.D. and Cooper, T.E. (2020) ‘Ketorolac for postoperative pain in children’, </w:t>
      </w:r>
      <w:r w:rsidRPr="00254044">
        <w:rPr>
          <w:rFonts w:ascii="Arial" w:hAnsi="Arial" w:cs="Arial"/>
          <w:i/>
          <w:iCs/>
          <w:sz w:val="22"/>
          <w:szCs w:val="22"/>
        </w:rPr>
        <w:t>Cochrane Database of Systematic Reviews</w:t>
      </w:r>
      <w:r w:rsidRPr="00254044">
        <w:rPr>
          <w:rFonts w:ascii="Arial" w:hAnsi="Arial" w:cs="Arial"/>
          <w:sz w:val="22"/>
          <w:szCs w:val="22"/>
        </w:rPr>
        <w:t xml:space="preserve">, 7, CD012294. Available at: </w:t>
      </w:r>
      <w:hyperlink r:id="rId32" w:history="1">
        <w:r w:rsidRPr="00254044">
          <w:rPr>
            <w:rStyle w:val="Hyperlink"/>
            <w:rFonts w:ascii="Arial" w:hAnsi="Arial" w:cs="Arial"/>
            <w:sz w:val="22"/>
            <w:szCs w:val="22"/>
          </w:rPr>
          <w:t>https://doi.org/10.1002/14651858.CD012294.pub2</w:t>
        </w:r>
      </w:hyperlink>
      <w:r w:rsidRPr="00254044">
        <w:rPr>
          <w:rFonts w:ascii="Arial" w:hAnsi="Arial" w:cs="Arial"/>
          <w:sz w:val="22"/>
          <w:szCs w:val="22"/>
        </w:rPr>
        <w:t>.</w:t>
      </w:r>
    </w:p>
    <w:p w14:paraId="38CC91A3"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Sapkota, S., Dhakal, A., Rushton, S., van </w:t>
      </w:r>
      <w:proofErr w:type="spellStart"/>
      <w:r w:rsidRPr="00254044">
        <w:rPr>
          <w:rFonts w:ascii="Arial" w:hAnsi="Arial" w:cs="Arial"/>
          <w:sz w:val="22"/>
          <w:szCs w:val="22"/>
        </w:rPr>
        <w:t>Teijlingen</w:t>
      </w:r>
      <w:proofErr w:type="spellEnd"/>
      <w:r w:rsidRPr="00254044">
        <w:rPr>
          <w:rFonts w:ascii="Arial" w:hAnsi="Arial" w:cs="Arial"/>
          <w:sz w:val="22"/>
          <w:szCs w:val="22"/>
        </w:rPr>
        <w:t xml:space="preserve">, E., </w:t>
      </w:r>
      <w:proofErr w:type="spellStart"/>
      <w:r w:rsidRPr="00254044">
        <w:rPr>
          <w:rFonts w:ascii="Arial" w:hAnsi="Arial" w:cs="Arial"/>
          <w:sz w:val="22"/>
          <w:szCs w:val="22"/>
        </w:rPr>
        <w:t>Marahatta</w:t>
      </w:r>
      <w:proofErr w:type="spellEnd"/>
      <w:r w:rsidRPr="00254044">
        <w:rPr>
          <w:rFonts w:ascii="Arial" w:hAnsi="Arial" w:cs="Arial"/>
          <w:sz w:val="22"/>
          <w:szCs w:val="22"/>
        </w:rPr>
        <w:t xml:space="preserve">, S.B., Balen, J. and Lee, A.C.K. (2023) ‘The impact of decentralisation on health systems: A systematic review of reviews’, </w:t>
      </w:r>
      <w:r w:rsidRPr="00254044">
        <w:rPr>
          <w:rFonts w:ascii="Arial" w:hAnsi="Arial" w:cs="Arial"/>
          <w:i/>
          <w:iCs/>
          <w:sz w:val="22"/>
          <w:szCs w:val="22"/>
        </w:rPr>
        <w:t>BMJ Global Health</w:t>
      </w:r>
      <w:r w:rsidRPr="00254044">
        <w:rPr>
          <w:rFonts w:ascii="Arial" w:hAnsi="Arial" w:cs="Arial"/>
          <w:sz w:val="22"/>
          <w:szCs w:val="22"/>
        </w:rPr>
        <w:t xml:space="preserve">, 8, article e013317. Available at: </w:t>
      </w:r>
      <w:hyperlink r:id="rId33" w:history="1">
        <w:r w:rsidRPr="00254044">
          <w:rPr>
            <w:rStyle w:val="Hyperlink"/>
            <w:rFonts w:ascii="Arial" w:hAnsi="Arial" w:cs="Arial"/>
            <w:sz w:val="22"/>
            <w:szCs w:val="22"/>
          </w:rPr>
          <w:t>https://doi.org/10.1136/bmjgh-2023-013317</w:t>
        </w:r>
      </w:hyperlink>
      <w:r w:rsidRPr="00254044">
        <w:rPr>
          <w:rFonts w:ascii="Arial" w:hAnsi="Arial" w:cs="Arial"/>
          <w:sz w:val="22"/>
          <w:szCs w:val="22"/>
        </w:rPr>
        <w:t>.</w:t>
      </w:r>
    </w:p>
    <w:p w14:paraId="1AFBE8AB"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Sekar, H., Dharmasena, D., Gunasekara, A., Nauta, M., </w:t>
      </w:r>
      <w:proofErr w:type="spellStart"/>
      <w:r w:rsidRPr="00254044">
        <w:rPr>
          <w:rFonts w:ascii="Arial" w:hAnsi="Arial" w:cs="Arial"/>
          <w:sz w:val="22"/>
          <w:szCs w:val="22"/>
        </w:rPr>
        <w:t>Sivashanmugarajan</w:t>
      </w:r>
      <w:proofErr w:type="spellEnd"/>
      <w:r w:rsidRPr="00254044">
        <w:rPr>
          <w:rFonts w:ascii="Arial" w:hAnsi="Arial" w:cs="Arial"/>
          <w:sz w:val="22"/>
          <w:szCs w:val="22"/>
        </w:rPr>
        <w:t xml:space="preserve">, V. and Yoong, W. (2022) ‘Understanding authority gradient: Tips for speaking up for patient safety and how to enhance the listening response’, </w:t>
      </w:r>
      <w:r w:rsidRPr="00254044">
        <w:rPr>
          <w:rFonts w:ascii="Arial" w:hAnsi="Arial" w:cs="Arial"/>
          <w:i/>
          <w:iCs/>
          <w:sz w:val="22"/>
          <w:szCs w:val="22"/>
        </w:rPr>
        <w:t>The Obstetrician &amp; Gynaecologist</w:t>
      </w:r>
      <w:r w:rsidRPr="00254044">
        <w:rPr>
          <w:rFonts w:ascii="Arial" w:hAnsi="Arial" w:cs="Arial"/>
          <w:sz w:val="22"/>
          <w:szCs w:val="22"/>
        </w:rPr>
        <w:t xml:space="preserve">, 24(4), pp. 272–280. Available at: </w:t>
      </w:r>
      <w:hyperlink r:id="rId34" w:history="1">
        <w:r w:rsidRPr="00254044">
          <w:rPr>
            <w:rStyle w:val="Hyperlink"/>
            <w:rFonts w:ascii="Arial" w:hAnsi="Arial" w:cs="Arial"/>
            <w:sz w:val="22"/>
            <w:szCs w:val="22"/>
          </w:rPr>
          <w:t>https://doi.org/10.1111/tog.12829</w:t>
        </w:r>
      </w:hyperlink>
      <w:r w:rsidRPr="00254044">
        <w:rPr>
          <w:rFonts w:ascii="Arial" w:hAnsi="Arial" w:cs="Arial"/>
          <w:sz w:val="22"/>
          <w:szCs w:val="22"/>
        </w:rPr>
        <w:t>.</w:t>
      </w:r>
    </w:p>
    <w:p w14:paraId="4D19A26A"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Singh, H., Connor, D.M. and Dhaliwal, G. (2022) ‘Five strategies for clinicians to advance diagnostic excellence’, </w:t>
      </w:r>
      <w:r w:rsidRPr="00254044">
        <w:rPr>
          <w:rFonts w:ascii="Arial" w:hAnsi="Arial" w:cs="Arial"/>
          <w:i/>
          <w:iCs/>
          <w:sz w:val="22"/>
          <w:szCs w:val="22"/>
        </w:rPr>
        <w:t>BMJ</w:t>
      </w:r>
      <w:r w:rsidRPr="00254044">
        <w:rPr>
          <w:rFonts w:ascii="Arial" w:hAnsi="Arial" w:cs="Arial"/>
          <w:sz w:val="22"/>
          <w:szCs w:val="22"/>
        </w:rPr>
        <w:t xml:space="preserve">, 376, e068044. Available at: </w:t>
      </w:r>
      <w:hyperlink r:id="rId35" w:history="1">
        <w:r w:rsidRPr="00254044">
          <w:rPr>
            <w:rStyle w:val="Hyperlink"/>
            <w:rFonts w:ascii="Arial" w:hAnsi="Arial" w:cs="Arial"/>
            <w:sz w:val="22"/>
            <w:szCs w:val="22"/>
          </w:rPr>
          <w:t>https://doi.org/10.1136/bmj-2021-068044</w:t>
        </w:r>
      </w:hyperlink>
      <w:r w:rsidRPr="00254044">
        <w:rPr>
          <w:rFonts w:ascii="Arial" w:hAnsi="Arial" w:cs="Arial"/>
          <w:sz w:val="22"/>
          <w:szCs w:val="22"/>
        </w:rPr>
        <w:t>.</w:t>
      </w:r>
    </w:p>
    <w:p w14:paraId="6B78A27C"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Singh, P.K., Singh, S., Kumari, V. and Tiwari, M. (2024) ‘Navigating healthcare leadership: Theories, challenges, and practical insights for the future’, Journal of Postgraduate Medicine, 70(4), pp. 232–241. Available at: </w:t>
      </w:r>
      <w:hyperlink r:id="rId36" w:history="1">
        <w:r w:rsidRPr="00254044">
          <w:rPr>
            <w:rStyle w:val="Hyperlink"/>
            <w:rFonts w:ascii="Arial" w:hAnsi="Arial" w:cs="Arial"/>
            <w:sz w:val="22"/>
            <w:szCs w:val="22"/>
          </w:rPr>
          <w:t>https://doi.org/10.4103/jpgm.jpgm_533_24</w:t>
        </w:r>
      </w:hyperlink>
    </w:p>
    <w:p w14:paraId="0DFE510E" w14:textId="77777777" w:rsidR="00254044" w:rsidRPr="00254044" w:rsidRDefault="00254044" w:rsidP="0062345A">
      <w:pPr>
        <w:jc w:val="both"/>
        <w:rPr>
          <w:rFonts w:ascii="Arial" w:hAnsi="Arial" w:cs="Arial"/>
          <w:sz w:val="22"/>
          <w:szCs w:val="22"/>
        </w:rPr>
      </w:pPr>
      <w:proofErr w:type="spellStart"/>
      <w:r w:rsidRPr="00254044">
        <w:rPr>
          <w:rFonts w:ascii="Arial" w:hAnsi="Arial" w:cs="Arial"/>
          <w:sz w:val="22"/>
          <w:szCs w:val="22"/>
        </w:rPr>
        <w:lastRenderedPageBreak/>
        <w:t>Soffan</w:t>
      </w:r>
      <w:proofErr w:type="spellEnd"/>
      <w:r w:rsidRPr="00254044">
        <w:rPr>
          <w:rFonts w:ascii="Arial" w:hAnsi="Arial" w:cs="Arial"/>
          <w:sz w:val="22"/>
          <w:szCs w:val="22"/>
        </w:rPr>
        <w:t xml:space="preserve">, M. and </w:t>
      </w:r>
      <w:proofErr w:type="spellStart"/>
      <w:r w:rsidRPr="00254044">
        <w:rPr>
          <w:rFonts w:ascii="Arial" w:hAnsi="Arial" w:cs="Arial"/>
          <w:sz w:val="22"/>
          <w:szCs w:val="22"/>
        </w:rPr>
        <w:t>Trisnadi</w:t>
      </w:r>
      <w:proofErr w:type="spellEnd"/>
      <w:r w:rsidRPr="00254044">
        <w:rPr>
          <w:rFonts w:ascii="Arial" w:hAnsi="Arial" w:cs="Arial"/>
          <w:sz w:val="22"/>
          <w:szCs w:val="22"/>
        </w:rPr>
        <w:t xml:space="preserve">, S. (2022) ‘Hierarchy of clinical decision-making by physicians based on medical and ethical decision making’, </w:t>
      </w:r>
      <w:r w:rsidRPr="00254044">
        <w:rPr>
          <w:rFonts w:ascii="Arial" w:hAnsi="Arial" w:cs="Arial"/>
          <w:i/>
          <w:iCs/>
          <w:sz w:val="22"/>
          <w:szCs w:val="22"/>
        </w:rPr>
        <w:t xml:space="preserve">Sains Medika: </w:t>
      </w:r>
      <w:proofErr w:type="spellStart"/>
      <w:r w:rsidRPr="00254044">
        <w:rPr>
          <w:rFonts w:ascii="Arial" w:hAnsi="Arial" w:cs="Arial"/>
          <w:i/>
          <w:iCs/>
          <w:sz w:val="22"/>
          <w:szCs w:val="22"/>
        </w:rPr>
        <w:t>Jurnal</w:t>
      </w:r>
      <w:proofErr w:type="spellEnd"/>
      <w:r w:rsidRPr="00254044">
        <w:rPr>
          <w:rFonts w:ascii="Arial" w:hAnsi="Arial" w:cs="Arial"/>
          <w:i/>
          <w:iCs/>
          <w:sz w:val="22"/>
          <w:szCs w:val="22"/>
        </w:rPr>
        <w:t xml:space="preserve"> </w:t>
      </w:r>
      <w:proofErr w:type="spellStart"/>
      <w:r w:rsidRPr="00254044">
        <w:rPr>
          <w:rFonts w:ascii="Arial" w:hAnsi="Arial" w:cs="Arial"/>
          <w:i/>
          <w:iCs/>
          <w:sz w:val="22"/>
          <w:szCs w:val="22"/>
        </w:rPr>
        <w:t>Kedokteran</w:t>
      </w:r>
      <w:proofErr w:type="spellEnd"/>
      <w:r w:rsidRPr="00254044">
        <w:rPr>
          <w:rFonts w:ascii="Arial" w:hAnsi="Arial" w:cs="Arial"/>
          <w:i/>
          <w:iCs/>
          <w:sz w:val="22"/>
          <w:szCs w:val="22"/>
        </w:rPr>
        <w:t xml:space="preserve"> dan Kesehatan</w:t>
      </w:r>
      <w:r w:rsidRPr="00254044">
        <w:rPr>
          <w:rFonts w:ascii="Arial" w:hAnsi="Arial" w:cs="Arial"/>
          <w:sz w:val="22"/>
          <w:szCs w:val="22"/>
        </w:rPr>
        <w:t xml:space="preserve">, 13(2), pp. 75–80. Available at: </w:t>
      </w:r>
      <w:hyperlink r:id="rId37" w:history="1">
        <w:r w:rsidRPr="00254044">
          <w:rPr>
            <w:rStyle w:val="Hyperlink"/>
            <w:rFonts w:ascii="Arial" w:hAnsi="Arial" w:cs="Arial"/>
            <w:sz w:val="22"/>
            <w:szCs w:val="22"/>
          </w:rPr>
          <w:t>https://doi.org/10.30659/sainsmed.v13i2.27906</w:t>
        </w:r>
      </w:hyperlink>
      <w:r w:rsidRPr="00254044">
        <w:rPr>
          <w:rFonts w:ascii="Arial" w:hAnsi="Arial" w:cs="Arial"/>
          <w:sz w:val="22"/>
          <w:szCs w:val="22"/>
        </w:rPr>
        <w:t>.</w:t>
      </w:r>
    </w:p>
    <w:p w14:paraId="7078500A"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South Carolina General Assembly (2005) Lewis Blackman Hospital Patient Safety Act (H.3832, Act No. 146 of 2005). Available at: https://www.scstatehouse.gov/sess116_2005-2006/bills/3832.htm (Accessed: 5 August 2026).</w:t>
      </w:r>
    </w:p>
    <w:p w14:paraId="52A37430"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Tedla, B.A. and Hamid, A.S. (2022) ‘Leadership in healthcare organizations: A retrospective study’, </w:t>
      </w:r>
      <w:r w:rsidRPr="00254044">
        <w:rPr>
          <w:rFonts w:ascii="Arial" w:hAnsi="Arial" w:cs="Arial"/>
          <w:i/>
          <w:iCs/>
          <w:sz w:val="22"/>
          <w:szCs w:val="22"/>
        </w:rPr>
        <w:t>International Journal of Health Sciences</w:t>
      </w:r>
      <w:r w:rsidRPr="00254044">
        <w:rPr>
          <w:rFonts w:ascii="Arial" w:hAnsi="Arial" w:cs="Arial"/>
          <w:sz w:val="22"/>
          <w:szCs w:val="22"/>
        </w:rPr>
        <w:t xml:space="preserve">, 6(S3), pp. 733–746. Available at: </w:t>
      </w:r>
      <w:hyperlink r:id="rId38" w:history="1">
        <w:r w:rsidRPr="00254044">
          <w:rPr>
            <w:rStyle w:val="Hyperlink"/>
            <w:rFonts w:ascii="Arial" w:hAnsi="Arial" w:cs="Arial"/>
            <w:sz w:val="22"/>
            <w:szCs w:val="22"/>
          </w:rPr>
          <w:t>https://doi.org/10.53730/ijhs.v6nS3.5427</w:t>
        </w:r>
      </w:hyperlink>
      <w:r w:rsidRPr="00254044">
        <w:rPr>
          <w:rFonts w:ascii="Arial" w:hAnsi="Arial" w:cs="Arial"/>
          <w:sz w:val="22"/>
          <w:szCs w:val="22"/>
        </w:rPr>
        <w:t>.</w:t>
      </w:r>
    </w:p>
    <w:p w14:paraId="63AD2649"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ULY Clinic (2025) </w:t>
      </w:r>
      <w:r w:rsidRPr="00254044">
        <w:rPr>
          <w:rFonts w:ascii="Arial" w:hAnsi="Arial" w:cs="Arial"/>
          <w:i/>
          <w:iCs/>
          <w:sz w:val="22"/>
          <w:szCs w:val="22"/>
        </w:rPr>
        <w:t>Absent bowel sounds</w:t>
      </w:r>
      <w:r w:rsidRPr="00254044">
        <w:rPr>
          <w:rFonts w:ascii="Arial" w:hAnsi="Arial" w:cs="Arial"/>
          <w:sz w:val="22"/>
          <w:szCs w:val="22"/>
        </w:rPr>
        <w:t xml:space="preserve">. Available at: </w:t>
      </w:r>
      <w:hyperlink r:id="rId39" w:history="1">
        <w:r w:rsidRPr="00254044">
          <w:rPr>
            <w:rStyle w:val="Hyperlink"/>
            <w:rFonts w:ascii="Arial" w:hAnsi="Arial" w:cs="Arial"/>
            <w:sz w:val="22"/>
            <w:szCs w:val="22"/>
          </w:rPr>
          <w:t>https://www.ulyclinic.com/cardiovascular-disease-conditions/absent-bowel-sounds</w:t>
        </w:r>
      </w:hyperlink>
      <w:r w:rsidRPr="00254044">
        <w:rPr>
          <w:rFonts w:ascii="Arial" w:hAnsi="Arial" w:cs="Arial"/>
          <w:sz w:val="22"/>
          <w:szCs w:val="22"/>
        </w:rPr>
        <w:t xml:space="preserve"> (Accessed: 5 August 2026).</w:t>
      </w:r>
    </w:p>
    <w:p w14:paraId="04A297FD"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Vu, V., Buléon, C., Le, T.A., Lua, C.C.P., Martin, F., Minehart, R. and Macaire, P. (2025) ‘Changing minds, saving lives: How training psychological safety transforms healthcare’, </w:t>
      </w:r>
      <w:r w:rsidRPr="00254044">
        <w:rPr>
          <w:rFonts w:ascii="Arial" w:hAnsi="Arial" w:cs="Arial"/>
          <w:i/>
          <w:iCs/>
          <w:sz w:val="22"/>
          <w:szCs w:val="22"/>
        </w:rPr>
        <w:t>BMJ Open Quality</w:t>
      </w:r>
      <w:r w:rsidRPr="00254044">
        <w:rPr>
          <w:rFonts w:ascii="Arial" w:hAnsi="Arial" w:cs="Arial"/>
          <w:sz w:val="22"/>
          <w:szCs w:val="22"/>
        </w:rPr>
        <w:t xml:space="preserve">, 14, e003186. Available at: </w:t>
      </w:r>
      <w:hyperlink r:id="rId40" w:history="1">
        <w:r w:rsidRPr="00254044">
          <w:rPr>
            <w:rStyle w:val="Hyperlink"/>
            <w:rFonts w:ascii="Arial" w:hAnsi="Arial" w:cs="Arial"/>
            <w:sz w:val="22"/>
            <w:szCs w:val="22"/>
          </w:rPr>
          <w:t>https://doi.org/10.1136/bmjoq-2024-003186</w:t>
        </w:r>
      </w:hyperlink>
      <w:r w:rsidRPr="00254044">
        <w:rPr>
          <w:rFonts w:ascii="Arial" w:hAnsi="Arial" w:cs="Arial"/>
          <w:sz w:val="22"/>
          <w:szCs w:val="22"/>
        </w:rPr>
        <w:t>.</w:t>
      </w:r>
    </w:p>
    <w:p w14:paraId="6CAD73BD"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Wang, X., Liu, Y., Peng, Z., Li, B., Liang, Q., Liao, S. and Liu, M. (2024) ‘Situational leadership theory in nursing management: A scoping review’, </w:t>
      </w:r>
      <w:r w:rsidRPr="00254044">
        <w:rPr>
          <w:rFonts w:ascii="Arial" w:hAnsi="Arial" w:cs="Arial"/>
          <w:i/>
          <w:iCs/>
          <w:sz w:val="22"/>
          <w:szCs w:val="22"/>
        </w:rPr>
        <w:t>BMC Nursing</w:t>
      </w:r>
      <w:r w:rsidRPr="00254044">
        <w:rPr>
          <w:rFonts w:ascii="Arial" w:hAnsi="Arial" w:cs="Arial"/>
          <w:sz w:val="22"/>
          <w:szCs w:val="22"/>
        </w:rPr>
        <w:t xml:space="preserve">, 23, article 930. Available at: </w:t>
      </w:r>
      <w:hyperlink r:id="rId41" w:history="1">
        <w:r w:rsidRPr="00254044">
          <w:rPr>
            <w:rStyle w:val="Hyperlink"/>
            <w:rFonts w:ascii="Arial" w:hAnsi="Arial" w:cs="Arial"/>
            <w:sz w:val="22"/>
            <w:szCs w:val="22"/>
          </w:rPr>
          <w:t>https://doi.org/10.1186/s12912-024-02582-9</w:t>
        </w:r>
      </w:hyperlink>
      <w:r w:rsidRPr="00254044">
        <w:rPr>
          <w:rFonts w:ascii="Arial" w:hAnsi="Arial" w:cs="Arial"/>
          <w:sz w:val="22"/>
          <w:szCs w:val="22"/>
        </w:rPr>
        <w:t>.</w:t>
      </w:r>
    </w:p>
    <w:p w14:paraId="553E07A7" w14:textId="77777777" w:rsidR="00254044" w:rsidRPr="00254044" w:rsidRDefault="00254044" w:rsidP="0062345A">
      <w:pPr>
        <w:jc w:val="both"/>
        <w:rPr>
          <w:rFonts w:ascii="Arial" w:hAnsi="Arial" w:cs="Arial"/>
          <w:sz w:val="22"/>
          <w:szCs w:val="22"/>
        </w:rPr>
      </w:pPr>
      <w:r w:rsidRPr="00254044">
        <w:rPr>
          <w:rFonts w:ascii="Arial" w:hAnsi="Arial" w:cs="Arial"/>
          <w:sz w:val="22"/>
          <w:szCs w:val="22"/>
        </w:rPr>
        <w:t xml:space="preserve">Webster, C.S., Taylor, S. and Weller, J.M. (2021) ‘Cognitive biases in diagnosis and </w:t>
      </w:r>
      <w:proofErr w:type="gramStart"/>
      <w:r w:rsidRPr="00254044">
        <w:rPr>
          <w:rFonts w:ascii="Arial" w:hAnsi="Arial" w:cs="Arial"/>
          <w:sz w:val="22"/>
          <w:szCs w:val="22"/>
        </w:rPr>
        <w:t>decision making</w:t>
      </w:r>
      <w:proofErr w:type="gramEnd"/>
      <w:r w:rsidRPr="00254044">
        <w:rPr>
          <w:rFonts w:ascii="Arial" w:hAnsi="Arial" w:cs="Arial"/>
          <w:sz w:val="22"/>
          <w:szCs w:val="22"/>
        </w:rPr>
        <w:t xml:space="preserve"> during anaesthesia and intensive care’, </w:t>
      </w:r>
      <w:r w:rsidRPr="00254044">
        <w:rPr>
          <w:rFonts w:ascii="Arial" w:hAnsi="Arial" w:cs="Arial"/>
          <w:i/>
          <w:iCs/>
          <w:sz w:val="22"/>
          <w:szCs w:val="22"/>
        </w:rPr>
        <w:t>BJA Education</w:t>
      </w:r>
      <w:r w:rsidRPr="00254044">
        <w:rPr>
          <w:rFonts w:ascii="Arial" w:hAnsi="Arial" w:cs="Arial"/>
          <w:sz w:val="22"/>
          <w:szCs w:val="22"/>
        </w:rPr>
        <w:t xml:space="preserve">, 21(11), pp. 420–425. Available at: </w:t>
      </w:r>
      <w:hyperlink r:id="rId42" w:history="1">
        <w:r w:rsidRPr="00254044">
          <w:rPr>
            <w:rStyle w:val="Hyperlink"/>
            <w:rFonts w:ascii="Arial" w:hAnsi="Arial" w:cs="Arial"/>
            <w:sz w:val="22"/>
            <w:szCs w:val="22"/>
          </w:rPr>
          <w:t>https://doi.org/10.1016/j.bjae.2021.07.004</w:t>
        </w:r>
      </w:hyperlink>
      <w:r w:rsidRPr="00254044">
        <w:rPr>
          <w:rFonts w:ascii="Arial" w:hAnsi="Arial" w:cs="Arial"/>
          <w:sz w:val="22"/>
          <w:szCs w:val="22"/>
        </w:rPr>
        <w:t>.</w:t>
      </w:r>
    </w:p>
    <w:p w14:paraId="4B44121C" w14:textId="77777777" w:rsidR="002C00C8" w:rsidRPr="00407668" w:rsidRDefault="002C00C8" w:rsidP="0062345A">
      <w:pPr>
        <w:spacing w:after="0" w:line="360" w:lineRule="auto"/>
        <w:jc w:val="both"/>
        <w:rPr>
          <w:rFonts w:ascii="Arial" w:hAnsi="Arial" w:cs="Arial"/>
          <w:sz w:val="22"/>
          <w:szCs w:val="22"/>
        </w:rPr>
      </w:pPr>
    </w:p>
    <w:sectPr w:rsidR="002C00C8" w:rsidRPr="004076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7E7"/>
    <w:rsid w:val="000532A5"/>
    <w:rsid w:val="00076776"/>
    <w:rsid w:val="00081C03"/>
    <w:rsid w:val="000C4F0F"/>
    <w:rsid w:val="000D321C"/>
    <w:rsid w:val="00110D10"/>
    <w:rsid w:val="0012144B"/>
    <w:rsid w:val="001224DE"/>
    <w:rsid w:val="00135744"/>
    <w:rsid w:val="00151A1D"/>
    <w:rsid w:val="00173016"/>
    <w:rsid w:val="00175C8B"/>
    <w:rsid w:val="001C4B0C"/>
    <w:rsid w:val="00227194"/>
    <w:rsid w:val="00254044"/>
    <w:rsid w:val="00275388"/>
    <w:rsid w:val="002815F8"/>
    <w:rsid w:val="002A020E"/>
    <w:rsid w:val="002C00C8"/>
    <w:rsid w:val="002D76AE"/>
    <w:rsid w:val="002E5A32"/>
    <w:rsid w:val="002E6615"/>
    <w:rsid w:val="003A618A"/>
    <w:rsid w:val="003C7228"/>
    <w:rsid w:val="003D1170"/>
    <w:rsid w:val="003D7BFC"/>
    <w:rsid w:val="003F4072"/>
    <w:rsid w:val="00407668"/>
    <w:rsid w:val="004104FB"/>
    <w:rsid w:val="00415736"/>
    <w:rsid w:val="0042222C"/>
    <w:rsid w:val="00441996"/>
    <w:rsid w:val="00527CAD"/>
    <w:rsid w:val="005619DE"/>
    <w:rsid w:val="005E58AE"/>
    <w:rsid w:val="00601883"/>
    <w:rsid w:val="0062345A"/>
    <w:rsid w:val="00626B04"/>
    <w:rsid w:val="00633282"/>
    <w:rsid w:val="00672732"/>
    <w:rsid w:val="00676622"/>
    <w:rsid w:val="00680BA6"/>
    <w:rsid w:val="00710DBE"/>
    <w:rsid w:val="00744C6A"/>
    <w:rsid w:val="00761705"/>
    <w:rsid w:val="00777B06"/>
    <w:rsid w:val="007B4D45"/>
    <w:rsid w:val="007B6DEC"/>
    <w:rsid w:val="007C242F"/>
    <w:rsid w:val="007E5B55"/>
    <w:rsid w:val="00812102"/>
    <w:rsid w:val="00812E6D"/>
    <w:rsid w:val="0081579C"/>
    <w:rsid w:val="008332BE"/>
    <w:rsid w:val="0085335A"/>
    <w:rsid w:val="008B7B27"/>
    <w:rsid w:val="008E27E7"/>
    <w:rsid w:val="008F14C6"/>
    <w:rsid w:val="0094286E"/>
    <w:rsid w:val="00956373"/>
    <w:rsid w:val="009636E3"/>
    <w:rsid w:val="00A048FF"/>
    <w:rsid w:val="00A12ECC"/>
    <w:rsid w:val="00A20DA9"/>
    <w:rsid w:val="00A52A95"/>
    <w:rsid w:val="00A623D9"/>
    <w:rsid w:val="00A83BC2"/>
    <w:rsid w:val="00A973F0"/>
    <w:rsid w:val="00AC0E10"/>
    <w:rsid w:val="00AD1FFE"/>
    <w:rsid w:val="00B01B99"/>
    <w:rsid w:val="00B05E47"/>
    <w:rsid w:val="00B24E47"/>
    <w:rsid w:val="00B4605B"/>
    <w:rsid w:val="00B46868"/>
    <w:rsid w:val="00B529D4"/>
    <w:rsid w:val="00B94EA0"/>
    <w:rsid w:val="00BB0E1E"/>
    <w:rsid w:val="00BB26D9"/>
    <w:rsid w:val="00BE1BCD"/>
    <w:rsid w:val="00BE2811"/>
    <w:rsid w:val="00BE6BC3"/>
    <w:rsid w:val="00BF1836"/>
    <w:rsid w:val="00C279C0"/>
    <w:rsid w:val="00C514B8"/>
    <w:rsid w:val="00C85724"/>
    <w:rsid w:val="00C97854"/>
    <w:rsid w:val="00CC6F00"/>
    <w:rsid w:val="00CF1A84"/>
    <w:rsid w:val="00D54408"/>
    <w:rsid w:val="00DD5A61"/>
    <w:rsid w:val="00E75DD3"/>
    <w:rsid w:val="00E823CA"/>
    <w:rsid w:val="00EA1FF1"/>
    <w:rsid w:val="00EB78CB"/>
    <w:rsid w:val="00EC6469"/>
    <w:rsid w:val="00EE56C1"/>
    <w:rsid w:val="00F43EE6"/>
    <w:rsid w:val="00F55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2FCA7"/>
  <w15:chartTrackingRefBased/>
  <w15:docId w15:val="{E517AB69-FA47-4C1A-80D4-D502E6017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E27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27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27E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27E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27E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27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27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27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27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7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E27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E27E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27E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27E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27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27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27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27E7"/>
    <w:rPr>
      <w:rFonts w:eastAsiaTheme="majorEastAsia" w:cstheme="majorBidi"/>
      <w:color w:val="272727" w:themeColor="text1" w:themeTint="D8"/>
    </w:rPr>
  </w:style>
  <w:style w:type="paragraph" w:styleId="Title">
    <w:name w:val="Title"/>
    <w:basedOn w:val="Normal"/>
    <w:next w:val="Normal"/>
    <w:link w:val="TitleChar"/>
    <w:uiPriority w:val="10"/>
    <w:qFormat/>
    <w:rsid w:val="008E27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27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27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27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27E7"/>
    <w:pPr>
      <w:spacing w:before="160"/>
      <w:jc w:val="center"/>
    </w:pPr>
    <w:rPr>
      <w:i/>
      <w:iCs/>
      <w:color w:val="404040" w:themeColor="text1" w:themeTint="BF"/>
    </w:rPr>
  </w:style>
  <w:style w:type="character" w:customStyle="1" w:styleId="QuoteChar">
    <w:name w:val="Quote Char"/>
    <w:basedOn w:val="DefaultParagraphFont"/>
    <w:link w:val="Quote"/>
    <w:uiPriority w:val="29"/>
    <w:rsid w:val="008E27E7"/>
    <w:rPr>
      <w:i/>
      <w:iCs/>
      <w:color w:val="404040" w:themeColor="text1" w:themeTint="BF"/>
    </w:rPr>
  </w:style>
  <w:style w:type="paragraph" w:styleId="ListParagraph">
    <w:name w:val="List Paragraph"/>
    <w:basedOn w:val="Normal"/>
    <w:uiPriority w:val="34"/>
    <w:qFormat/>
    <w:rsid w:val="008E27E7"/>
    <w:pPr>
      <w:ind w:left="720"/>
      <w:contextualSpacing/>
    </w:pPr>
  </w:style>
  <w:style w:type="character" w:styleId="IntenseEmphasis">
    <w:name w:val="Intense Emphasis"/>
    <w:basedOn w:val="DefaultParagraphFont"/>
    <w:uiPriority w:val="21"/>
    <w:qFormat/>
    <w:rsid w:val="008E27E7"/>
    <w:rPr>
      <w:i/>
      <w:iCs/>
      <w:color w:val="2F5496" w:themeColor="accent1" w:themeShade="BF"/>
    </w:rPr>
  </w:style>
  <w:style w:type="paragraph" w:styleId="IntenseQuote">
    <w:name w:val="Intense Quote"/>
    <w:basedOn w:val="Normal"/>
    <w:next w:val="Normal"/>
    <w:link w:val="IntenseQuoteChar"/>
    <w:uiPriority w:val="30"/>
    <w:qFormat/>
    <w:rsid w:val="008E27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27E7"/>
    <w:rPr>
      <w:i/>
      <w:iCs/>
      <w:color w:val="2F5496" w:themeColor="accent1" w:themeShade="BF"/>
    </w:rPr>
  </w:style>
  <w:style w:type="character" w:styleId="IntenseReference">
    <w:name w:val="Intense Reference"/>
    <w:basedOn w:val="DefaultParagraphFont"/>
    <w:uiPriority w:val="32"/>
    <w:qFormat/>
    <w:rsid w:val="008E27E7"/>
    <w:rPr>
      <w:b/>
      <w:bCs/>
      <w:smallCaps/>
      <w:color w:val="2F5496" w:themeColor="accent1" w:themeShade="BF"/>
      <w:spacing w:val="5"/>
    </w:rPr>
  </w:style>
  <w:style w:type="character" w:styleId="Hyperlink">
    <w:name w:val="Hyperlink"/>
    <w:basedOn w:val="DefaultParagraphFont"/>
    <w:uiPriority w:val="99"/>
    <w:unhideWhenUsed/>
    <w:rsid w:val="00A623D9"/>
    <w:rPr>
      <w:color w:val="0563C1" w:themeColor="hyperlink"/>
      <w:u w:val="single"/>
    </w:rPr>
  </w:style>
  <w:style w:type="character" w:styleId="FollowedHyperlink">
    <w:name w:val="FollowedHyperlink"/>
    <w:basedOn w:val="DefaultParagraphFont"/>
    <w:uiPriority w:val="99"/>
    <w:semiHidden/>
    <w:unhideWhenUsed/>
    <w:rsid w:val="002E5A32"/>
    <w:rPr>
      <w:color w:val="954F72" w:themeColor="followedHyperlink"/>
      <w:u w:val="single"/>
    </w:rPr>
  </w:style>
  <w:style w:type="paragraph" w:styleId="TOCHeading">
    <w:name w:val="TOC Heading"/>
    <w:basedOn w:val="Heading1"/>
    <w:next w:val="Normal"/>
    <w:uiPriority w:val="39"/>
    <w:unhideWhenUsed/>
    <w:qFormat/>
    <w:rsid w:val="0081579C"/>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81579C"/>
    <w:pPr>
      <w:spacing w:after="100"/>
      <w:ind w:left="240"/>
    </w:pPr>
  </w:style>
  <w:style w:type="paragraph" w:styleId="TOC1">
    <w:name w:val="toc 1"/>
    <w:basedOn w:val="Normal"/>
    <w:next w:val="Normal"/>
    <w:autoRedefine/>
    <w:uiPriority w:val="39"/>
    <w:unhideWhenUsed/>
    <w:rsid w:val="0081579C"/>
    <w:pPr>
      <w:spacing w:after="100"/>
    </w:pPr>
  </w:style>
  <w:style w:type="character" w:styleId="UnresolvedMention">
    <w:name w:val="Unresolved Mention"/>
    <w:basedOn w:val="DefaultParagraphFont"/>
    <w:uiPriority w:val="99"/>
    <w:semiHidden/>
    <w:unhideWhenUsed/>
    <w:rsid w:val="00601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515/dx-2025-0120" TargetMode="External"/><Relationship Id="rId18" Type="http://schemas.openxmlformats.org/officeDocument/2006/relationships/hyperlink" Target="https://doi.org/10.1007/BF03341803" TargetMode="External"/><Relationship Id="rId26" Type="http://schemas.openxmlformats.org/officeDocument/2006/relationships/hyperlink" Target="https://doi.org/10.1016/j.surg.2014.10.017" TargetMode="External"/><Relationship Id="rId39" Type="http://schemas.openxmlformats.org/officeDocument/2006/relationships/hyperlink" Target="https://www.ulyclinic.com/cardiovascular-disease-conditions/absent-bowel-sounds" TargetMode="External"/><Relationship Id="rId21" Type="http://schemas.openxmlformats.org/officeDocument/2006/relationships/hyperlink" Target="https://doi.org/10.5465/amr.1983.4284738" TargetMode="External"/><Relationship Id="rId34" Type="http://schemas.openxmlformats.org/officeDocument/2006/relationships/hyperlink" Target="https://doi.org/10.1111/tog.12829" TargetMode="External"/><Relationship Id="rId42" Type="http://schemas.openxmlformats.org/officeDocument/2006/relationships/hyperlink" Target="https://doi.org/10.1016/j.bjae.2021.07.004" TargetMode="External"/><Relationship Id="rId7" Type="http://schemas.openxmlformats.org/officeDocument/2006/relationships/hyperlink" Target="https://doi.org/10.1016/j.profnurs.2012.12.009" TargetMode="External"/><Relationship Id="rId2" Type="http://schemas.openxmlformats.org/officeDocument/2006/relationships/styles" Target="styles.xml"/><Relationship Id="rId16" Type="http://schemas.openxmlformats.org/officeDocument/2006/relationships/hyperlink" Target="https://doi.org/10.54097/ajmss.v2i3.7972" TargetMode="External"/><Relationship Id="rId20" Type="http://schemas.openxmlformats.org/officeDocument/2006/relationships/hyperlink" Target="https://doi.org/10.1177/2374373521997733" TargetMode="External"/><Relationship Id="rId29" Type="http://schemas.openxmlformats.org/officeDocument/2006/relationships/hyperlink" Target="https://doi.org/10.1186/s13643-019-1010-z" TargetMode="External"/><Relationship Id="rId41" Type="http://schemas.openxmlformats.org/officeDocument/2006/relationships/hyperlink" Target="https://doi.org/10.1186/s12912-024-02582-9"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7861/fhj.2021-0134" TargetMode="External"/><Relationship Id="rId24" Type="http://schemas.openxmlformats.org/officeDocument/2006/relationships/hyperlink" Target="https://doi.org/10.1515/dx-2025-0125" TargetMode="External"/><Relationship Id="rId32" Type="http://schemas.openxmlformats.org/officeDocument/2006/relationships/hyperlink" Target="https://doi.org/10.1002/14651858.CD012294.pub2" TargetMode="External"/><Relationship Id="rId37" Type="http://schemas.openxmlformats.org/officeDocument/2006/relationships/hyperlink" Target="https://doi.org/10.30659/sainsmed.v13i2.27906" TargetMode="External"/><Relationship Id="rId40" Type="http://schemas.openxmlformats.org/officeDocument/2006/relationships/hyperlink" Target="https://doi.org/10.1136/bmjoq-2024-003186" TargetMode="External"/><Relationship Id="rId5" Type="http://schemas.openxmlformats.org/officeDocument/2006/relationships/image" Target="media/image1.jpeg"/><Relationship Id="rId15" Type="http://schemas.openxmlformats.org/officeDocument/2006/relationships/hyperlink" Target="https://doi.org/10.1001/amajethics.2020.773" TargetMode="External"/><Relationship Id="rId23" Type="http://schemas.openxmlformats.org/officeDocument/2006/relationships/hyperlink" Target="https://doi.org/10.1177/1742715016646441" TargetMode="External"/><Relationship Id="rId28" Type="http://schemas.openxmlformats.org/officeDocument/2006/relationships/hyperlink" Target="https://doi.org/10.1111/padm.12118" TargetMode="External"/><Relationship Id="rId36" Type="http://schemas.openxmlformats.org/officeDocument/2006/relationships/hyperlink" Target="https://doi.org/10.4103/jpgm.jpgm_533_24" TargetMode="External"/><Relationship Id="rId10" Type="http://schemas.openxmlformats.org/officeDocument/2006/relationships/hyperlink" Target="https://doi.org/10.1787/2abdd834-en" TargetMode="External"/><Relationship Id="rId19" Type="http://schemas.openxmlformats.org/officeDocument/2006/relationships/hyperlink" Target="https://doi.org/10.1111/padm.70013" TargetMode="External"/><Relationship Id="rId31" Type="http://schemas.openxmlformats.org/officeDocument/2006/relationships/hyperlink" Target="https://doi.org/10.53894/ijirss.v8i3.6977"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2147/JHL.S496266" TargetMode="External"/><Relationship Id="rId14" Type="http://schemas.openxmlformats.org/officeDocument/2006/relationships/hyperlink" Target="https://doi.org/10.1177/10775587251356130" TargetMode="External"/><Relationship Id="rId22" Type="http://schemas.openxmlformats.org/officeDocument/2006/relationships/hyperlink" Target="https://doi.org/10.33552/APHE.2023.02.000534" TargetMode="External"/><Relationship Id="rId27" Type="http://schemas.openxmlformats.org/officeDocument/2006/relationships/hyperlink" Target="https://doi.org/10.1001/jamainternmed.2023.7628" TargetMode="External"/><Relationship Id="rId30" Type="http://schemas.openxmlformats.org/officeDocument/2006/relationships/hyperlink" Target="https://doi.org/10.1016/j.anpedi.2025.503815" TargetMode="External"/><Relationship Id="rId35" Type="http://schemas.openxmlformats.org/officeDocument/2006/relationships/hyperlink" Target="https://doi.org/10.1136/bmj-2021-068044" TargetMode="External"/><Relationship Id="rId43" Type="http://schemas.openxmlformats.org/officeDocument/2006/relationships/fontTable" Target="fontTable.xml"/><Relationship Id="rId8" Type="http://schemas.openxmlformats.org/officeDocument/2006/relationships/hyperlink" Target="https://doi.org/10.1108/IJQRM-04-2025-0115" TargetMode="External"/><Relationship Id="rId3" Type="http://schemas.openxmlformats.org/officeDocument/2006/relationships/settings" Target="settings.xml"/><Relationship Id="rId12" Type="http://schemas.openxmlformats.org/officeDocument/2006/relationships/hyperlink" Target="https://doi.org/10.1097/HMR.0000000000000385" TargetMode="External"/><Relationship Id="rId17" Type="http://schemas.openxmlformats.org/officeDocument/2006/relationships/hyperlink" Target="https://doi.org/10.1016/j.ijnurstu.2023.104671" TargetMode="External"/><Relationship Id="rId25" Type="http://schemas.openxmlformats.org/officeDocument/2006/relationships/hyperlink" Target="https://doi.org/10.1093/intqhc/mzad088" TargetMode="External"/><Relationship Id="rId33" Type="http://schemas.openxmlformats.org/officeDocument/2006/relationships/hyperlink" Target="https://doi.org/10.1136/bmjgh-2023-013317" TargetMode="External"/><Relationship Id="rId38" Type="http://schemas.openxmlformats.org/officeDocument/2006/relationships/hyperlink" Target="https://doi.org/10.53730/ijhs.v6nS3.54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F6915-CDC8-4359-B895-D052D4EEE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8502</Words>
  <Characters>48467</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Confidence Agomuo Onuoha (2244624)</cp:lastModifiedBy>
  <cp:revision>2</cp:revision>
  <cp:lastPrinted>2026-08-05T19:58:00Z</cp:lastPrinted>
  <dcterms:created xsi:type="dcterms:W3CDTF">2026-08-10T15:37:00Z</dcterms:created>
  <dcterms:modified xsi:type="dcterms:W3CDTF">2026-08-10T15:37:00Z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0174cf8b-a21a-4b4e-a9ab-9841f833adce</vt:lpwstr>
  </property>
</Properties>
</file>