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D6F65" w14:textId="51618890" w:rsidR="00BA5971" w:rsidRPr="00D630F9" w:rsidRDefault="00596D88">
      <w:pPr>
        <w:rPr>
          <w:rFonts w:ascii="Arial" w:hAnsi="Arial" w:cs="Arial"/>
          <w:b/>
          <w:bCs/>
          <w:sz w:val="24"/>
          <w:szCs w:val="24"/>
        </w:rPr>
      </w:pPr>
      <w:r w:rsidRPr="00D630F9">
        <w:rPr>
          <w:rFonts w:ascii="Arial" w:hAnsi="Arial" w:cs="Arial"/>
          <w:b/>
          <w:bCs/>
          <w:sz w:val="24"/>
          <w:szCs w:val="24"/>
        </w:rPr>
        <w:t xml:space="preserve">Assignment 1 – </w:t>
      </w:r>
      <w:r w:rsidR="00D630F9">
        <w:rPr>
          <w:rFonts w:ascii="Arial" w:hAnsi="Arial" w:cs="Arial"/>
          <w:b/>
          <w:bCs/>
          <w:sz w:val="24"/>
          <w:szCs w:val="24"/>
        </w:rPr>
        <w:t>Paraphrase a chapter of a book.</w:t>
      </w:r>
    </w:p>
    <w:p w14:paraId="4EA202A3" w14:textId="75EAC0D3" w:rsidR="00C01112" w:rsidRPr="00C01112" w:rsidRDefault="00C01112">
      <w:pPr>
        <w:rPr>
          <w:rFonts w:ascii="Arial" w:hAnsi="Arial" w:cs="Arial"/>
          <w:b/>
          <w:bCs/>
          <w:sz w:val="24"/>
          <w:szCs w:val="24"/>
        </w:rPr>
      </w:pPr>
      <w:r w:rsidRPr="00C01112">
        <w:rPr>
          <w:rFonts w:ascii="Arial" w:hAnsi="Arial" w:cs="Arial"/>
          <w:b/>
          <w:bCs/>
          <w:sz w:val="24"/>
          <w:szCs w:val="24"/>
        </w:rPr>
        <w:t>Eating disorders</w:t>
      </w:r>
    </w:p>
    <w:p w14:paraId="56F7549D" w14:textId="6933E0E8" w:rsidR="00596D88" w:rsidRDefault="00596D88">
      <w:pPr>
        <w:rPr>
          <w:rFonts w:ascii="Arial" w:hAnsi="Arial" w:cs="Arial"/>
          <w:sz w:val="24"/>
          <w:szCs w:val="24"/>
        </w:rPr>
      </w:pPr>
      <w:r>
        <w:rPr>
          <w:rFonts w:ascii="Arial" w:hAnsi="Arial" w:cs="Arial"/>
          <w:sz w:val="24"/>
          <w:szCs w:val="24"/>
        </w:rPr>
        <w:t>Within the past three decades eating disorders have become more and more extensive in Western industrialised societies (APA, 1994</w:t>
      </w:r>
      <w:r w:rsidR="00CC53E8">
        <w:rPr>
          <w:rFonts w:ascii="Arial" w:hAnsi="Arial" w:cs="Arial"/>
          <w:sz w:val="24"/>
          <w:szCs w:val="24"/>
        </w:rPr>
        <w:t xml:space="preserve"> </w:t>
      </w:r>
      <w:r w:rsidR="00BA58B1">
        <w:rPr>
          <w:rFonts w:ascii="Arial" w:hAnsi="Arial" w:cs="Arial"/>
          <w:sz w:val="24"/>
          <w:szCs w:val="24"/>
        </w:rPr>
        <w:t>as cited in Gross, 2010</w:t>
      </w:r>
      <w:r w:rsidR="00CC53E8">
        <w:rPr>
          <w:rFonts w:ascii="Arial" w:hAnsi="Arial" w:cs="Arial"/>
          <w:sz w:val="24"/>
          <w:szCs w:val="24"/>
        </w:rPr>
        <w:t>, p.716</w:t>
      </w:r>
      <w:r w:rsidR="00BA58B1">
        <w:rPr>
          <w:rFonts w:ascii="Arial" w:hAnsi="Arial" w:cs="Arial"/>
          <w:sz w:val="24"/>
          <w:szCs w:val="24"/>
        </w:rPr>
        <w:t>)</w:t>
      </w:r>
      <w:r>
        <w:rPr>
          <w:rFonts w:ascii="Arial" w:hAnsi="Arial" w:cs="Arial"/>
          <w:sz w:val="24"/>
          <w:szCs w:val="24"/>
        </w:rPr>
        <w:t>.  This is thought to be linked to the oversupply of food in Western societies along with the ‘desire’ to be thin and the constant diet chats caused by the social norms within these societies</w:t>
      </w:r>
      <w:r w:rsidR="000A4E47">
        <w:rPr>
          <w:rFonts w:ascii="Arial" w:hAnsi="Arial" w:cs="Arial"/>
          <w:sz w:val="24"/>
          <w:szCs w:val="24"/>
        </w:rPr>
        <w:t xml:space="preserve"> (Gross, 2010).</w:t>
      </w:r>
    </w:p>
    <w:p w14:paraId="704C096A" w14:textId="4D99C3F7" w:rsidR="00596D88" w:rsidRDefault="00596D88">
      <w:pPr>
        <w:rPr>
          <w:rFonts w:ascii="Arial" w:hAnsi="Arial" w:cs="Arial"/>
          <w:sz w:val="24"/>
          <w:szCs w:val="24"/>
        </w:rPr>
      </w:pPr>
      <w:r>
        <w:rPr>
          <w:rFonts w:ascii="Arial" w:hAnsi="Arial" w:cs="Arial"/>
          <w:sz w:val="24"/>
          <w:szCs w:val="24"/>
        </w:rPr>
        <w:t>However, according to Fedoroff and McFarlane (1998</w:t>
      </w:r>
      <w:r w:rsidR="00CC53E8">
        <w:rPr>
          <w:rFonts w:ascii="Arial" w:hAnsi="Arial" w:cs="Arial"/>
          <w:sz w:val="24"/>
          <w:szCs w:val="24"/>
        </w:rPr>
        <w:t xml:space="preserve"> </w:t>
      </w:r>
      <w:r w:rsidR="009B67F3">
        <w:rPr>
          <w:rFonts w:ascii="Arial" w:hAnsi="Arial" w:cs="Arial"/>
          <w:sz w:val="24"/>
          <w:szCs w:val="24"/>
        </w:rPr>
        <w:t>as cited in Gross, 2010</w:t>
      </w:r>
      <w:r w:rsidR="005571DE">
        <w:rPr>
          <w:rFonts w:ascii="Arial" w:hAnsi="Arial" w:cs="Arial"/>
          <w:sz w:val="24"/>
          <w:szCs w:val="24"/>
        </w:rPr>
        <w:t>, p.716</w:t>
      </w:r>
      <w:r w:rsidR="009B67F3">
        <w:rPr>
          <w:rFonts w:ascii="Arial" w:hAnsi="Arial" w:cs="Arial"/>
          <w:sz w:val="24"/>
          <w:szCs w:val="24"/>
        </w:rPr>
        <w:t>)</w:t>
      </w:r>
      <w:r w:rsidR="005571DE">
        <w:rPr>
          <w:rFonts w:ascii="Arial" w:hAnsi="Arial" w:cs="Arial"/>
          <w:sz w:val="24"/>
          <w:szCs w:val="24"/>
        </w:rPr>
        <w:t>,</w:t>
      </w:r>
      <w:r>
        <w:rPr>
          <w:rFonts w:ascii="Arial" w:hAnsi="Arial" w:cs="Arial"/>
          <w:sz w:val="24"/>
          <w:szCs w:val="24"/>
        </w:rPr>
        <w:t xml:space="preserve"> </w:t>
      </w:r>
      <w:r w:rsidR="005571DE">
        <w:rPr>
          <w:rFonts w:ascii="Arial" w:hAnsi="Arial" w:cs="Arial"/>
          <w:sz w:val="24"/>
          <w:szCs w:val="24"/>
        </w:rPr>
        <w:t>e</w:t>
      </w:r>
      <w:r>
        <w:rPr>
          <w:rFonts w:ascii="Arial" w:hAnsi="Arial" w:cs="Arial"/>
          <w:sz w:val="24"/>
          <w:szCs w:val="24"/>
        </w:rPr>
        <w:t>ating disorders are not solely caused by cultural norms</w:t>
      </w:r>
      <w:r w:rsidR="001368C9">
        <w:rPr>
          <w:rFonts w:ascii="Arial" w:hAnsi="Arial" w:cs="Arial"/>
          <w:sz w:val="24"/>
          <w:szCs w:val="24"/>
        </w:rPr>
        <w:t>,</w:t>
      </w:r>
      <w:r>
        <w:rPr>
          <w:rFonts w:ascii="Arial" w:hAnsi="Arial" w:cs="Arial"/>
          <w:sz w:val="24"/>
          <w:szCs w:val="24"/>
        </w:rPr>
        <w:t xml:space="preserve"> otherwise the whole society/culture will all be suffering from eating disorders when we know this is not the case. </w:t>
      </w:r>
    </w:p>
    <w:p w14:paraId="5EAC68DA" w14:textId="28E6F13C" w:rsidR="00596D88" w:rsidRDefault="007C349D">
      <w:pPr>
        <w:rPr>
          <w:rFonts w:ascii="Arial" w:hAnsi="Arial" w:cs="Arial"/>
          <w:sz w:val="24"/>
          <w:szCs w:val="24"/>
        </w:rPr>
      </w:pPr>
      <w:r>
        <w:rPr>
          <w:rFonts w:ascii="Arial" w:hAnsi="Arial" w:cs="Arial"/>
          <w:sz w:val="24"/>
          <w:szCs w:val="24"/>
        </w:rPr>
        <w:t xml:space="preserve">It is thought that eating disorders first begin with </w:t>
      </w:r>
      <w:r w:rsidR="00DF7428">
        <w:rPr>
          <w:rFonts w:ascii="Arial" w:hAnsi="Arial" w:cs="Arial"/>
          <w:sz w:val="24"/>
          <w:szCs w:val="24"/>
        </w:rPr>
        <w:t>the</w:t>
      </w:r>
      <w:r>
        <w:rPr>
          <w:rFonts w:ascii="Arial" w:hAnsi="Arial" w:cs="Arial"/>
          <w:sz w:val="24"/>
          <w:szCs w:val="24"/>
        </w:rPr>
        <w:t xml:space="preserve"> individual wanting to become ‘healthier’</w:t>
      </w:r>
      <w:r w:rsidR="001368C9">
        <w:rPr>
          <w:rFonts w:ascii="Arial" w:hAnsi="Arial" w:cs="Arial"/>
          <w:sz w:val="24"/>
          <w:szCs w:val="24"/>
        </w:rPr>
        <w:t>,</w:t>
      </w:r>
      <w:r>
        <w:rPr>
          <w:rFonts w:ascii="Arial" w:hAnsi="Arial" w:cs="Arial"/>
          <w:sz w:val="24"/>
          <w:szCs w:val="24"/>
        </w:rPr>
        <w:t xml:space="preserve"> therefore dieting and trying to exercise more.</w:t>
      </w:r>
      <w:r w:rsidR="00DF7428">
        <w:rPr>
          <w:rFonts w:ascii="Arial" w:hAnsi="Arial" w:cs="Arial"/>
          <w:sz w:val="24"/>
          <w:szCs w:val="24"/>
        </w:rPr>
        <w:t xml:space="preserve"> T</w:t>
      </w:r>
      <w:r>
        <w:rPr>
          <w:rFonts w:ascii="Arial" w:hAnsi="Arial" w:cs="Arial"/>
          <w:sz w:val="24"/>
          <w:szCs w:val="24"/>
        </w:rPr>
        <w:t>his progressively becomes obsessive to the point of individuals weighing themselves daily, using laxatives, and the emergence of clinical symptoms that then lead into an acute pathological illness. It is heavily agreed</w:t>
      </w:r>
      <w:r w:rsidR="00B4623A">
        <w:rPr>
          <w:rFonts w:ascii="Arial" w:hAnsi="Arial" w:cs="Arial"/>
          <w:sz w:val="24"/>
          <w:szCs w:val="24"/>
        </w:rPr>
        <w:t xml:space="preserve"> by psychologists</w:t>
      </w:r>
      <w:r>
        <w:rPr>
          <w:rFonts w:ascii="Arial" w:hAnsi="Arial" w:cs="Arial"/>
          <w:sz w:val="24"/>
          <w:szCs w:val="24"/>
        </w:rPr>
        <w:t xml:space="preserve"> that eating disorders are not a </w:t>
      </w:r>
      <w:r w:rsidR="00B4623A">
        <w:rPr>
          <w:rFonts w:ascii="Arial" w:hAnsi="Arial" w:cs="Arial"/>
          <w:sz w:val="24"/>
          <w:szCs w:val="24"/>
        </w:rPr>
        <w:t>discrete disease but more of a ‘spectrum of pathology’</w:t>
      </w:r>
      <w:r w:rsidR="000A4E47">
        <w:rPr>
          <w:rFonts w:ascii="Arial" w:hAnsi="Arial" w:cs="Arial"/>
          <w:sz w:val="24"/>
          <w:szCs w:val="24"/>
        </w:rPr>
        <w:t xml:space="preserve"> (Gross, 2010).</w:t>
      </w:r>
    </w:p>
    <w:p w14:paraId="311B9BE9" w14:textId="27F33433" w:rsidR="00B4623A" w:rsidRPr="00C01112" w:rsidRDefault="003F361B">
      <w:pPr>
        <w:rPr>
          <w:rFonts w:ascii="Arial" w:hAnsi="Arial" w:cs="Arial"/>
          <w:b/>
          <w:bCs/>
          <w:sz w:val="24"/>
          <w:szCs w:val="24"/>
        </w:rPr>
      </w:pPr>
      <w:r>
        <w:rPr>
          <w:rFonts w:ascii="Arial" w:hAnsi="Arial" w:cs="Arial"/>
          <w:sz w:val="24"/>
          <w:szCs w:val="24"/>
        </w:rPr>
        <w:t>Claridge and Davis, (2003</w:t>
      </w:r>
      <w:r w:rsidR="00CC53E8">
        <w:rPr>
          <w:rFonts w:ascii="Arial" w:hAnsi="Arial" w:cs="Arial"/>
          <w:sz w:val="24"/>
          <w:szCs w:val="24"/>
        </w:rPr>
        <w:t xml:space="preserve"> as cited in Gross, 2010</w:t>
      </w:r>
      <w:r w:rsidR="005571DE">
        <w:rPr>
          <w:rFonts w:ascii="Arial" w:hAnsi="Arial" w:cs="Arial"/>
          <w:sz w:val="24"/>
          <w:szCs w:val="24"/>
        </w:rPr>
        <w:t>, p.716</w:t>
      </w:r>
      <w:r w:rsidR="00CC53E8">
        <w:rPr>
          <w:rFonts w:ascii="Arial" w:hAnsi="Arial" w:cs="Arial"/>
          <w:sz w:val="24"/>
          <w:szCs w:val="24"/>
        </w:rPr>
        <w:t>)</w:t>
      </w:r>
      <w:r>
        <w:rPr>
          <w:rFonts w:ascii="Arial" w:hAnsi="Arial" w:cs="Arial"/>
          <w:sz w:val="24"/>
          <w:szCs w:val="24"/>
        </w:rPr>
        <w:t xml:space="preserve"> found that d</w:t>
      </w:r>
      <w:r w:rsidR="00B4623A">
        <w:rPr>
          <w:rFonts w:ascii="Arial" w:hAnsi="Arial" w:cs="Arial"/>
          <w:sz w:val="24"/>
          <w:szCs w:val="24"/>
        </w:rPr>
        <w:t xml:space="preserve">espite using the diagnostic criteria (DSM) to diagnose those with an eating disorder, in theory assessments typically reflects a dimensional view with those individuals being treated alongside more serious and milder cases of eating disorder </w:t>
      </w:r>
      <w:r w:rsidR="001368C9">
        <w:rPr>
          <w:rFonts w:ascii="Arial" w:hAnsi="Arial" w:cs="Arial"/>
          <w:sz w:val="24"/>
          <w:szCs w:val="24"/>
        </w:rPr>
        <w:t>sufferers</w:t>
      </w:r>
      <w:r w:rsidR="009B67F3">
        <w:rPr>
          <w:rFonts w:ascii="Arial" w:hAnsi="Arial" w:cs="Arial"/>
          <w:sz w:val="24"/>
          <w:szCs w:val="24"/>
        </w:rPr>
        <w:t>.</w:t>
      </w:r>
    </w:p>
    <w:p w14:paraId="253080DB" w14:textId="7A712F90" w:rsidR="00B4623A" w:rsidRDefault="00C01112">
      <w:pPr>
        <w:rPr>
          <w:rFonts w:ascii="Arial" w:hAnsi="Arial" w:cs="Arial"/>
          <w:b/>
          <w:bCs/>
          <w:sz w:val="24"/>
          <w:szCs w:val="24"/>
        </w:rPr>
      </w:pPr>
      <w:r w:rsidRPr="00C01112">
        <w:rPr>
          <w:rFonts w:ascii="Arial" w:hAnsi="Arial" w:cs="Arial"/>
          <w:b/>
          <w:bCs/>
          <w:sz w:val="24"/>
          <w:szCs w:val="24"/>
        </w:rPr>
        <w:t>Anorexia</w:t>
      </w:r>
      <w:r w:rsidR="001368C9">
        <w:rPr>
          <w:rFonts w:ascii="Arial" w:hAnsi="Arial" w:cs="Arial"/>
          <w:b/>
          <w:bCs/>
          <w:sz w:val="24"/>
          <w:szCs w:val="24"/>
        </w:rPr>
        <w:t xml:space="preserve"> Nervosa</w:t>
      </w:r>
    </w:p>
    <w:p w14:paraId="28496EB3" w14:textId="11D4AEC6" w:rsidR="00C01112" w:rsidRDefault="00C01112">
      <w:pPr>
        <w:rPr>
          <w:rFonts w:ascii="Arial" w:hAnsi="Arial" w:cs="Arial"/>
          <w:sz w:val="24"/>
          <w:szCs w:val="24"/>
        </w:rPr>
      </w:pPr>
      <w:r>
        <w:rPr>
          <w:rFonts w:ascii="Arial" w:hAnsi="Arial" w:cs="Arial"/>
          <w:sz w:val="24"/>
          <w:szCs w:val="24"/>
        </w:rPr>
        <w:t>Anorexia Nervosa is an eating disorder that typically occurs within the young female population, (aged between 16-18 years). People who suffer from anorexia first start to become conscious of their body image</w:t>
      </w:r>
      <w:r w:rsidR="001368C9">
        <w:rPr>
          <w:rFonts w:ascii="Arial" w:hAnsi="Arial" w:cs="Arial"/>
          <w:sz w:val="24"/>
          <w:szCs w:val="24"/>
        </w:rPr>
        <w:t>,</w:t>
      </w:r>
      <w:r>
        <w:rPr>
          <w:rFonts w:ascii="Arial" w:hAnsi="Arial" w:cs="Arial"/>
          <w:sz w:val="24"/>
          <w:szCs w:val="24"/>
        </w:rPr>
        <w:t xml:space="preserve"> and overtime show obsessive restrictive behaviours </w:t>
      </w:r>
      <w:r w:rsidR="00A245BF">
        <w:rPr>
          <w:rFonts w:ascii="Arial" w:hAnsi="Arial" w:cs="Arial"/>
          <w:sz w:val="24"/>
          <w:szCs w:val="24"/>
        </w:rPr>
        <w:t xml:space="preserve">to </w:t>
      </w:r>
      <w:r>
        <w:rPr>
          <w:rFonts w:ascii="Arial" w:hAnsi="Arial" w:cs="Arial"/>
          <w:sz w:val="24"/>
          <w:szCs w:val="24"/>
        </w:rPr>
        <w:t>l</w:t>
      </w:r>
      <w:r w:rsidR="00A245BF">
        <w:rPr>
          <w:rFonts w:ascii="Arial" w:hAnsi="Arial" w:cs="Arial"/>
          <w:sz w:val="24"/>
          <w:szCs w:val="24"/>
        </w:rPr>
        <w:t xml:space="preserve">ose </w:t>
      </w:r>
      <w:r>
        <w:rPr>
          <w:rFonts w:ascii="Arial" w:hAnsi="Arial" w:cs="Arial"/>
          <w:sz w:val="24"/>
          <w:szCs w:val="24"/>
        </w:rPr>
        <w:t>more bodyweight and ‘fat’. Individuals who suffer from Anorexia Nervosa strive for perfection regarding their physical appearance, for sufferers of this disorder their idea of perfection is being ‘thin’. Anorexic sufferers are typically severely underweight but see themselves as overweight</w:t>
      </w:r>
      <w:r w:rsidR="000A4E47">
        <w:rPr>
          <w:rFonts w:ascii="Arial" w:hAnsi="Arial" w:cs="Arial"/>
          <w:sz w:val="24"/>
          <w:szCs w:val="24"/>
        </w:rPr>
        <w:t xml:space="preserve"> (Gross, 2010).</w:t>
      </w:r>
    </w:p>
    <w:p w14:paraId="32202EF7" w14:textId="50AD8089" w:rsidR="00C01112" w:rsidRPr="00C01112" w:rsidRDefault="009B67F3">
      <w:pPr>
        <w:rPr>
          <w:rFonts w:ascii="Arial" w:hAnsi="Arial" w:cs="Arial"/>
          <w:sz w:val="24"/>
          <w:szCs w:val="24"/>
        </w:rPr>
      </w:pPr>
      <w:r>
        <w:rPr>
          <w:rFonts w:ascii="Arial" w:hAnsi="Arial" w:cs="Arial"/>
          <w:sz w:val="24"/>
          <w:szCs w:val="24"/>
        </w:rPr>
        <w:t>Claridge and Davis, (2003</w:t>
      </w:r>
      <w:r w:rsidR="00CC53E8">
        <w:rPr>
          <w:rFonts w:ascii="Arial" w:hAnsi="Arial" w:cs="Arial"/>
          <w:sz w:val="24"/>
          <w:szCs w:val="24"/>
        </w:rPr>
        <w:t xml:space="preserve"> as cited in Gross, 2010</w:t>
      </w:r>
      <w:r w:rsidR="005571DE">
        <w:rPr>
          <w:rFonts w:ascii="Arial" w:hAnsi="Arial" w:cs="Arial"/>
          <w:sz w:val="24"/>
          <w:szCs w:val="24"/>
        </w:rPr>
        <w:t>, p.716)</w:t>
      </w:r>
      <w:r>
        <w:rPr>
          <w:rFonts w:ascii="Arial" w:hAnsi="Arial" w:cs="Arial"/>
          <w:sz w:val="24"/>
          <w:szCs w:val="24"/>
        </w:rPr>
        <w:t xml:space="preserve"> found that </w:t>
      </w:r>
      <w:r w:rsidR="00C01112">
        <w:rPr>
          <w:rFonts w:ascii="Arial" w:hAnsi="Arial" w:cs="Arial"/>
          <w:sz w:val="24"/>
          <w:szCs w:val="24"/>
        </w:rPr>
        <w:t>Anorexia Nervosa affects 0.5% of the young female population</w:t>
      </w:r>
      <w:r>
        <w:rPr>
          <w:rFonts w:ascii="Arial" w:hAnsi="Arial" w:cs="Arial"/>
          <w:sz w:val="24"/>
          <w:szCs w:val="24"/>
        </w:rPr>
        <w:t xml:space="preserve">. </w:t>
      </w:r>
      <w:r w:rsidR="00C01112">
        <w:rPr>
          <w:rFonts w:ascii="Arial" w:hAnsi="Arial" w:cs="Arial"/>
          <w:sz w:val="24"/>
          <w:szCs w:val="24"/>
        </w:rPr>
        <w:t>Th</w:t>
      </w:r>
      <w:r>
        <w:rPr>
          <w:rFonts w:ascii="Arial" w:hAnsi="Arial" w:cs="Arial"/>
          <w:sz w:val="24"/>
          <w:szCs w:val="24"/>
        </w:rPr>
        <w:t xml:space="preserve">ey </w:t>
      </w:r>
      <w:r w:rsidR="00FB382C">
        <w:rPr>
          <w:rFonts w:ascii="Arial" w:hAnsi="Arial" w:cs="Arial"/>
          <w:sz w:val="24"/>
          <w:szCs w:val="24"/>
        </w:rPr>
        <w:t xml:space="preserve">also </w:t>
      </w:r>
      <w:r>
        <w:rPr>
          <w:rFonts w:ascii="Arial" w:hAnsi="Arial" w:cs="Arial"/>
          <w:sz w:val="24"/>
          <w:szCs w:val="24"/>
        </w:rPr>
        <w:t xml:space="preserve">found that this </w:t>
      </w:r>
      <w:r w:rsidR="00C01112">
        <w:rPr>
          <w:rFonts w:ascii="Arial" w:hAnsi="Arial" w:cs="Arial"/>
          <w:sz w:val="24"/>
          <w:szCs w:val="24"/>
        </w:rPr>
        <w:t>eating disorder is on the rise within the young male population too</w:t>
      </w:r>
      <w:r w:rsidR="00CC53E8">
        <w:rPr>
          <w:rFonts w:ascii="Arial" w:hAnsi="Arial" w:cs="Arial"/>
          <w:sz w:val="24"/>
          <w:szCs w:val="24"/>
        </w:rPr>
        <w:t>.</w:t>
      </w:r>
      <w:r w:rsidR="00C01112">
        <w:rPr>
          <w:rFonts w:ascii="Arial" w:hAnsi="Arial" w:cs="Arial"/>
          <w:sz w:val="24"/>
          <w:szCs w:val="24"/>
        </w:rPr>
        <w:t xml:space="preserve"> </w:t>
      </w:r>
    </w:p>
    <w:p w14:paraId="347924B1" w14:textId="15543CA0" w:rsidR="00C01112" w:rsidRDefault="00454504">
      <w:pPr>
        <w:rPr>
          <w:rFonts w:ascii="Arial" w:hAnsi="Arial" w:cs="Arial"/>
          <w:sz w:val="24"/>
          <w:szCs w:val="24"/>
        </w:rPr>
      </w:pPr>
      <w:r>
        <w:rPr>
          <w:rFonts w:ascii="Arial" w:hAnsi="Arial" w:cs="Arial"/>
          <w:sz w:val="24"/>
          <w:szCs w:val="24"/>
        </w:rPr>
        <w:t xml:space="preserve">Anorexia Nervosa is known as the restrictive eating disorder. Sufferers of this disorder gradually reduce their food intake over a period of </w:t>
      </w:r>
      <w:r w:rsidR="001368C9">
        <w:rPr>
          <w:rFonts w:ascii="Arial" w:hAnsi="Arial" w:cs="Arial"/>
          <w:sz w:val="24"/>
          <w:szCs w:val="24"/>
        </w:rPr>
        <w:t>time and</w:t>
      </w:r>
      <w:r>
        <w:rPr>
          <w:rFonts w:ascii="Arial" w:hAnsi="Arial" w:cs="Arial"/>
          <w:sz w:val="24"/>
          <w:szCs w:val="24"/>
        </w:rPr>
        <w:t xml:space="preserve"> take part in behaviours such as</w:t>
      </w:r>
      <w:r w:rsidR="001368C9">
        <w:rPr>
          <w:rFonts w:ascii="Arial" w:hAnsi="Arial" w:cs="Arial"/>
          <w:sz w:val="24"/>
          <w:szCs w:val="24"/>
        </w:rPr>
        <w:t>:</w:t>
      </w:r>
      <w:r>
        <w:rPr>
          <w:rFonts w:ascii="Arial" w:hAnsi="Arial" w:cs="Arial"/>
          <w:sz w:val="24"/>
          <w:szCs w:val="24"/>
        </w:rPr>
        <w:t xml:space="preserve"> over exercising and taking laxatives to lose weight. These behaviours therefore result in malnutrition and loss of energy</w:t>
      </w:r>
      <w:r w:rsidR="000A4E47">
        <w:rPr>
          <w:rFonts w:ascii="Arial" w:hAnsi="Arial" w:cs="Arial"/>
          <w:sz w:val="24"/>
          <w:szCs w:val="24"/>
        </w:rPr>
        <w:t xml:space="preserve"> (Gross, 2010).</w:t>
      </w:r>
    </w:p>
    <w:p w14:paraId="3FF32A1E" w14:textId="5BA67867" w:rsidR="00DF7428" w:rsidRDefault="00454504">
      <w:pPr>
        <w:rPr>
          <w:rFonts w:ascii="Arial" w:hAnsi="Arial" w:cs="Arial"/>
          <w:sz w:val="24"/>
          <w:szCs w:val="24"/>
        </w:rPr>
      </w:pPr>
      <w:r>
        <w:rPr>
          <w:rFonts w:ascii="Arial" w:hAnsi="Arial" w:cs="Arial"/>
          <w:sz w:val="24"/>
          <w:szCs w:val="24"/>
        </w:rPr>
        <w:t>However,</w:t>
      </w:r>
      <w:r w:rsidR="009B67F3">
        <w:rPr>
          <w:rFonts w:ascii="Arial" w:hAnsi="Arial" w:cs="Arial"/>
          <w:sz w:val="24"/>
          <w:szCs w:val="24"/>
        </w:rPr>
        <w:t xml:space="preserve"> Mitchell and McCarthy (2000</w:t>
      </w:r>
      <w:r w:rsidR="00CC53E8">
        <w:rPr>
          <w:rFonts w:ascii="Arial" w:hAnsi="Arial" w:cs="Arial"/>
          <w:sz w:val="24"/>
          <w:szCs w:val="24"/>
        </w:rPr>
        <w:t xml:space="preserve"> </w:t>
      </w:r>
      <w:r w:rsidR="00DF7428">
        <w:rPr>
          <w:rFonts w:ascii="Arial" w:hAnsi="Arial" w:cs="Arial"/>
          <w:sz w:val="24"/>
          <w:szCs w:val="24"/>
        </w:rPr>
        <w:t>as cited in Gross, 2010</w:t>
      </w:r>
      <w:r w:rsidR="005571DE">
        <w:rPr>
          <w:rFonts w:ascii="Arial" w:hAnsi="Arial" w:cs="Arial"/>
          <w:sz w:val="24"/>
          <w:szCs w:val="24"/>
        </w:rPr>
        <w:t>, p.717</w:t>
      </w:r>
      <w:r w:rsidR="00DF7428">
        <w:rPr>
          <w:rFonts w:ascii="Arial" w:hAnsi="Arial" w:cs="Arial"/>
          <w:sz w:val="24"/>
          <w:szCs w:val="24"/>
        </w:rPr>
        <w:t>)</w:t>
      </w:r>
      <w:r w:rsidR="009B67F3">
        <w:rPr>
          <w:rFonts w:ascii="Arial" w:hAnsi="Arial" w:cs="Arial"/>
          <w:sz w:val="24"/>
          <w:szCs w:val="24"/>
        </w:rPr>
        <w:t xml:space="preserve"> found that</w:t>
      </w:r>
      <w:r>
        <w:rPr>
          <w:rFonts w:ascii="Arial" w:hAnsi="Arial" w:cs="Arial"/>
          <w:sz w:val="24"/>
          <w:szCs w:val="24"/>
        </w:rPr>
        <w:t xml:space="preserve"> up to a third of Anorexia sufferers also describe periods of uncontrollable eating pattern</w:t>
      </w:r>
      <w:r w:rsidR="001368C9">
        <w:rPr>
          <w:rFonts w:ascii="Arial" w:hAnsi="Arial" w:cs="Arial"/>
          <w:sz w:val="24"/>
          <w:szCs w:val="24"/>
        </w:rPr>
        <w:t>s</w:t>
      </w:r>
      <w:r>
        <w:rPr>
          <w:rFonts w:ascii="Arial" w:hAnsi="Arial" w:cs="Arial"/>
          <w:sz w:val="24"/>
          <w:szCs w:val="24"/>
        </w:rPr>
        <w:t xml:space="preserve"> (overeating, binging), which is linked to a separate eating disorder known as Bulimia Nervosa. </w:t>
      </w:r>
    </w:p>
    <w:p w14:paraId="4971B721" w14:textId="1C65DCB0" w:rsidR="00454504" w:rsidRDefault="00F85EE3">
      <w:pPr>
        <w:rPr>
          <w:rFonts w:ascii="Arial" w:hAnsi="Arial" w:cs="Arial"/>
          <w:sz w:val="24"/>
          <w:szCs w:val="24"/>
        </w:rPr>
      </w:pPr>
      <w:r>
        <w:rPr>
          <w:rFonts w:ascii="Arial" w:hAnsi="Arial" w:cs="Arial"/>
          <w:sz w:val="24"/>
          <w:szCs w:val="24"/>
        </w:rPr>
        <w:lastRenderedPageBreak/>
        <w:t>Therefore, the DSM classification system overlaps these two eating disorders</w:t>
      </w:r>
      <w:r w:rsidR="001368C9">
        <w:rPr>
          <w:rFonts w:ascii="Arial" w:hAnsi="Arial" w:cs="Arial"/>
          <w:sz w:val="24"/>
          <w:szCs w:val="24"/>
        </w:rPr>
        <w:t>,</w:t>
      </w:r>
      <w:r>
        <w:rPr>
          <w:rFonts w:ascii="Arial" w:hAnsi="Arial" w:cs="Arial"/>
          <w:sz w:val="24"/>
          <w:szCs w:val="24"/>
        </w:rPr>
        <w:t xml:space="preserve"> leading to certain researchers believing that Anorexia and Bulimia should be classes as the same disorder</w:t>
      </w:r>
      <w:r w:rsidR="009B67F3">
        <w:rPr>
          <w:rFonts w:ascii="Arial" w:hAnsi="Arial" w:cs="Arial"/>
          <w:sz w:val="24"/>
          <w:szCs w:val="24"/>
        </w:rPr>
        <w:t xml:space="preserve"> (Gross, 2010).</w:t>
      </w:r>
    </w:p>
    <w:p w14:paraId="00DF6A97" w14:textId="745D1585" w:rsidR="00F85EE3" w:rsidRDefault="00F85EE3">
      <w:pPr>
        <w:rPr>
          <w:rFonts w:ascii="Arial" w:hAnsi="Arial" w:cs="Arial"/>
          <w:sz w:val="24"/>
          <w:szCs w:val="24"/>
        </w:rPr>
      </w:pPr>
      <w:r>
        <w:rPr>
          <w:rFonts w:ascii="Arial" w:hAnsi="Arial" w:cs="Arial"/>
          <w:sz w:val="24"/>
          <w:szCs w:val="24"/>
        </w:rPr>
        <w:t xml:space="preserve">It is believed that the only real difference between </w:t>
      </w:r>
      <w:r w:rsidRPr="000A4E47">
        <w:rPr>
          <w:rFonts w:ascii="Arial" w:hAnsi="Arial" w:cs="Arial"/>
          <w:sz w:val="24"/>
          <w:szCs w:val="24"/>
        </w:rPr>
        <w:t xml:space="preserve">Anorexia </w:t>
      </w:r>
      <w:r>
        <w:rPr>
          <w:rFonts w:ascii="Arial" w:hAnsi="Arial" w:cs="Arial"/>
          <w:sz w:val="24"/>
          <w:szCs w:val="24"/>
        </w:rPr>
        <w:t>and Bulimia is body weight</w:t>
      </w:r>
      <w:r w:rsidR="008E1C58">
        <w:rPr>
          <w:rFonts w:ascii="Arial" w:hAnsi="Arial" w:cs="Arial"/>
          <w:sz w:val="24"/>
          <w:szCs w:val="24"/>
        </w:rPr>
        <w:t>.</w:t>
      </w:r>
      <w:r>
        <w:rPr>
          <w:rFonts w:ascii="Arial" w:hAnsi="Arial" w:cs="Arial"/>
          <w:sz w:val="24"/>
          <w:szCs w:val="24"/>
        </w:rPr>
        <w:t xml:space="preserve"> </w:t>
      </w:r>
      <w:r w:rsidR="003337B3">
        <w:rPr>
          <w:rFonts w:ascii="Arial" w:hAnsi="Arial" w:cs="Arial"/>
          <w:sz w:val="24"/>
          <w:szCs w:val="24"/>
        </w:rPr>
        <w:t>Therefore,</w:t>
      </w:r>
      <w:r>
        <w:rPr>
          <w:rFonts w:ascii="Arial" w:hAnsi="Arial" w:cs="Arial"/>
          <w:sz w:val="24"/>
          <w:szCs w:val="24"/>
        </w:rPr>
        <w:t xml:space="preserve"> the DSM follows </w:t>
      </w:r>
      <w:r w:rsidR="008E1C58">
        <w:rPr>
          <w:rFonts w:ascii="Arial" w:hAnsi="Arial" w:cs="Arial"/>
          <w:sz w:val="24"/>
          <w:szCs w:val="24"/>
        </w:rPr>
        <w:t xml:space="preserve">the criteria of </w:t>
      </w:r>
      <w:r>
        <w:rPr>
          <w:rFonts w:ascii="Arial" w:hAnsi="Arial" w:cs="Arial"/>
          <w:sz w:val="24"/>
          <w:szCs w:val="24"/>
        </w:rPr>
        <w:t>body weight to diagnose the eating disorder. Individuals with eating issues tend to be diagnosed with Anorexia if they are severely underweight and are malnourished. Whereas, individuals who have a healthy body weight but suffer from eating issues tend to be diagnosed with Bulimia (</w:t>
      </w:r>
      <w:r w:rsidR="008E1C58">
        <w:rPr>
          <w:rFonts w:ascii="Arial" w:hAnsi="Arial" w:cs="Arial"/>
          <w:sz w:val="24"/>
          <w:szCs w:val="24"/>
        </w:rPr>
        <w:t>if</w:t>
      </w:r>
      <w:r>
        <w:rPr>
          <w:rFonts w:ascii="Arial" w:hAnsi="Arial" w:cs="Arial"/>
          <w:sz w:val="24"/>
          <w:szCs w:val="24"/>
        </w:rPr>
        <w:t xml:space="preserve"> the other criteria </w:t>
      </w:r>
      <w:r w:rsidR="001368C9">
        <w:rPr>
          <w:rFonts w:ascii="Arial" w:hAnsi="Arial" w:cs="Arial"/>
          <w:sz w:val="24"/>
          <w:szCs w:val="24"/>
        </w:rPr>
        <w:t>are</w:t>
      </w:r>
      <w:r>
        <w:rPr>
          <w:rFonts w:ascii="Arial" w:hAnsi="Arial" w:cs="Arial"/>
          <w:sz w:val="24"/>
          <w:szCs w:val="24"/>
        </w:rPr>
        <w:t xml:space="preserve"> met</w:t>
      </w:r>
      <w:r w:rsidR="008E1C58">
        <w:rPr>
          <w:rFonts w:ascii="Arial" w:hAnsi="Arial" w:cs="Arial"/>
          <w:sz w:val="24"/>
          <w:szCs w:val="24"/>
        </w:rPr>
        <w:t xml:space="preserve"> too)</w:t>
      </w:r>
      <w:r w:rsidR="000A4E47">
        <w:rPr>
          <w:rFonts w:ascii="Arial" w:hAnsi="Arial" w:cs="Arial"/>
          <w:sz w:val="24"/>
          <w:szCs w:val="24"/>
        </w:rPr>
        <w:t xml:space="preserve"> (Gross, 2010).</w:t>
      </w:r>
    </w:p>
    <w:p w14:paraId="2F7EF5B6" w14:textId="78784289" w:rsidR="005E54E3" w:rsidRDefault="005E54E3">
      <w:pPr>
        <w:rPr>
          <w:rFonts w:ascii="Arial" w:hAnsi="Arial" w:cs="Arial"/>
          <w:sz w:val="24"/>
          <w:szCs w:val="24"/>
        </w:rPr>
      </w:pPr>
      <w:r>
        <w:rPr>
          <w:rFonts w:ascii="Arial" w:hAnsi="Arial" w:cs="Arial"/>
          <w:sz w:val="24"/>
          <w:szCs w:val="24"/>
        </w:rPr>
        <w:t>However, some researcher</w:t>
      </w:r>
      <w:r w:rsidR="00DF7428">
        <w:rPr>
          <w:rFonts w:ascii="Arial" w:hAnsi="Arial" w:cs="Arial"/>
          <w:sz w:val="24"/>
          <w:szCs w:val="24"/>
        </w:rPr>
        <w:t>s</w:t>
      </w:r>
      <w:r w:rsidR="009B67F3">
        <w:rPr>
          <w:rFonts w:ascii="Arial" w:hAnsi="Arial" w:cs="Arial"/>
          <w:sz w:val="24"/>
          <w:szCs w:val="24"/>
        </w:rPr>
        <w:t xml:space="preserve"> according to Gelder et al., (1999</w:t>
      </w:r>
      <w:r w:rsidR="00CC53E8">
        <w:rPr>
          <w:rFonts w:ascii="Arial" w:hAnsi="Arial" w:cs="Arial"/>
          <w:sz w:val="24"/>
          <w:szCs w:val="24"/>
        </w:rPr>
        <w:t xml:space="preserve"> as cited in Gross, 2010</w:t>
      </w:r>
      <w:r w:rsidR="005571DE">
        <w:rPr>
          <w:rFonts w:ascii="Arial" w:hAnsi="Arial" w:cs="Arial"/>
          <w:sz w:val="24"/>
          <w:szCs w:val="24"/>
        </w:rPr>
        <w:t>, p.717</w:t>
      </w:r>
      <w:r w:rsidR="00CC53E8">
        <w:rPr>
          <w:rFonts w:ascii="Arial" w:hAnsi="Arial" w:cs="Arial"/>
          <w:sz w:val="24"/>
          <w:szCs w:val="24"/>
        </w:rPr>
        <w:t>)</w:t>
      </w:r>
      <w:r>
        <w:rPr>
          <w:rFonts w:ascii="Arial" w:hAnsi="Arial" w:cs="Arial"/>
          <w:sz w:val="24"/>
          <w:szCs w:val="24"/>
        </w:rPr>
        <w:t xml:space="preserve"> </w:t>
      </w:r>
      <w:r w:rsidR="008E1C58">
        <w:rPr>
          <w:rFonts w:ascii="Arial" w:hAnsi="Arial" w:cs="Arial"/>
          <w:sz w:val="24"/>
          <w:szCs w:val="24"/>
        </w:rPr>
        <w:t xml:space="preserve">also believe that the menstrual cycle is also a useful marker to </w:t>
      </w:r>
      <w:r>
        <w:rPr>
          <w:rFonts w:ascii="Arial" w:hAnsi="Arial" w:cs="Arial"/>
          <w:sz w:val="24"/>
          <w:szCs w:val="24"/>
        </w:rPr>
        <w:t>diagnose Anorexia</w:t>
      </w:r>
      <w:r w:rsidR="001368C9">
        <w:rPr>
          <w:rFonts w:ascii="Arial" w:hAnsi="Arial" w:cs="Arial"/>
          <w:sz w:val="24"/>
          <w:szCs w:val="24"/>
        </w:rPr>
        <w:t>.</w:t>
      </w:r>
      <w:r>
        <w:rPr>
          <w:rFonts w:ascii="Arial" w:hAnsi="Arial" w:cs="Arial"/>
          <w:sz w:val="24"/>
          <w:szCs w:val="24"/>
        </w:rPr>
        <w:t xml:space="preserve"> </w:t>
      </w:r>
      <w:r w:rsidR="001368C9">
        <w:rPr>
          <w:rFonts w:ascii="Arial" w:hAnsi="Arial" w:cs="Arial"/>
          <w:sz w:val="24"/>
          <w:szCs w:val="24"/>
        </w:rPr>
        <w:t xml:space="preserve">The </w:t>
      </w:r>
      <w:r>
        <w:rPr>
          <w:rFonts w:ascii="Arial" w:hAnsi="Arial" w:cs="Arial"/>
          <w:sz w:val="24"/>
          <w:szCs w:val="24"/>
        </w:rPr>
        <w:t>menstrual cycle usually disappears in anorexics due to extreme weight loss (whereas bulimics tend to still have menstrual cycles).  Depression, social withdrawment, constipation, low blood pressure and sensitivity to the cold are also markers of Anorexia</w:t>
      </w:r>
      <w:r w:rsidR="00CC53E8">
        <w:rPr>
          <w:rFonts w:ascii="Arial" w:hAnsi="Arial" w:cs="Arial"/>
          <w:sz w:val="24"/>
          <w:szCs w:val="24"/>
        </w:rPr>
        <w:t>.</w:t>
      </w:r>
    </w:p>
    <w:p w14:paraId="0E4E8E18" w14:textId="07A218A8" w:rsidR="005E54E3" w:rsidRDefault="009B67F3">
      <w:pPr>
        <w:rPr>
          <w:rFonts w:ascii="Arial" w:hAnsi="Arial" w:cs="Arial"/>
          <w:sz w:val="24"/>
          <w:szCs w:val="24"/>
        </w:rPr>
      </w:pPr>
      <w:r>
        <w:rPr>
          <w:rFonts w:ascii="Arial" w:hAnsi="Arial" w:cs="Arial"/>
          <w:sz w:val="24"/>
          <w:szCs w:val="24"/>
        </w:rPr>
        <w:t>Waterhouse and Mayes (2000</w:t>
      </w:r>
      <w:r w:rsidR="00CC53E8">
        <w:rPr>
          <w:rFonts w:ascii="Arial" w:hAnsi="Arial" w:cs="Arial"/>
          <w:sz w:val="24"/>
          <w:szCs w:val="24"/>
        </w:rPr>
        <w:t xml:space="preserve"> cited in Gross, 2010</w:t>
      </w:r>
      <w:r w:rsidR="005571DE">
        <w:rPr>
          <w:rFonts w:ascii="Arial" w:hAnsi="Arial" w:cs="Arial"/>
          <w:sz w:val="24"/>
          <w:szCs w:val="24"/>
        </w:rPr>
        <w:t>, p.717</w:t>
      </w:r>
      <w:r w:rsidR="00CC53E8">
        <w:rPr>
          <w:rFonts w:ascii="Arial" w:hAnsi="Arial" w:cs="Arial"/>
          <w:sz w:val="24"/>
          <w:szCs w:val="24"/>
        </w:rPr>
        <w:t>)</w:t>
      </w:r>
      <w:r>
        <w:rPr>
          <w:rFonts w:ascii="Arial" w:hAnsi="Arial" w:cs="Arial"/>
          <w:sz w:val="24"/>
          <w:szCs w:val="24"/>
        </w:rPr>
        <w:t xml:space="preserve"> found that </w:t>
      </w:r>
      <w:r w:rsidR="005E54E3">
        <w:rPr>
          <w:rFonts w:ascii="Arial" w:hAnsi="Arial" w:cs="Arial"/>
          <w:sz w:val="24"/>
          <w:szCs w:val="24"/>
        </w:rPr>
        <w:t>Anorexia has the highest death rate in any psychiatric disorder overtaking alcoholism and depression</w:t>
      </w:r>
      <w:r w:rsidR="00CC53E8">
        <w:rPr>
          <w:rFonts w:ascii="Arial" w:hAnsi="Arial" w:cs="Arial"/>
          <w:sz w:val="24"/>
          <w:szCs w:val="24"/>
        </w:rPr>
        <w:t>.</w:t>
      </w:r>
    </w:p>
    <w:p w14:paraId="25CC113F" w14:textId="13EE8276" w:rsidR="000A4E47" w:rsidRDefault="000A4E47">
      <w:pPr>
        <w:rPr>
          <w:rFonts w:ascii="Arial" w:hAnsi="Arial" w:cs="Arial"/>
          <w:b/>
          <w:bCs/>
          <w:sz w:val="24"/>
          <w:szCs w:val="24"/>
        </w:rPr>
      </w:pPr>
    </w:p>
    <w:p w14:paraId="400F9D51" w14:textId="3F447157" w:rsidR="000A4E47" w:rsidRDefault="000A4E47">
      <w:pPr>
        <w:rPr>
          <w:rFonts w:ascii="Arial" w:hAnsi="Arial" w:cs="Arial"/>
          <w:b/>
          <w:bCs/>
          <w:sz w:val="24"/>
          <w:szCs w:val="24"/>
        </w:rPr>
      </w:pPr>
      <w:r>
        <w:rPr>
          <w:rFonts w:ascii="Arial" w:hAnsi="Arial" w:cs="Arial"/>
          <w:b/>
          <w:bCs/>
          <w:sz w:val="24"/>
          <w:szCs w:val="24"/>
        </w:rPr>
        <w:t xml:space="preserve">Reference list – Assignment 1. </w:t>
      </w:r>
    </w:p>
    <w:p w14:paraId="7649EE75" w14:textId="122A675A" w:rsidR="003F361B" w:rsidRPr="00DF7428" w:rsidRDefault="00DF7428">
      <w:pPr>
        <w:rPr>
          <w:rFonts w:ascii="Arial" w:hAnsi="Arial" w:cs="Arial"/>
          <w:sz w:val="24"/>
          <w:szCs w:val="24"/>
        </w:rPr>
      </w:pPr>
      <w:r>
        <w:rPr>
          <w:rFonts w:ascii="Arial" w:hAnsi="Arial" w:cs="Arial"/>
          <w:sz w:val="24"/>
          <w:szCs w:val="24"/>
        </w:rPr>
        <w:t xml:space="preserve">Gross, R. (2010). </w:t>
      </w:r>
      <w:r w:rsidRPr="00DF7428">
        <w:rPr>
          <w:rFonts w:ascii="Arial" w:hAnsi="Arial" w:cs="Arial"/>
          <w:i/>
          <w:iCs/>
          <w:sz w:val="24"/>
          <w:szCs w:val="24"/>
        </w:rPr>
        <w:t>Psychology: The science of mind and behaviour</w:t>
      </w:r>
      <w:r>
        <w:rPr>
          <w:rFonts w:ascii="Arial" w:hAnsi="Arial" w:cs="Arial"/>
          <w:sz w:val="24"/>
          <w:szCs w:val="24"/>
        </w:rPr>
        <w:t xml:space="preserve">. London: Hodder </w:t>
      </w:r>
      <w:r w:rsidR="001A69F4">
        <w:rPr>
          <w:rFonts w:ascii="Arial" w:hAnsi="Arial" w:cs="Arial"/>
          <w:sz w:val="24"/>
          <w:szCs w:val="24"/>
        </w:rPr>
        <w:tab/>
      </w:r>
      <w:r>
        <w:rPr>
          <w:rFonts w:ascii="Arial" w:hAnsi="Arial" w:cs="Arial"/>
          <w:sz w:val="24"/>
          <w:szCs w:val="24"/>
        </w:rPr>
        <w:t>Education.</w:t>
      </w:r>
    </w:p>
    <w:p w14:paraId="010C5BB7" w14:textId="52273879" w:rsidR="003F361B" w:rsidRDefault="003F361B">
      <w:pPr>
        <w:rPr>
          <w:rFonts w:ascii="Arial" w:hAnsi="Arial" w:cs="Arial"/>
          <w:b/>
          <w:bCs/>
          <w:sz w:val="24"/>
          <w:szCs w:val="24"/>
        </w:rPr>
      </w:pPr>
    </w:p>
    <w:p w14:paraId="45AE4E41" w14:textId="4AFCDFD1" w:rsidR="003F361B" w:rsidRDefault="003F361B">
      <w:pPr>
        <w:rPr>
          <w:rFonts w:ascii="Arial" w:hAnsi="Arial" w:cs="Arial"/>
          <w:b/>
          <w:bCs/>
          <w:sz w:val="24"/>
          <w:szCs w:val="24"/>
        </w:rPr>
      </w:pPr>
    </w:p>
    <w:p w14:paraId="62232459" w14:textId="7F1E6D04" w:rsidR="003F361B" w:rsidRDefault="003F361B">
      <w:pPr>
        <w:rPr>
          <w:rFonts w:ascii="Arial" w:hAnsi="Arial" w:cs="Arial"/>
          <w:b/>
          <w:bCs/>
          <w:sz w:val="24"/>
          <w:szCs w:val="24"/>
        </w:rPr>
      </w:pPr>
    </w:p>
    <w:p w14:paraId="4D491DE6" w14:textId="090CECAE" w:rsidR="00DD22C8" w:rsidRDefault="00DD22C8">
      <w:pPr>
        <w:rPr>
          <w:rFonts w:ascii="Arial" w:hAnsi="Arial" w:cs="Arial"/>
          <w:b/>
          <w:bCs/>
          <w:sz w:val="24"/>
          <w:szCs w:val="24"/>
        </w:rPr>
      </w:pPr>
    </w:p>
    <w:p w14:paraId="4FE086CF" w14:textId="73A0847E" w:rsidR="00DD22C8" w:rsidRDefault="00DD22C8">
      <w:pPr>
        <w:rPr>
          <w:rFonts w:ascii="Arial" w:hAnsi="Arial" w:cs="Arial"/>
          <w:b/>
          <w:bCs/>
          <w:sz w:val="24"/>
          <w:szCs w:val="24"/>
        </w:rPr>
      </w:pPr>
    </w:p>
    <w:p w14:paraId="7007D90C" w14:textId="781E8430" w:rsidR="00DD22C8" w:rsidRDefault="00DD22C8">
      <w:pPr>
        <w:rPr>
          <w:rFonts w:ascii="Arial" w:hAnsi="Arial" w:cs="Arial"/>
          <w:b/>
          <w:bCs/>
          <w:sz w:val="24"/>
          <w:szCs w:val="24"/>
        </w:rPr>
      </w:pPr>
    </w:p>
    <w:p w14:paraId="45C215C1" w14:textId="41C971BE" w:rsidR="00DD22C8" w:rsidRDefault="00DD22C8">
      <w:pPr>
        <w:rPr>
          <w:rFonts w:ascii="Arial" w:hAnsi="Arial" w:cs="Arial"/>
          <w:b/>
          <w:bCs/>
          <w:sz w:val="24"/>
          <w:szCs w:val="24"/>
        </w:rPr>
      </w:pPr>
    </w:p>
    <w:p w14:paraId="681D5DB0" w14:textId="49A016B5" w:rsidR="00DD22C8" w:rsidRDefault="00DD22C8">
      <w:pPr>
        <w:rPr>
          <w:rFonts w:ascii="Arial" w:hAnsi="Arial" w:cs="Arial"/>
          <w:b/>
          <w:bCs/>
          <w:sz w:val="24"/>
          <w:szCs w:val="24"/>
        </w:rPr>
      </w:pPr>
    </w:p>
    <w:p w14:paraId="1D93FB91" w14:textId="5126AD09" w:rsidR="00DD22C8" w:rsidRDefault="00DD22C8">
      <w:pPr>
        <w:rPr>
          <w:rFonts w:ascii="Arial" w:hAnsi="Arial" w:cs="Arial"/>
          <w:b/>
          <w:bCs/>
          <w:sz w:val="24"/>
          <w:szCs w:val="24"/>
        </w:rPr>
      </w:pPr>
    </w:p>
    <w:p w14:paraId="53C9176C" w14:textId="64946C50" w:rsidR="00DD22C8" w:rsidRDefault="00DD22C8">
      <w:pPr>
        <w:rPr>
          <w:rFonts w:ascii="Arial" w:hAnsi="Arial" w:cs="Arial"/>
          <w:b/>
          <w:bCs/>
          <w:sz w:val="24"/>
          <w:szCs w:val="24"/>
        </w:rPr>
      </w:pPr>
    </w:p>
    <w:p w14:paraId="2D0C305A" w14:textId="47A7A6C4" w:rsidR="00DD22C8" w:rsidRDefault="00DD22C8">
      <w:pPr>
        <w:rPr>
          <w:rFonts w:ascii="Arial" w:hAnsi="Arial" w:cs="Arial"/>
          <w:b/>
          <w:bCs/>
          <w:sz w:val="24"/>
          <w:szCs w:val="24"/>
        </w:rPr>
      </w:pPr>
    </w:p>
    <w:p w14:paraId="05B57E48" w14:textId="1EBA31CD" w:rsidR="00DD22C8" w:rsidRDefault="00DD22C8">
      <w:pPr>
        <w:rPr>
          <w:rFonts w:ascii="Arial" w:hAnsi="Arial" w:cs="Arial"/>
          <w:b/>
          <w:bCs/>
          <w:sz w:val="24"/>
          <w:szCs w:val="24"/>
        </w:rPr>
      </w:pPr>
    </w:p>
    <w:p w14:paraId="6481563F" w14:textId="50D69E4E" w:rsidR="00DD22C8" w:rsidRDefault="00DD22C8">
      <w:pPr>
        <w:rPr>
          <w:rFonts w:ascii="Arial" w:hAnsi="Arial" w:cs="Arial"/>
          <w:b/>
          <w:bCs/>
          <w:sz w:val="24"/>
          <w:szCs w:val="24"/>
        </w:rPr>
      </w:pPr>
    </w:p>
    <w:p w14:paraId="341199B7" w14:textId="77777777" w:rsidR="00D630F9" w:rsidRDefault="00D630F9">
      <w:pPr>
        <w:rPr>
          <w:rFonts w:ascii="Arial" w:hAnsi="Arial" w:cs="Arial"/>
          <w:b/>
          <w:bCs/>
          <w:sz w:val="24"/>
          <w:szCs w:val="24"/>
        </w:rPr>
      </w:pPr>
    </w:p>
    <w:p w14:paraId="29881E9E" w14:textId="3A1789E3" w:rsidR="005571DE" w:rsidRDefault="00DD22C8">
      <w:pPr>
        <w:rPr>
          <w:rFonts w:ascii="Arial" w:hAnsi="Arial" w:cs="Arial"/>
          <w:b/>
          <w:bCs/>
          <w:sz w:val="24"/>
          <w:szCs w:val="24"/>
        </w:rPr>
      </w:pPr>
      <w:r>
        <w:rPr>
          <w:rFonts w:ascii="Arial" w:hAnsi="Arial" w:cs="Arial"/>
          <w:b/>
          <w:bCs/>
          <w:sz w:val="24"/>
          <w:szCs w:val="24"/>
        </w:rPr>
        <w:lastRenderedPageBreak/>
        <w:t xml:space="preserve">Assignment 2 </w:t>
      </w:r>
      <w:r w:rsidR="00D630F9">
        <w:rPr>
          <w:rFonts w:ascii="Arial" w:hAnsi="Arial" w:cs="Arial"/>
          <w:b/>
          <w:bCs/>
          <w:sz w:val="24"/>
          <w:szCs w:val="24"/>
        </w:rPr>
        <w:t>– Abstracts.</w:t>
      </w:r>
    </w:p>
    <w:p w14:paraId="5483F3FF" w14:textId="74B8B2EB" w:rsidR="00DD22C8" w:rsidRDefault="005571DE">
      <w:pPr>
        <w:rPr>
          <w:rFonts w:ascii="Arial" w:hAnsi="Arial" w:cs="Arial"/>
          <w:b/>
          <w:bCs/>
          <w:sz w:val="24"/>
          <w:szCs w:val="24"/>
        </w:rPr>
      </w:pPr>
      <w:r>
        <w:rPr>
          <w:rFonts w:ascii="Arial" w:hAnsi="Arial" w:cs="Arial"/>
          <w:b/>
          <w:bCs/>
          <w:sz w:val="24"/>
          <w:szCs w:val="24"/>
        </w:rPr>
        <w:t>Abstract 1.</w:t>
      </w:r>
    </w:p>
    <w:p w14:paraId="3409D763" w14:textId="505087B0" w:rsidR="009F2ECE" w:rsidRDefault="001B18E2">
      <w:pPr>
        <w:rPr>
          <w:rFonts w:ascii="Arial" w:hAnsi="Arial" w:cs="Arial"/>
          <w:sz w:val="24"/>
          <w:szCs w:val="24"/>
        </w:rPr>
      </w:pPr>
      <w:r w:rsidRPr="001B18E2">
        <w:rPr>
          <w:rFonts w:ascii="Arial" w:hAnsi="Arial" w:cs="Arial"/>
          <w:sz w:val="24"/>
          <w:szCs w:val="24"/>
          <w:u w:val="single"/>
        </w:rPr>
        <w:t>The Price of Sexy Viewers</w:t>
      </w:r>
      <w:r w:rsidR="00AB0095">
        <w:rPr>
          <w:rFonts w:ascii="Arial" w:hAnsi="Arial" w:cs="Arial"/>
          <w:sz w:val="24"/>
          <w:szCs w:val="24"/>
          <w:u w:val="single"/>
        </w:rPr>
        <w:t>’</w:t>
      </w:r>
      <w:r w:rsidRPr="001B18E2">
        <w:rPr>
          <w:rFonts w:ascii="Arial" w:hAnsi="Arial" w:cs="Arial"/>
          <w:sz w:val="24"/>
          <w:szCs w:val="24"/>
          <w:u w:val="single"/>
        </w:rPr>
        <w:t xml:space="preserve"> Perceptions of a Sexualized Verses Non-Sexualized Facebook Profile Photograph</w:t>
      </w:r>
      <w:r>
        <w:rPr>
          <w:rFonts w:ascii="Arial" w:hAnsi="Arial" w:cs="Arial"/>
          <w:sz w:val="24"/>
          <w:szCs w:val="24"/>
        </w:rPr>
        <w:t>.</w:t>
      </w:r>
    </w:p>
    <w:p w14:paraId="0551AA58" w14:textId="6181C1C3" w:rsidR="00EF37E1" w:rsidRDefault="00893951">
      <w:pPr>
        <w:rPr>
          <w:rFonts w:ascii="Arial" w:hAnsi="Arial" w:cs="Arial"/>
          <w:sz w:val="24"/>
          <w:szCs w:val="24"/>
        </w:rPr>
      </w:pPr>
      <w:r>
        <w:rPr>
          <w:rFonts w:ascii="Arial" w:hAnsi="Arial" w:cs="Arial"/>
          <w:sz w:val="24"/>
          <w:szCs w:val="24"/>
        </w:rPr>
        <w:t xml:space="preserve">Today in society </w:t>
      </w:r>
      <w:r w:rsidR="001B18E2">
        <w:rPr>
          <w:rFonts w:ascii="Arial" w:hAnsi="Arial" w:cs="Arial"/>
          <w:sz w:val="24"/>
          <w:szCs w:val="24"/>
        </w:rPr>
        <w:t>there is a certain pressure to look a certain way for young girls and women. This certain look is sexy. An experiment in the US delved into the minds and opinion</w:t>
      </w:r>
      <w:r w:rsidR="001368C9">
        <w:rPr>
          <w:rFonts w:ascii="Arial" w:hAnsi="Arial" w:cs="Arial"/>
          <w:sz w:val="24"/>
          <w:szCs w:val="24"/>
        </w:rPr>
        <w:t>s</w:t>
      </w:r>
      <w:r w:rsidR="001B18E2">
        <w:rPr>
          <w:rFonts w:ascii="Arial" w:hAnsi="Arial" w:cs="Arial"/>
          <w:sz w:val="24"/>
          <w:szCs w:val="24"/>
        </w:rPr>
        <w:t xml:space="preserve"> of young girls and women. Their peers posted images onto the social networking app Facebook. These images were either sexual or non-sexual. </w:t>
      </w:r>
      <w:r w:rsidR="00A07C25">
        <w:rPr>
          <w:rFonts w:ascii="Arial" w:hAnsi="Arial" w:cs="Arial"/>
          <w:sz w:val="24"/>
          <w:szCs w:val="24"/>
        </w:rPr>
        <w:t>Fifty-eight</w:t>
      </w:r>
      <w:r w:rsidR="001B18E2">
        <w:rPr>
          <w:rFonts w:ascii="Arial" w:hAnsi="Arial" w:cs="Arial"/>
          <w:sz w:val="24"/>
          <w:szCs w:val="24"/>
        </w:rPr>
        <w:t xml:space="preserve"> young girls and </w:t>
      </w:r>
      <w:r w:rsidR="00A07C25">
        <w:rPr>
          <w:rFonts w:ascii="Arial" w:hAnsi="Arial" w:cs="Arial"/>
          <w:sz w:val="24"/>
          <w:szCs w:val="24"/>
        </w:rPr>
        <w:t xml:space="preserve">Sixty </w:t>
      </w:r>
      <w:r w:rsidR="001B18E2">
        <w:rPr>
          <w:rFonts w:ascii="Arial" w:hAnsi="Arial" w:cs="Arial"/>
          <w:sz w:val="24"/>
          <w:szCs w:val="24"/>
        </w:rPr>
        <w:t xml:space="preserve">young women were </w:t>
      </w:r>
      <w:r w:rsidR="001368C9">
        <w:rPr>
          <w:rFonts w:ascii="Arial" w:hAnsi="Arial" w:cs="Arial"/>
          <w:sz w:val="24"/>
          <w:szCs w:val="24"/>
        </w:rPr>
        <w:t xml:space="preserve">then </w:t>
      </w:r>
      <w:r w:rsidR="001B18E2">
        <w:rPr>
          <w:rFonts w:ascii="Arial" w:hAnsi="Arial" w:cs="Arial"/>
          <w:sz w:val="24"/>
          <w:szCs w:val="24"/>
        </w:rPr>
        <w:t>asked to gather their opinions on these images and profiles</w:t>
      </w:r>
      <w:r w:rsidR="00EF37E1">
        <w:rPr>
          <w:rFonts w:ascii="Arial" w:hAnsi="Arial" w:cs="Arial"/>
          <w:sz w:val="24"/>
          <w:szCs w:val="24"/>
        </w:rPr>
        <w:t xml:space="preserve"> (Daniels and Zurbriggen, 2016).</w:t>
      </w:r>
    </w:p>
    <w:p w14:paraId="2FA4D3AD" w14:textId="12688092" w:rsidR="00EF37E1" w:rsidRDefault="001B18E2">
      <w:pPr>
        <w:rPr>
          <w:rFonts w:ascii="Arial" w:hAnsi="Arial" w:cs="Arial"/>
          <w:sz w:val="24"/>
          <w:szCs w:val="24"/>
        </w:rPr>
      </w:pPr>
      <w:r>
        <w:rPr>
          <w:rFonts w:ascii="Arial" w:hAnsi="Arial" w:cs="Arial"/>
          <w:sz w:val="24"/>
          <w:szCs w:val="24"/>
        </w:rPr>
        <w:t>The results from this experiment</w:t>
      </w:r>
      <w:r w:rsidR="00A07C25">
        <w:rPr>
          <w:rFonts w:ascii="Arial" w:hAnsi="Arial" w:cs="Arial"/>
          <w:sz w:val="24"/>
          <w:szCs w:val="24"/>
        </w:rPr>
        <w:t xml:space="preserve"> were surprising and</w:t>
      </w:r>
      <w:r>
        <w:rPr>
          <w:rFonts w:ascii="Arial" w:hAnsi="Arial" w:cs="Arial"/>
          <w:sz w:val="24"/>
          <w:szCs w:val="24"/>
        </w:rPr>
        <w:t xml:space="preserve"> showed that the profiles who used sexual images were deemed: less physically attractive, less likely to complete tasks, and less socially attractive. The only difference from the results that were gathered from this experiment were that: young women gave higher score</w:t>
      </w:r>
      <w:r w:rsidR="00A07C25">
        <w:rPr>
          <w:rFonts w:ascii="Arial" w:hAnsi="Arial" w:cs="Arial"/>
          <w:sz w:val="24"/>
          <w:szCs w:val="24"/>
        </w:rPr>
        <w:t>s</w:t>
      </w:r>
      <w:r>
        <w:rPr>
          <w:rFonts w:ascii="Arial" w:hAnsi="Arial" w:cs="Arial"/>
          <w:sz w:val="24"/>
          <w:szCs w:val="24"/>
        </w:rPr>
        <w:t xml:space="preserve"> on social attractiveness than the younger girls</w:t>
      </w:r>
      <w:r w:rsidR="00EF37E1">
        <w:rPr>
          <w:rFonts w:ascii="Arial" w:hAnsi="Arial" w:cs="Arial"/>
          <w:sz w:val="24"/>
          <w:szCs w:val="24"/>
        </w:rPr>
        <w:t xml:space="preserve"> (Daniels and Zurbriggen, 2016).</w:t>
      </w:r>
    </w:p>
    <w:p w14:paraId="719A1314" w14:textId="292252FD" w:rsidR="001B18E2" w:rsidRDefault="00A07C25">
      <w:pPr>
        <w:rPr>
          <w:rFonts w:ascii="Arial" w:hAnsi="Arial" w:cs="Arial"/>
          <w:sz w:val="24"/>
          <w:szCs w:val="24"/>
        </w:rPr>
      </w:pPr>
      <w:r>
        <w:rPr>
          <w:rFonts w:ascii="Arial" w:hAnsi="Arial" w:cs="Arial"/>
          <w:sz w:val="24"/>
          <w:szCs w:val="24"/>
        </w:rPr>
        <w:t>The results from this experiment indicate that women who post sexual photos on social media do have repercussions in one aspect or another</w:t>
      </w:r>
      <w:r w:rsidR="001368C9">
        <w:rPr>
          <w:rFonts w:ascii="Arial" w:hAnsi="Arial" w:cs="Arial"/>
          <w:sz w:val="24"/>
          <w:szCs w:val="24"/>
        </w:rPr>
        <w:t>,</w:t>
      </w:r>
      <w:r>
        <w:rPr>
          <w:rFonts w:ascii="Arial" w:hAnsi="Arial" w:cs="Arial"/>
          <w:sz w:val="24"/>
          <w:szCs w:val="24"/>
        </w:rPr>
        <w:t xml:space="preserve"> purely based on their looks and how they portray themselves. Therefore, young women need to be educated in the use of social media and how these images portray themselves to the world. Some strategies have been produced at the end of this report</w:t>
      </w:r>
      <w:r w:rsidR="005571DE">
        <w:rPr>
          <w:rFonts w:ascii="Arial" w:hAnsi="Arial" w:cs="Arial"/>
          <w:sz w:val="24"/>
          <w:szCs w:val="24"/>
        </w:rPr>
        <w:t xml:space="preserve"> (Daniels and Zurbriggen, 2016).</w:t>
      </w:r>
    </w:p>
    <w:p w14:paraId="111D0C23" w14:textId="38D21FFC" w:rsidR="001B18E2" w:rsidRPr="001B18E2" w:rsidRDefault="00A07C25">
      <w:pPr>
        <w:rPr>
          <w:rFonts w:ascii="Arial" w:hAnsi="Arial" w:cs="Arial"/>
          <w:sz w:val="24"/>
          <w:szCs w:val="24"/>
        </w:rPr>
      </w:pPr>
      <w:r w:rsidRPr="00A07C25">
        <w:rPr>
          <w:rFonts w:ascii="Arial" w:hAnsi="Arial" w:cs="Arial"/>
          <w:b/>
          <w:bCs/>
          <w:sz w:val="24"/>
          <w:szCs w:val="24"/>
        </w:rPr>
        <w:t>Keywords: -</w:t>
      </w:r>
      <w:r>
        <w:rPr>
          <w:rFonts w:ascii="Arial" w:hAnsi="Arial" w:cs="Arial"/>
          <w:sz w:val="24"/>
          <w:szCs w:val="24"/>
        </w:rPr>
        <w:t xml:space="preserve"> Social media, judgement, opinions, sexualisation- sexy.</w:t>
      </w:r>
    </w:p>
    <w:p w14:paraId="14A9C08D" w14:textId="518C4A4C" w:rsidR="009F2ECE" w:rsidRPr="00AB0095" w:rsidRDefault="00A07C25" w:rsidP="00803ACF">
      <w:pPr>
        <w:rPr>
          <w:rFonts w:ascii="Arial" w:hAnsi="Arial" w:cs="Arial"/>
          <w:sz w:val="24"/>
          <w:szCs w:val="24"/>
        </w:rPr>
      </w:pPr>
      <w:r>
        <w:rPr>
          <w:rFonts w:ascii="Arial" w:hAnsi="Arial" w:cs="Arial"/>
          <w:b/>
          <w:bCs/>
          <w:sz w:val="24"/>
          <w:szCs w:val="24"/>
        </w:rPr>
        <w:t xml:space="preserve">Reference: </w:t>
      </w:r>
      <w:r w:rsidR="00AB0095">
        <w:rPr>
          <w:rFonts w:ascii="Arial" w:hAnsi="Arial" w:cs="Arial"/>
          <w:sz w:val="24"/>
          <w:szCs w:val="24"/>
        </w:rPr>
        <w:t>Daniels, E., &amp; Zurbriggen, E. (2016). The Price of Sexy: Viewers</w:t>
      </w:r>
      <w:r w:rsidR="00803ACF" w:rsidRPr="00803ACF">
        <w:rPr>
          <w:rFonts w:ascii="Arial" w:hAnsi="Arial" w:cs="Arial"/>
          <w:sz w:val="24"/>
          <w:szCs w:val="24"/>
        </w:rPr>
        <w:t xml:space="preserve">’ </w:t>
      </w:r>
      <w:r w:rsidR="00803ACF">
        <w:rPr>
          <w:rFonts w:ascii="Arial" w:hAnsi="Arial" w:cs="Arial"/>
          <w:sz w:val="24"/>
          <w:szCs w:val="24"/>
        </w:rPr>
        <w:tab/>
      </w:r>
      <w:r w:rsidR="00AB0095">
        <w:rPr>
          <w:rFonts w:ascii="Arial" w:hAnsi="Arial" w:cs="Arial"/>
          <w:sz w:val="24"/>
          <w:szCs w:val="24"/>
        </w:rPr>
        <w:t xml:space="preserve">Perceptions of a Sexualized Versus Non-Sexualized Facebook Profile </w:t>
      </w:r>
      <w:r w:rsidR="00803ACF">
        <w:rPr>
          <w:rFonts w:ascii="Arial" w:hAnsi="Arial" w:cs="Arial"/>
          <w:sz w:val="24"/>
          <w:szCs w:val="24"/>
        </w:rPr>
        <w:tab/>
      </w:r>
      <w:r w:rsidR="00803ACF">
        <w:rPr>
          <w:rFonts w:ascii="Arial" w:hAnsi="Arial" w:cs="Arial"/>
          <w:sz w:val="24"/>
          <w:szCs w:val="24"/>
        </w:rPr>
        <w:tab/>
      </w:r>
      <w:r w:rsidR="00AB0095">
        <w:rPr>
          <w:rFonts w:ascii="Arial" w:hAnsi="Arial" w:cs="Arial"/>
          <w:sz w:val="24"/>
          <w:szCs w:val="24"/>
        </w:rPr>
        <w:t xml:space="preserve">Photograph. </w:t>
      </w:r>
      <w:r w:rsidR="00AB0095">
        <w:rPr>
          <w:rFonts w:ascii="Arial" w:hAnsi="Arial" w:cs="Arial"/>
          <w:i/>
          <w:iCs/>
          <w:sz w:val="24"/>
          <w:szCs w:val="24"/>
        </w:rPr>
        <w:t>Psychology of Popular Media Culture, 5</w:t>
      </w:r>
      <w:r w:rsidR="00AB0095">
        <w:rPr>
          <w:rFonts w:ascii="Arial" w:hAnsi="Arial" w:cs="Arial"/>
          <w:sz w:val="24"/>
          <w:szCs w:val="24"/>
        </w:rPr>
        <w:t>(1), 2-14.</w:t>
      </w:r>
    </w:p>
    <w:p w14:paraId="494A592E" w14:textId="725B54DA" w:rsidR="009F2ECE" w:rsidRDefault="009F2ECE">
      <w:pPr>
        <w:rPr>
          <w:rFonts w:ascii="Arial" w:hAnsi="Arial" w:cs="Arial"/>
          <w:b/>
          <w:bCs/>
          <w:sz w:val="24"/>
          <w:szCs w:val="24"/>
        </w:rPr>
      </w:pPr>
    </w:p>
    <w:p w14:paraId="34D33325" w14:textId="26E78EDB" w:rsidR="005571DE" w:rsidRDefault="005571DE">
      <w:pPr>
        <w:rPr>
          <w:rFonts w:ascii="Arial" w:hAnsi="Arial" w:cs="Arial"/>
          <w:b/>
          <w:bCs/>
          <w:sz w:val="24"/>
          <w:szCs w:val="24"/>
        </w:rPr>
      </w:pPr>
      <w:r>
        <w:rPr>
          <w:rFonts w:ascii="Arial" w:hAnsi="Arial" w:cs="Arial"/>
          <w:b/>
          <w:bCs/>
          <w:sz w:val="24"/>
          <w:szCs w:val="24"/>
        </w:rPr>
        <w:t xml:space="preserve">Abstract 2. </w:t>
      </w:r>
    </w:p>
    <w:p w14:paraId="3731E30F" w14:textId="29D961C1" w:rsidR="00893951" w:rsidRDefault="00893951">
      <w:pPr>
        <w:rPr>
          <w:rFonts w:ascii="Arial" w:hAnsi="Arial" w:cs="Arial"/>
          <w:sz w:val="24"/>
          <w:szCs w:val="24"/>
          <w:u w:val="single"/>
        </w:rPr>
      </w:pPr>
      <w:r>
        <w:rPr>
          <w:rFonts w:ascii="Arial" w:hAnsi="Arial" w:cs="Arial"/>
          <w:sz w:val="24"/>
          <w:szCs w:val="24"/>
          <w:u w:val="single"/>
        </w:rPr>
        <w:t>Is gambling an emerging public health issue for Wales, UK?</w:t>
      </w:r>
    </w:p>
    <w:p w14:paraId="44EE13E8" w14:textId="4DD45BD1" w:rsidR="00EF37E1" w:rsidRDefault="00893951">
      <w:pPr>
        <w:rPr>
          <w:rFonts w:ascii="Arial" w:hAnsi="Arial" w:cs="Arial"/>
          <w:sz w:val="24"/>
          <w:szCs w:val="24"/>
        </w:rPr>
      </w:pPr>
      <w:r>
        <w:rPr>
          <w:rFonts w:ascii="Arial" w:hAnsi="Arial" w:cs="Arial"/>
          <w:sz w:val="24"/>
          <w:szCs w:val="24"/>
        </w:rPr>
        <w:t>Gambling is known as staking money or something of a high value on an event, despite not knowing the end result</w:t>
      </w:r>
      <w:r w:rsidR="001368C9">
        <w:rPr>
          <w:rFonts w:ascii="Arial" w:hAnsi="Arial" w:cs="Arial"/>
          <w:sz w:val="24"/>
          <w:szCs w:val="24"/>
        </w:rPr>
        <w:t xml:space="preserve">, </w:t>
      </w:r>
      <w:r>
        <w:rPr>
          <w:rFonts w:ascii="Arial" w:hAnsi="Arial" w:cs="Arial"/>
          <w:sz w:val="24"/>
          <w:szCs w:val="24"/>
        </w:rPr>
        <w:t>in hope of earning and winning more than the stake you put down. Today it is widely accepted for adults to gam</w:t>
      </w:r>
      <w:r w:rsidR="00C9046D">
        <w:rPr>
          <w:rFonts w:ascii="Arial" w:hAnsi="Arial" w:cs="Arial"/>
          <w:sz w:val="24"/>
          <w:szCs w:val="24"/>
        </w:rPr>
        <w:t>bl</w:t>
      </w:r>
      <w:r>
        <w:rPr>
          <w:rFonts w:ascii="Arial" w:hAnsi="Arial" w:cs="Arial"/>
          <w:sz w:val="24"/>
          <w:szCs w:val="24"/>
        </w:rPr>
        <w:t>e regularly. However, where does it stop? Granted not everyone who gambles risks their livelihood</w:t>
      </w:r>
      <w:r w:rsidR="00C9046D">
        <w:rPr>
          <w:rFonts w:ascii="Arial" w:hAnsi="Arial" w:cs="Arial"/>
          <w:sz w:val="24"/>
          <w:szCs w:val="24"/>
        </w:rPr>
        <w:t>s,</w:t>
      </w:r>
      <w:r>
        <w:rPr>
          <w:rFonts w:ascii="Arial" w:hAnsi="Arial" w:cs="Arial"/>
          <w:sz w:val="24"/>
          <w:szCs w:val="24"/>
        </w:rPr>
        <w:t xml:space="preserve"> but for addicts there is no limit. When gambling becomes an addiction it destroys their families, social and work life. Many resort to stealing and even fraud to fund their habit. It is estimated </w:t>
      </w:r>
      <w:r w:rsidR="001368C9">
        <w:rPr>
          <w:rFonts w:ascii="Arial" w:hAnsi="Arial" w:cs="Arial"/>
          <w:sz w:val="24"/>
          <w:szCs w:val="24"/>
        </w:rPr>
        <w:t xml:space="preserve">that </w:t>
      </w:r>
      <w:r>
        <w:rPr>
          <w:rFonts w:ascii="Arial" w:hAnsi="Arial" w:cs="Arial"/>
          <w:sz w:val="24"/>
          <w:szCs w:val="24"/>
        </w:rPr>
        <w:t>in Wales alone the gambling industry is worth 40-70 million</w:t>
      </w:r>
      <w:r w:rsidR="00EF37E1">
        <w:rPr>
          <w:rFonts w:ascii="Arial" w:hAnsi="Arial" w:cs="Arial"/>
          <w:sz w:val="24"/>
          <w:szCs w:val="24"/>
        </w:rPr>
        <w:t xml:space="preserve"> (Atherton and Beynon, 2018).</w:t>
      </w:r>
    </w:p>
    <w:p w14:paraId="5EB5D78D" w14:textId="66D32E79" w:rsidR="00EF37E1" w:rsidRDefault="00893951">
      <w:pPr>
        <w:rPr>
          <w:rFonts w:ascii="Arial" w:hAnsi="Arial" w:cs="Arial"/>
          <w:sz w:val="24"/>
          <w:szCs w:val="24"/>
        </w:rPr>
      </w:pPr>
      <w:r>
        <w:rPr>
          <w:rFonts w:ascii="Arial" w:hAnsi="Arial" w:cs="Arial"/>
          <w:sz w:val="24"/>
          <w:szCs w:val="24"/>
        </w:rPr>
        <w:t>This study researched into old existing data regarding gambling</w:t>
      </w:r>
      <w:r w:rsidR="001368C9">
        <w:rPr>
          <w:rFonts w:ascii="Arial" w:hAnsi="Arial" w:cs="Arial"/>
          <w:sz w:val="24"/>
          <w:szCs w:val="24"/>
        </w:rPr>
        <w:t>,</w:t>
      </w:r>
      <w:r>
        <w:rPr>
          <w:rFonts w:ascii="Arial" w:hAnsi="Arial" w:cs="Arial"/>
          <w:sz w:val="24"/>
          <w:szCs w:val="24"/>
        </w:rPr>
        <w:t xml:space="preserve"> and i</w:t>
      </w:r>
      <w:r w:rsidR="00CE7A5B">
        <w:rPr>
          <w:rFonts w:ascii="Arial" w:hAnsi="Arial" w:cs="Arial"/>
          <w:sz w:val="24"/>
          <w:szCs w:val="24"/>
        </w:rPr>
        <w:t>f it is</w:t>
      </w:r>
      <w:r>
        <w:rPr>
          <w:rFonts w:ascii="Arial" w:hAnsi="Arial" w:cs="Arial"/>
          <w:sz w:val="24"/>
          <w:szCs w:val="24"/>
        </w:rPr>
        <w:t xml:space="preserve"> becoming a </w:t>
      </w:r>
      <w:r w:rsidR="00C9046D">
        <w:rPr>
          <w:rFonts w:ascii="Arial" w:hAnsi="Arial" w:cs="Arial"/>
          <w:sz w:val="24"/>
          <w:szCs w:val="24"/>
        </w:rPr>
        <w:t xml:space="preserve">public health issue in Wales. It was found that 61% of adults in Wales gambled in the last year alone, with 1.1% of the population also admitting that they have a gambling problem by the diagnosis of the DSM and Gambling Awareness Manual. It </w:t>
      </w:r>
      <w:r w:rsidR="00C9046D">
        <w:rPr>
          <w:rFonts w:ascii="Arial" w:hAnsi="Arial" w:cs="Arial"/>
          <w:sz w:val="24"/>
          <w:szCs w:val="24"/>
        </w:rPr>
        <w:lastRenderedPageBreak/>
        <w:t>was also heavily highlighted that gambling majorly affects the family and friends of those who have the addiction</w:t>
      </w:r>
      <w:r w:rsidR="00EF37E1">
        <w:rPr>
          <w:rFonts w:ascii="Arial" w:hAnsi="Arial" w:cs="Arial"/>
          <w:sz w:val="24"/>
          <w:szCs w:val="24"/>
        </w:rPr>
        <w:t xml:space="preserve"> (Atherton and Beynon, 2018).</w:t>
      </w:r>
    </w:p>
    <w:p w14:paraId="74E13368" w14:textId="594F9FE4" w:rsidR="00893951" w:rsidRDefault="00C9046D">
      <w:pPr>
        <w:rPr>
          <w:rFonts w:ascii="Arial" w:hAnsi="Arial" w:cs="Arial"/>
          <w:sz w:val="24"/>
          <w:szCs w:val="24"/>
        </w:rPr>
      </w:pPr>
      <w:r>
        <w:rPr>
          <w:rFonts w:ascii="Arial" w:hAnsi="Arial" w:cs="Arial"/>
          <w:sz w:val="24"/>
          <w:szCs w:val="24"/>
        </w:rPr>
        <w:t>These results show that gambling is a massive issue within Wales and steps must be put into place to help those who sufferer from the addition and the families of those gamblers, before it is too late (Atherton and Beynon, 2018).</w:t>
      </w:r>
    </w:p>
    <w:p w14:paraId="7592449E" w14:textId="39CD82E1" w:rsidR="00C9046D" w:rsidRDefault="00C9046D">
      <w:pPr>
        <w:rPr>
          <w:rFonts w:ascii="Arial" w:hAnsi="Arial" w:cs="Arial"/>
          <w:sz w:val="24"/>
          <w:szCs w:val="24"/>
        </w:rPr>
      </w:pPr>
      <w:r>
        <w:rPr>
          <w:rFonts w:ascii="Arial" w:hAnsi="Arial" w:cs="Arial"/>
          <w:b/>
          <w:bCs/>
          <w:sz w:val="24"/>
          <w:szCs w:val="24"/>
        </w:rPr>
        <w:t xml:space="preserve">Keywords: </w:t>
      </w:r>
      <w:r>
        <w:rPr>
          <w:rFonts w:ascii="Arial" w:hAnsi="Arial" w:cs="Arial"/>
          <w:sz w:val="24"/>
          <w:szCs w:val="24"/>
        </w:rPr>
        <w:t xml:space="preserve">gambling, families. </w:t>
      </w:r>
    </w:p>
    <w:p w14:paraId="7C60626B" w14:textId="7FCBA236" w:rsidR="00C9046D" w:rsidRDefault="00C9046D">
      <w:pPr>
        <w:rPr>
          <w:rFonts w:ascii="Arial" w:hAnsi="Arial" w:cs="Arial"/>
          <w:sz w:val="24"/>
          <w:szCs w:val="24"/>
        </w:rPr>
      </w:pPr>
      <w:r>
        <w:rPr>
          <w:rFonts w:ascii="Arial" w:hAnsi="Arial" w:cs="Arial"/>
          <w:b/>
          <w:bCs/>
          <w:sz w:val="24"/>
          <w:szCs w:val="24"/>
        </w:rPr>
        <w:t xml:space="preserve">Reference: </w:t>
      </w:r>
      <w:r>
        <w:rPr>
          <w:rFonts w:ascii="Arial" w:hAnsi="Arial" w:cs="Arial"/>
          <w:sz w:val="24"/>
          <w:szCs w:val="24"/>
        </w:rPr>
        <w:t xml:space="preserve">Atherton, F., &amp; Beynon, C. (2018). Is gambling an emerging public </w:t>
      </w:r>
      <w:r w:rsidR="00803ACF">
        <w:rPr>
          <w:rFonts w:ascii="Arial" w:hAnsi="Arial" w:cs="Arial"/>
          <w:sz w:val="24"/>
          <w:szCs w:val="24"/>
        </w:rPr>
        <w:tab/>
      </w:r>
      <w:r>
        <w:rPr>
          <w:rFonts w:ascii="Arial" w:hAnsi="Arial" w:cs="Arial"/>
          <w:sz w:val="24"/>
          <w:szCs w:val="24"/>
        </w:rPr>
        <w:t xml:space="preserve">health issue for Wales, UK? </w:t>
      </w:r>
      <w:r>
        <w:rPr>
          <w:rFonts w:ascii="Arial" w:hAnsi="Arial" w:cs="Arial"/>
          <w:i/>
          <w:iCs/>
          <w:sz w:val="24"/>
          <w:szCs w:val="24"/>
        </w:rPr>
        <w:t xml:space="preserve">Journal of public health, </w:t>
      </w:r>
      <w:r>
        <w:rPr>
          <w:rFonts w:ascii="Arial" w:hAnsi="Arial" w:cs="Arial"/>
          <w:sz w:val="24"/>
          <w:szCs w:val="24"/>
        </w:rPr>
        <w:t>1-6</w:t>
      </w:r>
      <w:r w:rsidR="00C41A1C">
        <w:rPr>
          <w:rFonts w:ascii="Arial" w:hAnsi="Arial" w:cs="Arial"/>
          <w:sz w:val="24"/>
          <w:szCs w:val="24"/>
        </w:rPr>
        <w:t xml:space="preserve">. DOI: </w:t>
      </w:r>
      <w:r w:rsidR="00803ACF">
        <w:rPr>
          <w:rFonts w:ascii="Arial" w:hAnsi="Arial" w:cs="Arial"/>
          <w:sz w:val="24"/>
          <w:szCs w:val="24"/>
        </w:rPr>
        <w:tab/>
      </w:r>
      <w:r w:rsidR="00C41A1C">
        <w:rPr>
          <w:rFonts w:ascii="Arial" w:hAnsi="Arial" w:cs="Arial"/>
          <w:sz w:val="24"/>
          <w:szCs w:val="24"/>
        </w:rPr>
        <w:t xml:space="preserve">10/1093/pubmed/fdy164. </w:t>
      </w:r>
    </w:p>
    <w:p w14:paraId="30524671" w14:textId="6C437DF1" w:rsidR="00C41A1C" w:rsidRDefault="00C41A1C">
      <w:pPr>
        <w:rPr>
          <w:rFonts w:ascii="Arial" w:hAnsi="Arial" w:cs="Arial"/>
          <w:sz w:val="24"/>
          <w:szCs w:val="24"/>
        </w:rPr>
      </w:pPr>
    </w:p>
    <w:p w14:paraId="74437E0F" w14:textId="26C3312C" w:rsidR="00AA6B8A" w:rsidRDefault="00AA6B8A">
      <w:pPr>
        <w:rPr>
          <w:rFonts w:ascii="Arial" w:hAnsi="Arial" w:cs="Arial"/>
          <w:b/>
          <w:bCs/>
          <w:sz w:val="24"/>
          <w:szCs w:val="24"/>
        </w:rPr>
      </w:pPr>
      <w:r>
        <w:rPr>
          <w:rFonts w:ascii="Arial" w:hAnsi="Arial" w:cs="Arial"/>
          <w:b/>
          <w:bCs/>
          <w:sz w:val="24"/>
          <w:szCs w:val="24"/>
        </w:rPr>
        <w:t xml:space="preserve">Abstract 3. </w:t>
      </w:r>
    </w:p>
    <w:p w14:paraId="29423562" w14:textId="53414F20" w:rsidR="00AA6B8A" w:rsidRDefault="00E53F68">
      <w:pPr>
        <w:rPr>
          <w:rFonts w:ascii="Arial" w:hAnsi="Arial" w:cs="Arial"/>
          <w:sz w:val="24"/>
          <w:szCs w:val="24"/>
          <w:u w:val="single"/>
        </w:rPr>
      </w:pPr>
      <w:r>
        <w:rPr>
          <w:rFonts w:ascii="Arial" w:hAnsi="Arial" w:cs="Arial"/>
          <w:sz w:val="24"/>
          <w:szCs w:val="24"/>
          <w:u w:val="single"/>
        </w:rPr>
        <w:t xml:space="preserve">The role of narcissism in health-risk and health-protective behaviours. </w:t>
      </w:r>
    </w:p>
    <w:p w14:paraId="0B85540C" w14:textId="0B308EB3" w:rsidR="00E53F68" w:rsidRDefault="000F3C81">
      <w:pPr>
        <w:rPr>
          <w:rFonts w:ascii="Arial" w:hAnsi="Arial" w:cs="Arial"/>
          <w:sz w:val="24"/>
          <w:szCs w:val="24"/>
        </w:rPr>
      </w:pPr>
      <w:r>
        <w:rPr>
          <w:rFonts w:ascii="Arial" w:hAnsi="Arial" w:cs="Arial"/>
          <w:sz w:val="24"/>
          <w:szCs w:val="24"/>
        </w:rPr>
        <w:t xml:space="preserve">Participating and displaying dangerous behaviours are important factors in the high mortality and morbidity rates that we are currently experiencing </w:t>
      </w:r>
      <w:r w:rsidR="0026433C">
        <w:rPr>
          <w:rFonts w:ascii="Arial" w:hAnsi="Arial" w:cs="Arial"/>
          <w:sz w:val="24"/>
          <w:szCs w:val="24"/>
        </w:rPr>
        <w:t>today</w:t>
      </w:r>
      <w:r w:rsidR="001368C9">
        <w:rPr>
          <w:rFonts w:ascii="Arial" w:hAnsi="Arial" w:cs="Arial"/>
          <w:sz w:val="24"/>
          <w:szCs w:val="24"/>
        </w:rPr>
        <w:t>,</w:t>
      </w:r>
      <w:r>
        <w:rPr>
          <w:rFonts w:ascii="Arial" w:hAnsi="Arial" w:cs="Arial"/>
          <w:sz w:val="24"/>
          <w:szCs w:val="24"/>
        </w:rPr>
        <w:t xml:space="preserve"> through narcissis</w:t>
      </w:r>
      <w:r w:rsidR="0026433C">
        <w:rPr>
          <w:rFonts w:ascii="Arial" w:hAnsi="Arial" w:cs="Arial"/>
          <w:sz w:val="24"/>
          <w:szCs w:val="24"/>
        </w:rPr>
        <w:t>t</w:t>
      </w:r>
      <w:r>
        <w:rPr>
          <w:rFonts w:ascii="Arial" w:hAnsi="Arial" w:cs="Arial"/>
          <w:sz w:val="24"/>
          <w:szCs w:val="24"/>
        </w:rPr>
        <w:t xml:space="preserve"> behaviours. Personality traits help us research and give crucial answers regarding the </w:t>
      </w:r>
      <w:r w:rsidR="0026433C">
        <w:rPr>
          <w:rFonts w:ascii="Arial" w:hAnsi="Arial" w:cs="Arial"/>
          <w:sz w:val="24"/>
          <w:szCs w:val="24"/>
        </w:rPr>
        <w:t>long-term</w:t>
      </w:r>
      <w:r>
        <w:rPr>
          <w:rFonts w:ascii="Arial" w:hAnsi="Arial" w:cs="Arial"/>
          <w:sz w:val="24"/>
          <w:szCs w:val="24"/>
        </w:rPr>
        <w:t xml:space="preserve"> influences on health and wellbeing</w:t>
      </w:r>
      <w:r w:rsidR="001368C9">
        <w:rPr>
          <w:rFonts w:ascii="Arial" w:hAnsi="Arial" w:cs="Arial"/>
          <w:sz w:val="24"/>
          <w:szCs w:val="24"/>
        </w:rPr>
        <w:t>,</w:t>
      </w:r>
      <w:bookmarkStart w:id="0" w:name="_GoBack"/>
      <w:bookmarkEnd w:id="0"/>
      <w:r>
        <w:rPr>
          <w:rFonts w:ascii="Arial" w:hAnsi="Arial" w:cs="Arial"/>
          <w:sz w:val="24"/>
          <w:szCs w:val="24"/>
        </w:rPr>
        <w:t xml:space="preserve"> by displaying narcissist traits. Narcissism is a personality trait where individuals are absorbed by their own self-importance, self-esteem enhancement, superiority and entitlement. These traits have been linked to risk taking behaviours and mental health</w:t>
      </w:r>
      <w:r w:rsidR="0026433C">
        <w:rPr>
          <w:rFonts w:ascii="Arial" w:hAnsi="Arial" w:cs="Arial"/>
          <w:sz w:val="24"/>
          <w:szCs w:val="24"/>
        </w:rPr>
        <w:t xml:space="preserve"> (Hill, 2016).</w:t>
      </w:r>
    </w:p>
    <w:p w14:paraId="21418C8F" w14:textId="3185FB5A" w:rsidR="000F3C81" w:rsidRDefault="000F3C81">
      <w:pPr>
        <w:rPr>
          <w:rFonts w:ascii="Arial" w:hAnsi="Arial" w:cs="Arial"/>
          <w:sz w:val="24"/>
          <w:szCs w:val="24"/>
        </w:rPr>
      </w:pPr>
      <w:r>
        <w:rPr>
          <w:rFonts w:ascii="Arial" w:hAnsi="Arial" w:cs="Arial"/>
          <w:sz w:val="24"/>
          <w:szCs w:val="24"/>
        </w:rPr>
        <w:t>A study was created to examine the role of health risk and health protective behaviours. The study was based on 365 undergraduate students, on the regression analysis via narcissism traits and health behaviours</w:t>
      </w:r>
      <w:r w:rsidR="0026433C">
        <w:rPr>
          <w:rFonts w:ascii="Arial" w:hAnsi="Arial" w:cs="Arial"/>
          <w:sz w:val="24"/>
          <w:szCs w:val="24"/>
        </w:rPr>
        <w:t xml:space="preserve"> (Hill, 2016).</w:t>
      </w:r>
    </w:p>
    <w:p w14:paraId="10EBA6A3" w14:textId="523CDE69" w:rsidR="0026433C" w:rsidRDefault="0026433C">
      <w:pPr>
        <w:rPr>
          <w:rFonts w:ascii="Arial" w:hAnsi="Arial" w:cs="Arial"/>
          <w:sz w:val="24"/>
          <w:szCs w:val="24"/>
        </w:rPr>
      </w:pPr>
      <w:r>
        <w:rPr>
          <w:rFonts w:ascii="Arial" w:hAnsi="Arial" w:cs="Arial"/>
          <w:sz w:val="24"/>
          <w:szCs w:val="24"/>
        </w:rPr>
        <w:t>The study found that Narcissism was highly active when the students were: drinking alcohol, using cannabis and carelessness whilst driving. Narcissism traits were also very active during the predictive of physical movements (Hill, 2016).</w:t>
      </w:r>
    </w:p>
    <w:p w14:paraId="75F55F37" w14:textId="53D0D01F" w:rsidR="0026433C" w:rsidRPr="000F3C81" w:rsidRDefault="0026433C">
      <w:pPr>
        <w:rPr>
          <w:rFonts w:ascii="Arial" w:hAnsi="Arial" w:cs="Arial"/>
          <w:sz w:val="24"/>
          <w:szCs w:val="24"/>
        </w:rPr>
      </w:pPr>
      <w:r>
        <w:rPr>
          <w:rFonts w:ascii="Arial" w:hAnsi="Arial" w:cs="Arial"/>
          <w:sz w:val="24"/>
          <w:szCs w:val="24"/>
        </w:rPr>
        <w:t>These results show that there is a direct link to narcissism in relation to health-risks and health-protective behaviours. Whilst some research has been done regarding the long- and short-term effects of narcissism more research needs to be done to get a better understanding (Hill, 2016).</w:t>
      </w:r>
    </w:p>
    <w:p w14:paraId="22EE4D3A" w14:textId="4026B3AB" w:rsidR="00893951" w:rsidRDefault="0026433C">
      <w:pPr>
        <w:rPr>
          <w:rFonts w:ascii="Arial" w:hAnsi="Arial" w:cs="Arial"/>
          <w:sz w:val="24"/>
          <w:szCs w:val="24"/>
        </w:rPr>
      </w:pPr>
      <w:r>
        <w:rPr>
          <w:rFonts w:ascii="Arial" w:hAnsi="Arial" w:cs="Arial"/>
          <w:b/>
          <w:bCs/>
          <w:sz w:val="24"/>
          <w:szCs w:val="24"/>
        </w:rPr>
        <w:t xml:space="preserve">Keywords: </w:t>
      </w:r>
      <w:r>
        <w:rPr>
          <w:rFonts w:ascii="Arial" w:hAnsi="Arial" w:cs="Arial"/>
          <w:sz w:val="24"/>
          <w:szCs w:val="24"/>
        </w:rPr>
        <w:t>narcissism, traits, health-behaviours.</w:t>
      </w:r>
    </w:p>
    <w:p w14:paraId="27C77BF1" w14:textId="291C7993" w:rsidR="0026433C" w:rsidRPr="00CE7A5B" w:rsidRDefault="0026433C">
      <w:pPr>
        <w:rPr>
          <w:rFonts w:ascii="Arial" w:hAnsi="Arial" w:cs="Arial"/>
          <w:sz w:val="24"/>
          <w:szCs w:val="24"/>
        </w:rPr>
      </w:pPr>
      <w:r>
        <w:rPr>
          <w:rFonts w:ascii="Arial" w:hAnsi="Arial" w:cs="Arial"/>
          <w:b/>
          <w:bCs/>
          <w:sz w:val="24"/>
          <w:szCs w:val="24"/>
        </w:rPr>
        <w:t xml:space="preserve">Reference: </w:t>
      </w:r>
      <w:r>
        <w:rPr>
          <w:rFonts w:ascii="Arial" w:hAnsi="Arial" w:cs="Arial"/>
          <w:sz w:val="24"/>
          <w:szCs w:val="24"/>
        </w:rPr>
        <w:t>Mill, E. (2016)</w:t>
      </w:r>
      <w:r w:rsidR="00CE7A5B">
        <w:rPr>
          <w:rFonts w:ascii="Arial" w:hAnsi="Arial" w:cs="Arial"/>
          <w:sz w:val="24"/>
          <w:szCs w:val="24"/>
        </w:rPr>
        <w:t xml:space="preserve">. The role of narcissism in health-risk and health-protective </w:t>
      </w:r>
      <w:r w:rsidR="00CE7A5B">
        <w:rPr>
          <w:rFonts w:ascii="Arial" w:hAnsi="Arial" w:cs="Arial"/>
          <w:sz w:val="24"/>
          <w:szCs w:val="24"/>
        </w:rPr>
        <w:tab/>
        <w:t xml:space="preserve">behaviours. </w:t>
      </w:r>
      <w:r w:rsidR="00CE7A5B">
        <w:rPr>
          <w:rFonts w:ascii="Arial" w:hAnsi="Arial" w:cs="Arial"/>
          <w:i/>
          <w:iCs/>
          <w:sz w:val="24"/>
          <w:szCs w:val="24"/>
        </w:rPr>
        <w:t>Journal of Health Psychology, 21</w:t>
      </w:r>
      <w:r w:rsidR="00CE7A5B">
        <w:rPr>
          <w:rFonts w:ascii="Arial" w:hAnsi="Arial" w:cs="Arial"/>
          <w:sz w:val="24"/>
          <w:szCs w:val="24"/>
        </w:rPr>
        <w:t xml:space="preserve">(9), 1-12. DOI: </w:t>
      </w:r>
      <w:r w:rsidR="00CE7A5B">
        <w:rPr>
          <w:rFonts w:ascii="Arial" w:hAnsi="Arial" w:cs="Arial"/>
          <w:sz w:val="24"/>
          <w:szCs w:val="24"/>
        </w:rPr>
        <w:tab/>
        <w:t>10.1177/1359105315569858</w:t>
      </w:r>
    </w:p>
    <w:p w14:paraId="3626936E" w14:textId="77777777" w:rsidR="009F2ECE" w:rsidRDefault="009F2ECE">
      <w:pPr>
        <w:rPr>
          <w:rFonts w:ascii="Arial" w:hAnsi="Arial" w:cs="Arial"/>
          <w:b/>
          <w:bCs/>
          <w:sz w:val="24"/>
          <w:szCs w:val="24"/>
        </w:rPr>
      </w:pPr>
    </w:p>
    <w:p w14:paraId="790E6F7D" w14:textId="77777777" w:rsidR="009F2ECE" w:rsidRDefault="009F2ECE">
      <w:pPr>
        <w:rPr>
          <w:rFonts w:ascii="Arial" w:hAnsi="Arial" w:cs="Arial"/>
          <w:b/>
          <w:bCs/>
          <w:sz w:val="24"/>
          <w:szCs w:val="24"/>
        </w:rPr>
      </w:pPr>
    </w:p>
    <w:p w14:paraId="30F4B77A" w14:textId="77777777" w:rsidR="009F2ECE" w:rsidRDefault="009F2ECE">
      <w:pPr>
        <w:rPr>
          <w:rFonts w:ascii="Arial" w:hAnsi="Arial" w:cs="Arial"/>
          <w:b/>
          <w:bCs/>
          <w:sz w:val="24"/>
          <w:szCs w:val="24"/>
        </w:rPr>
      </w:pPr>
    </w:p>
    <w:p w14:paraId="773B691C" w14:textId="77777777" w:rsidR="00D630F9" w:rsidRDefault="00D630F9">
      <w:pPr>
        <w:rPr>
          <w:rFonts w:ascii="Arial" w:hAnsi="Arial" w:cs="Arial"/>
          <w:b/>
          <w:bCs/>
          <w:sz w:val="24"/>
          <w:szCs w:val="24"/>
        </w:rPr>
      </w:pPr>
    </w:p>
    <w:p w14:paraId="34FB79F7" w14:textId="2242C990" w:rsidR="003F361B" w:rsidRDefault="003F361B">
      <w:pPr>
        <w:rPr>
          <w:rFonts w:ascii="Arial" w:hAnsi="Arial" w:cs="Arial"/>
          <w:b/>
          <w:bCs/>
          <w:sz w:val="24"/>
          <w:szCs w:val="24"/>
        </w:rPr>
      </w:pPr>
      <w:r>
        <w:rPr>
          <w:rFonts w:ascii="Arial" w:hAnsi="Arial" w:cs="Arial"/>
          <w:b/>
          <w:bCs/>
          <w:sz w:val="24"/>
          <w:szCs w:val="24"/>
        </w:rPr>
        <w:lastRenderedPageBreak/>
        <w:t xml:space="preserve">Assignment 3 – Reference list. </w:t>
      </w:r>
    </w:p>
    <w:p w14:paraId="7B835B87" w14:textId="77777777" w:rsidR="00E41DC1" w:rsidRDefault="00E41DC1">
      <w:pPr>
        <w:rPr>
          <w:rFonts w:ascii="Arial" w:hAnsi="Arial" w:cs="Arial"/>
          <w:sz w:val="24"/>
          <w:szCs w:val="24"/>
        </w:rPr>
      </w:pPr>
    </w:p>
    <w:p w14:paraId="795B4BAA" w14:textId="6178D87B" w:rsidR="00E41DC1" w:rsidRDefault="00E41DC1" w:rsidP="005038C9">
      <w:pPr>
        <w:rPr>
          <w:rFonts w:ascii="Arial" w:hAnsi="Arial" w:cs="Arial"/>
          <w:sz w:val="24"/>
          <w:szCs w:val="24"/>
        </w:rPr>
      </w:pPr>
      <w:r>
        <w:rPr>
          <w:rFonts w:ascii="Arial" w:hAnsi="Arial" w:cs="Arial"/>
          <w:sz w:val="24"/>
          <w:szCs w:val="24"/>
        </w:rPr>
        <w:t xml:space="preserve">Anderson, J., Braddock, K., Dillardo, J., Sopory, P., Stepehenson, M., &amp; Vogit, D. </w:t>
      </w:r>
      <w:r w:rsidR="00803ACF">
        <w:rPr>
          <w:rFonts w:ascii="Arial" w:hAnsi="Arial" w:cs="Arial"/>
          <w:sz w:val="24"/>
          <w:szCs w:val="24"/>
        </w:rPr>
        <w:tab/>
      </w:r>
      <w:r>
        <w:rPr>
          <w:rFonts w:ascii="Arial" w:hAnsi="Arial" w:cs="Arial"/>
          <w:sz w:val="24"/>
          <w:szCs w:val="24"/>
        </w:rPr>
        <w:t xml:space="preserve">(2009). “Carver and White’s BIS/BAS scales and their relationships to risky </w:t>
      </w:r>
      <w:r w:rsidR="00803ACF">
        <w:rPr>
          <w:rFonts w:ascii="Arial" w:hAnsi="Arial" w:cs="Arial"/>
          <w:sz w:val="24"/>
          <w:szCs w:val="24"/>
        </w:rPr>
        <w:tab/>
      </w:r>
      <w:r>
        <w:rPr>
          <w:rFonts w:ascii="Arial" w:hAnsi="Arial" w:cs="Arial"/>
          <w:sz w:val="24"/>
          <w:szCs w:val="24"/>
        </w:rPr>
        <w:t xml:space="preserve">health behaviours. In Carver and White (Ed.) (1994) </w:t>
      </w:r>
      <w:r>
        <w:rPr>
          <w:rFonts w:ascii="Arial" w:hAnsi="Arial" w:cs="Arial"/>
          <w:i/>
          <w:iCs/>
          <w:sz w:val="24"/>
          <w:szCs w:val="24"/>
        </w:rPr>
        <w:t xml:space="preserve">Personality and individual </w:t>
      </w:r>
      <w:r w:rsidR="00803ACF">
        <w:rPr>
          <w:rFonts w:ascii="Arial" w:hAnsi="Arial" w:cs="Arial"/>
          <w:i/>
          <w:iCs/>
          <w:sz w:val="24"/>
          <w:szCs w:val="24"/>
        </w:rPr>
        <w:tab/>
      </w:r>
      <w:r>
        <w:rPr>
          <w:rFonts w:ascii="Arial" w:hAnsi="Arial" w:cs="Arial"/>
          <w:i/>
          <w:iCs/>
          <w:sz w:val="24"/>
          <w:szCs w:val="24"/>
        </w:rPr>
        <w:t xml:space="preserve">differences, </w:t>
      </w:r>
      <w:r>
        <w:rPr>
          <w:rFonts w:ascii="Arial" w:hAnsi="Arial" w:cs="Arial"/>
          <w:sz w:val="24"/>
          <w:szCs w:val="24"/>
        </w:rPr>
        <w:t xml:space="preserve">(47), 89-93. </w:t>
      </w:r>
    </w:p>
    <w:p w14:paraId="3E72C240" w14:textId="0DB77190" w:rsidR="00E41DC1" w:rsidRPr="00CC5CF3" w:rsidRDefault="00E41DC1" w:rsidP="005038C9">
      <w:pPr>
        <w:rPr>
          <w:rFonts w:ascii="Arial" w:hAnsi="Arial" w:cs="Arial"/>
          <w:sz w:val="24"/>
          <w:szCs w:val="24"/>
        </w:rPr>
      </w:pPr>
      <w:r>
        <w:rPr>
          <w:rFonts w:ascii="Arial" w:hAnsi="Arial" w:cs="Arial"/>
          <w:sz w:val="24"/>
          <w:szCs w:val="24"/>
        </w:rPr>
        <w:t xml:space="preserve">Barker, A., Crabtree, R., French, H., Hawkings, W., Hughes, C., Hutchings, P.,… </w:t>
      </w:r>
      <w:r w:rsidR="00803ACF">
        <w:rPr>
          <w:rFonts w:ascii="Arial" w:hAnsi="Arial" w:cs="Arial"/>
          <w:sz w:val="24"/>
          <w:szCs w:val="24"/>
        </w:rPr>
        <w:tab/>
      </w:r>
      <w:r>
        <w:rPr>
          <w:rFonts w:ascii="Arial" w:hAnsi="Arial" w:cs="Arial"/>
          <w:sz w:val="24"/>
          <w:szCs w:val="24"/>
        </w:rPr>
        <w:t>Phelps, C. (2017). Engaging young people in the development of an avatar-</w:t>
      </w:r>
      <w:r w:rsidR="00803ACF">
        <w:rPr>
          <w:rFonts w:ascii="Arial" w:hAnsi="Arial" w:cs="Arial"/>
          <w:sz w:val="24"/>
          <w:szCs w:val="24"/>
        </w:rPr>
        <w:tab/>
      </w:r>
      <w:r>
        <w:rPr>
          <w:rFonts w:ascii="Arial" w:hAnsi="Arial" w:cs="Arial"/>
          <w:sz w:val="24"/>
          <w:szCs w:val="24"/>
        </w:rPr>
        <w:t xml:space="preserve">based online intervention designed to provide psychosocial support to young </w:t>
      </w:r>
      <w:r w:rsidR="00803ACF">
        <w:rPr>
          <w:rFonts w:ascii="Arial" w:hAnsi="Arial" w:cs="Arial"/>
          <w:sz w:val="24"/>
          <w:szCs w:val="24"/>
        </w:rPr>
        <w:tab/>
      </w:r>
      <w:r>
        <w:rPr>
          <w:rFonts w:ascii="Arial" w:hAnsi="Arial" w:cs="Arial"/>
          <w:sz w:val="24"/>
          <w:szCs w:val="24"/>
        </w:rPr>
        <w:t xml:space="preserve">people affected by their own or family member’s cancer diagnosis. </w:t>
      </w:r>
      <w:r>
        <w:rPr>
          <w:rFonts w:ascii="Arial" w:hAnsi="Arial" w:cs="Arial"/>
          <w:i/>
          <w:iCs/>
          <w:sz w:val="24"/>
          <w:szCs w:val="24"/>
        </w:rPr>
        <w:t xml:space="preserve">Health </w:t>
      </w:r>
      <w:r w:rsidR="00803ACF">
        <w:rPr>
          <w:rFonts w:ascii="Arial" w:hAnsi="Arial" w:cs="Arial"/>
          <w:i/>
          <w:iCs/>
          <w:sz w:val="24"/>
          <w:szCs w:val="24"/>
        </w:rPr>
        <w:tab/>
      </w:r>
      <w:r>
        <w:rPr>
          <w:rFonts w:ascii="Arial" w:hAnsi="Arial" w:cs="Arial"/>
          <w:i/>
          <w:iCs/>
          <w:sz w:val="24"/>
          <w:szCs w:val="24"/>
        </w:rPr>
        <w:t>expectations – Necessary but not sufficient?, (20)</w:t>
      </w:r>
      <w:r>
        <w:rPr>
          <w:rFonts w:ascii="Arial" w:hAnsi="Arial" w:cs="Arial"/>
          <w:sz w:val="24"/>
          <w:szCs w:val="24"/>
        </w:rPr>
        <w:t xml:space="preserve">3, 459-470. </w:t>
      </w:r>
    </w:p>
    <w:p w14:paraId="5392F714" w14:textId="1E84B93E" w:rsidR="00E41DC1" w:rsidRDefault="00E41DC1">
      <w:pPr>
        <w:rPr>
          <w:rFonts w:ascii="Arial" w:hAnsi="Arial" w:cs="Arial"/>
          <w:sz w:val="24"/>
          <w:szCs w:val="24"/>
        </w:rPr>
      </w:pPr>
      <w:r>
        <w:rPr>
          <w:rFonts w:ascii="Arial" w:hAnsi="Arial" w:cs="Arial"/>
          <w:sz w:val="24"/>
          <w:szCs w:val="24"/>
        </w:rPr>
        <w:t xml:space="preserve">Bennett, P. (2011). </w:t>
      </w:r>
      <w:r>
        <w:rPr>
          <w:rFonts w:ascii="Arial" w:hAnsi="Arial" w:cs="Arial"/>
          <w:i/>
          <w:iCs/>
          <w:sz w:val="24"/>
          <w:szCs w:val="24"/>
        </w:rPr>
        <w:t xml:space="preserve">Abnormal and clinical psychology: an introductory textbook. </w:t>
      </w:r>
      <w:r>
        <w:rPr>
          <w:rFonts w:ascii="Arial" w:hAnsi="Arial" w:cs="Arial"/>
          <w:sz w:val="24"/>
          <w:szCs w:val="24"/>
        </w:rPr>
        <w:t>(3</w:t>
      </w:r>
      <w:r w:rsidRPr="00D20D36">
        <w:rPr>
          <w:rFonts w:ascii="Arial" w:hAnsi="Arial" w:cs="Arial"/>
          <w:sz w:val="24"/>
          <w:szCs w:val="24"/>
          <w:vertAlign w:val="superscript"/>
        </w:rPr>
        <w:t>rd</w:t>
      </w:r>
      <w:r>
        <w:rPr>
          <w:rFonts w:ascii="Arial" w:hAnsi="Arial" w:cs="Arial"/>
          <w:sz w:val="24"/>
          <w:szCs w:val="24"/>
        </w:rPr>
        <w:t xml:space="preserve"> </w:t>
      </w:r>
      <w:r w:rsidR="00803ACF">
        <w:rPr>
          <w:rFonts w:ascii="Arial" w:hAnsi="Arial" w:cs="Arial"/>
          <w:sz w:val="24"/>
          <w:szCs w:val="24"/>
        </w:rPr>
        <w:tab/>
      </w:r>
      <w:r>
        <w:rPr>
          <w:rFonts w:ascii="Arial" w:hAnsi="Arial" w:cs="Arial"/>
          <w:sz w:val="24"/>
          <w:szCs w:val="24"/>
        </w:rPr>
        <w:t>ed.). Berkshire: Open University Press.</w:t>
      </w:r>
    </w:p>
    <w:p w14:paraId="481D8E56" w14:textId="64C34428" w:rsidR="00E41DC1" w:rsidRPr="00362079" w:rsidRDefault="00E41DC1">
      <w:pPr>
        <w:rPr>
          <w:rFonts w:ascii="Arial" w:hAnsi="Arial" w:cs="Arial"/>
          <w:sz w:val="24"/>
          <w:szCs w:val="24"/>
        </w:rPr>
      </w:pPr>
      <w:r>
        <w:rPr>
          <w:rFonts w:ascii="Arial" w:hAnsi="Arial" w:cs="Arial"/>
          <w:sz w:val="24"/>
          <w:szCs w:val="24"/>
        </w:rPr>
        <w:t xml:space="preserve">Boniwell, I. and Hefferon, K. (2011). </w:t>
      </w:r>
      <w:r>
        <w:rPr>
          <w:rFonts w:ascii="Arial" w:hAnsi="Arial" w:cs="Arial"/>
          <w:i/>
          <w:iCs/>
          <w:sz w:val="24"/>
          <w:szCs w:val="24"/>
        </w:rPr>
        <w:t xml:space="preserve">Positive psychology: theory, research and </w:t>
      </w:r>
      <w:r w:rsidR="00803ACF">
        <w:rPr>
          <w:rFonts w:ascii="Arial" w:hAnsi="Arial" w:cs="Arial"/>
          <w:i/>
          <w:iCs/>
          <w:sz w:val="24"/>
          <w:szCs w:val="24"/>
        </w:rPr>
        <w:tab/>
      </w:r>
      <w:r>
        <w:rPr>
          <w:rFonts w:ascii="Arial" w:hAnsi="Arial" w:cs="Arial"/>
          <w:i/>
          <w:iCs/>
          <w:sz w:val="24"/>
          <w:szCs w:val="24"/>
        </w:rPr>
        <w:t xml:space="preserve">applications. </w:t>
      </w:r>
      <w:r>
        <w:rPr>
          <w:rFonts w:ascii="Arial" w:hAnsi="Arial" w:cs="Arial"/>
          <w:sz w:val="24"/>
          <w:szCs w:val="24"/>
        </w:rPr>
        <w:t xml:space="preserve">New York, NY: Open University Press. </w:t>
      </w:r>
    </w:p>
    <w:p w14:paraId="30EA4B71" w14:textId="416EF9D2" w:rsidR="00E41DC1" w:rsidRDefault="00E41DC1" w:rsidP="00E41DC1">
      <w:pPr>
        <w:rPr>
          <w:rFonts w:ascii="Arial" w:hAnsi="Arial" w:cs="Arial"/>
          <w:sz w:val="24"/>
          <w:szCs w:val="24"/>
        </w:rPr>
      </w:pPr>
      <w:r>
        <w:rPr>
          <w:rFonts w:ascii="Arial" w:hAnsi="Arial" w:cs="Arial"/>
          <w:sz w:val="24"/>
          <w:szCs w:val="24"/>
        </w:rPr>
        <w:t xml:space="preserve">Davey, G. (2014). </w:t>
      </w:r>
      <w:r>
        <w:rPr>
          <w:rFonts w:ascii="Arial" w:hAnsi="Arial" w:cs="Arial"/>
          <w:i/>
          <w:iCs/>
          <w:sz w:val="24"/>
          <w:szCs w:val="24"/>
        </w:rPr>
        <w:t>Psychopathology: Research, Assessment, and Treatment in</w:t>
      </w:r>
      <w:r w:rsidR="00803ACF">
        <w:rPr>
          <w:rFonts w:ascii="Arial" w:hAnsi="Arial" w:cs="Arial"/>
          <w:i/>
          <w:iCs/>
          <w:sz w:val="24"/>
          <w:szCs w:val="24"/>
        </w:rPr>
        <w:tab/>
      </w:r>
      <w:r>
        <w:rPr>
          <w:rFonts w:ascii="Arial" w:hAnsi="Arial" w:cs="Arial"/>
          <w:i/>
          <w:iCs/>
          <w:sz w:val="24"/>
          <w:szCs w:val="24"/>
        </w:rPr>
        <w:t xml:space="preserve">    </w:t>
      </w:r>
      <w:r w:rsidR="00803ACF">
        <w:rPr>
          <w:rFonts w:ascii="Arial" w:hAnsi="Arial" w:cs="Arial"/>
          <w:i/>
          <w:iCs/>
          <w:sz w:val="24"/>
          <w:szCs w:val="24"/>
        </w:rPr>
        <w:tab/>
      </w:r>
      <w:r>
        <w:rPr>
          <w:rFonts w:ascii="Arial" w:hAnsi="Arial" w:cs="Arial"/>
          <w:i/>
          <w:iCs/>
          <w:sz w:val="24"/>
          <w:szCs w:val="24"/>
        </w:rPr>
        <w:t xml:space="preserve"> Clinical Psychology. </w:t>
      </w:r>
      <w:r>
        <w:rPr>
          <w:rFonts w:ascii="Arial" w:hAnsi="Arial" w:cs="Arial"/>
          <w:sz w:val="24"/>
          <w:szCs w:val="24"/>
        </w:rPr>
        <w:t>(2</w:t>
      </w:r>
      <w:r w:rsidRPr="00474A98">
        <w:rPr>
          <w:rFonts w:ascii="Arial" w:hAnsi="Arial" w:cs="Arial"/>
          <w:sz w:val="24"/>
          <w:szCs w:val="24"/>
          <w:vertAlign w:val="superscript"/>
        </w:rPr>
        <w:t>nd</w:t>
      </w:r>
      <w:r>
        <w:rPr>
          <w:rFonts w:ascii="Arial" w:hAnsi="Arial" w:cs="Arial"/>
          <w:sz w:val="24"/>
          <w:szCs w:val="24"/>
        </w:rPr>
        <w:t xml:space="preserve"> ed.). </w:t>
      </w:r>
      <w:r w:rsidR="00803ACF">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Oxford: Blackwell. </w:t>
      </w:r>
    </w:p>
    <w:p w14:paraId="275CEB7E" w14:textId="4C2B0F6D" w:rsidR="00E41DC1" w:rsidRDefault="00E41DC1" w:rsidP="005038C9">
      <w:pPr>
        <w:rPr>
          <w:rFonts w:ascii="Arial" w:hAnsi="Arial" w:cs="Arial"/>
          <w:sz w:val="24"/>
          <w:szCs w:val="24"/>
        </w:rPr>
      </w:pPr>
      <w:r>
        <w:rPr>
          <w:rFonts w:ascii="Arial" w:hAnsi="Arial" w:cs="Arial"/>
          <w:sz w:val="24"/>
          <w:szCs w:val="24"/>
        </w:rPr>
        <w:t xml:space="preserve">Days, S. (2015, September 9-11). </w:t>
      </w:r>
      <w:r>
        <w:rPr>
          <w:rFonts w:ascii="Arial" w:hAnsi="Arial" w:cs="Arial"/>
          <w:i/>
          <w:iCs/>
          <w:sz w:val="24"/>
          <w:szCs w:val="24"/>
        </w:rPr>
        <w:t>Family experiences of Poverty Stigma in</w:t>
      </w:r>
      <w:r w:rsidR="00803ACF">
        <w:rPr>
          <w:rFonts w:ascii="Arial" w:hAnsi="Arial" w:cs="Arial"/>
          <w:i/>
          <w:iCs/>
          <w:sz w:val="24"/>
          <w:szCs w:val="24"/>
        </w:rPr>
        <w:tab/>
      </w:r>
      <w:r w:rsidR="00803ACF">
        <w:rPr>
          <w:rFonts w:ascii="Arial" w:hAnsi="Arial" w:cs="Arial"/>
          <w:i/>
          <w:iCs/>
          <w:sz w:val="24"/>
          <w:szCs w:val="24"/>
        </w:rPr>
        <w:tab/>
      </w:r>
      <w:r>
        <w:rPr>
          <w:rFonts w:ascii="Arial" w:hAnsi="Arial" w:cs="Arial"/>
          <w:i/>
          <w:iCs/>
          <w:sz w:val="24"/>
          <w:szCs w:val="24"/>
        </w:rPr>
        <w:t xml:space="preserve"> Education, (6)</w:t>
      </w:r>
      <w:r>
        <w:rPr>
          <w:rFonts w:ascii="Arial" w:hAnsi="Arial" w:cs="Arial"/>
          <w:sz w:val="24"/>
          <w:szCs w:val="24"/>
        </w:rPr>
        <w:t>46, 369-375.</w:t>
      </w:r>
      <w:r>
        <w:rPr>
          <w:rFonts w:ascii="Arial" w:hAnsi="Arial" w:cs="Arial"/>
          <w:i/>
          <w:iCs/>
          <w:sz w:val="24"/>
          <w:szCs w:val="24"/>
        </w:rPr>
        <w:t xml:space="preserve"> </w:t>
      </w:r>
      <w:r>
        <w:rPr>
          <w:rFonts w:ascii="Arial" w:hAnsi="Arial" w:cs="Arial"/>
          <w:sz w:val="24"/>
          <w:szCs w:val="24"/>
        </w:rPr>
        <w:t xml:space="preserve">Presentation presented at University of Central </w:t>
      </w:r>
      <w:r w:rsidR="00803ACF">
        <w:rPr>
          <w:rFonts w:ascii="Arial" w:hAnsi="Arial" w:cs="Arial"/>
          <w:sz w:val="24"/>
          <w:szCs w:val="24"/>
        </w:rPr>
        <w:tab/>
      </w:r>
      <w:r>
        <w:rPr>
          <w:rFonts w:ascii="Arial" w:hAnsi="Arial" w:cs="Arial"/>
          <w:sz w:val="24"/>
          <w:szCs w:val="24"/>
        </w:rPr>
        <w:t xml:space="preserve">Lancashire for British Psychological Society – Developmental Psychology </w:t>
      </w:r>
      <w:r w:rsidR="00803ACF">
        <w:rPr>
          <w:rFonts w:ascii="Arial" w:hAnsi="Arial" w:cs="Arial"/>
          <w:sz w:val="24"/>
          <w:szCs w:val="24"/>
        </w:rPr>
        <w:tab/>
      </w:r>
      <w:r>
        <w:rPr>
          <w:rFonts w:ascii="Arial" w:hAnsi="Arial" w:cs="Arial"/>
          <w:sz w:val="24"/>
          <w:szCs w:val="24"/>
        </w:rPr>
        <w:t xml:space="preserve">Section. </w:t>
      </w:r>
    </w:p>
    <w:p w14:paraId="32C31884" w14:textId="27CC2FC2" w:rsidR="00E41DC1" w:rsidRDefault="00E41DC1" w:rsidP="005038C9">
      <w:pPr>
        <w:rPr>
          <w:rFonts w:ascii="Arial" w:hAnsi="Arial" w:cs="Arial"/>
          <w:sz w:val="24"/>
          <w:szCs w:val="24"/>
        </w:rPr>
      </w:pPr>
      <w:r>
        <w:rPr>
          <w:rFonts w:ascii="Arial" w:hAnsi="Arial" w:cs="Arial"/>
          <w:sz w:val="24"/>
          <w:szCs w:val="24"/>
        </w:rPr>
        <w:t xml:space="preserve">Evans, E., Jones, S., &amp; Mitchell I. (2006). Psychological response to sport injury. In </w:t>
      </w:r>
      <w:r w:rsidR="00803ACF">
        <w:rPr>
          <w:rFonts w:ascii="Arial" w:hAnsi="Arial" w:cs="Arial"/>
          <w:sz w:val="24"/>
          <w:szCs w:val="24"/>
        </w:rPr>
        <w:tab/>
      </w:r>
      <w:r>
        <w:rPr>
          <w:rFonts w:ascii="Arial" w:hAnsi="Arial" w:cs="Arial"/>
          <w:sz w:val="24"/>
          <w:szCs w:val="24"/>
        </w:rPr>
        <w:t xml:space="preserve">Hanton, S., and Mellalieu, S (eds.), </w:t>
      </w:r>
      <w:r>
        <w:rPr>
          <w:rFonts w:ascii="Arial" w:hAnsi="Arial" w:cs="Arial"/>
          <w:i/>
          <w:iCs/>
          <w:sz w:val="24"/>
          <w:szCs w:val="24"/>
        </w:rPr>
        <w:t xml:space="preserve">Literature reviews in sport psychology. </w:t>
      </w:r>
      <w:r w:rsidR="00803ACF">
        <w:rPr>
          <w:rFonts w:ascii="Arial" w:hAnsi="Arial" w:cs="Arial"/>
          <w:i/>
          <w:iCs/>
          <w:sz w:val="24"/>
          <w:szCs w:val="24"/>
        </w:rPr>
        <w:tab/>
      </w:r>
      <w:r>
        <w:rPr>
          <w:rFonts w:ascii="Arial" w:hAnsi="Arial" w:cs="Arial"/>
          <w:sz w:val="24"/>
          <w:szCs w:val="24"/>
        </w:rPr>
        <w:t xml:space="preserve">(pp. 289-319). Hauppage, NY: Nova Science Publications. </w:t>
      </w:r>
    </w:p>
    <w:p w14:paraId="01904E55" w14:textId="40C45F15" w:rsidR="00E41DC1" w:rsidRDefault="00E41DC1" w:rsidP="005038C9">
      <w:pPr>
        <w:rPr>
          <w:rFonts w:ascii="Arial" w:hAnsi="Arial" w:cs="Arial"/>
          <w:sz w:val="24"/>
          <w:szCs w:val="24"/>
        </w:rPr>
      </w:pPr>
      <w:r>
        <w:rPr>
          <w:rFonts w:ascii="Arial" w:hAnsi="Arial" w:cs="Arial"/>
          <w:sz w:val="24"/>
          <w:szCs w:val="24"/>
        </w:rPr>
        <w:t xml:space="preserve">Geekie, J. and Read, J. (2009). </w:t>
      </w:r>
      <w:r>
        <w:rPr>
          <w:rFonts w:ascii="Arial" w:hAnsi="Arial" w:cs="Arial"/>
          <w:i/>
          <w:iCs/>
          <w:sz w:val="24"/>
          <w:szCs w:val="24"/>
        </w:rPr>
        <w:t xml:space="preserve">Making sense of madness: Contesting the meaning </w:t>
      </w:r>
      <w:r w:rsidR="00803ACF">
        <w:rPr>
          <w:rFonts w:ascii="Arial" w:hAnsi="Arial" w:cs="Arial"/>
          <w:i/>
          <w:iCs/>
          <w:sz w:val="24"/>
          <w:szCs w:val="24"/>
        </w:rPr>
        <w:tab/>
      </w:r>
      <w:r>
        <w:rPr>
          <w:rFonts w:ascii="Arial" w:hAnsi="Arial" w:cs="Arial"/>
          <w:i/>
          <w:iCs/>
          <w:sz w:val="24"/>
          <w:szCs w:val="24"/>
        </w:rPr>
        <w:t xml:space="preserve">of Schizophrenia. </w:t>
      </w:r>
      <w:r>
        <w:rPr>
          <w:rFonts w:ascii="Arial" w:hAnsi="Arial" w:cs="Arial"/>
          <w:sz w:val="24"/>
          <w:szCs w:val="24"/>
        </w:rPr>
        <w:t xml:space="preserve">London: Routledge Taylor &amp; Francis. [E-Book]. </w:t>
      </w:r>
      <w:r w:rsidRPr="005038C9">
        <w:rPr>
          <w:rFonts w:ascii="Arial" w:hAnsi="Arial" w:cs="Arial"/>
          <w:sz w:val="24"/>
          <w:szCs w:val="24"/>
        </w:rPr>
        <w:t>D</w:t>
      </w:r>
      <w:r>
        <w:rPr>
          <w:rFonts w:ascii="Arial" w:hAnsi="Arial" w:cs="Arial"/>
          <w:sz w:val="24"/>
          <w:szCs w:val="24"/>
        </w:rPr>
        <w:t xml:space="preserve">OI: </w:t>
      </w:r>
      <w:r w:rsidR="00803ACF">
        <w:rPr>
          <w:rFonts w:ascii="Arial" w:hAnsi="Arial" w:cs="Arial"/>
          <w:sz w:val="24"/>
          <w:szCs w:val="24"/>
        </w:rPr>
        <w:tab/>
      </w:r>
      <w:r w:rsidRPr="005038C9">
        <w:rPr>
          <w:rFonts w:ascii="Arial" w:hAnsi="Arial" w:cs="Arial"/>
          <w:sz w:val="24"/>
          <w:szCs w:val="24"/>
        </w:rPr>
        <w:t>10.4324/9780203878422</w:t>
      </w:r>
      <w:r>
        <w:rPr>
          <w:rFonts w:ascii="Arial" w:hAnsi="Arial" w:cs="Arial"/>
          <w:sz w:val="24"/>
          <w:szCs w:val="24"/>
        </w:rPr>
        <w:t>.</w:t>
      </w:r>
    </w:p>
    <w:p w14:paraId="1819C635" w14:textId="03E3953D" w:rsidR="00E41DC1" w:rsidRDefault="00E41DC1" w:rsidP="005038C9">
      <w:pPr>
        <w:rPr>
          <w:rFonts w:ascii="Arial" w:hAnsi="Arial" w:cs="Arial"/>
          <w:sz w:val="24"/>
          <w:szCs w:val="24"/>
        </w:rPr>
      </w:pPr>
      <w:r>
        <w:rPr>
          <w:rFonts w:ascii="Arial" w:hAnsi="Arial" w:cs="Arial"/>
          <w:sz w:val="24"/>
          <w:szCs w:val="24"/>
        </w:rPr>
        <w:t xml:space="preserve">Gregg, L., Liversidge, T., &amp; Tarrier, N. (2006). The acceptability and preference for </w:t>
      </w:r>
      <w:r w:rsidR="00803ACF">
        <w:rPr>
          <w:rFonts w:ascii="Arial" w:hAnsi="Arial" w:cs="Arial"/>
          <w:sz w:val="24"/>
          <w:szCs w:val="24"/>
        </w:rPr>
        <w:tab/>
      </w:r>
      <w:r>
        <w:rPr>
          <w:rFonts w:ascii="Arial" w:hAnsi="Arial" w:cs="Arial"/>
          <w:sz w:val="24"/>
          <w:szCs w:val="24"/>
        </w:rPr>
        <w:t xml:space="preserve">the psychological treatment of PTSD. </w:t>
      </w:r>
      <w:r>
        <w:rPr>
          <w:rFonts w:ascii="Arial" w:hAnsi="Arial" w:cs="Arial"/>
          <w:i/>
          <w:iCs/>
          <w:sz w:val="24"/>
          <w:szCs w:val="24"/>
        </w:rPr>
        <w:t xml:space="preserve">Behaviour, Research and Therapy, 44, </w:t>
      </w:r>
      <w:r w:rsidR="00803ACF">
        <w:rPr>
          <w:rFonts w:ascii="Arial" w:hAnsi="Arial" w:cs="Arial"/>
          <w:i/>
          <w:iCs/>
          <w:sz w:val="24"/>
          <w:szCs w:val="24"/>
        </w:rPr>
        <w:tab/>
      </w:r>
      <w:r>
        <w:rPr>
          <w:rFonts w:ascii="Arial" w:hAnsi="Arial" w:cs="Arial"/>
          <w:sz w:val="24"/>
          <w:szCs w:val="24"/>
        </w:rPr>
        <w:t xml:space="preserve">1643-1656. </w:t>
      </w:r>
    </w:p>
    <w:p w14:paraId="2FD5A2FE" w14:textId="2AFBB1E0" w:rsidR="00E41DC1" w:rsidRDefault="00E41DC1" w:rsidP="005038C9">
      <w:pPr>
        <w:rPr>
          <w:rFonts w:ascii="Arial" w:hAnsi="Arial" w:cs="Arial"/>
          <w:sz w:val="24"/>
          <w:szCs w:val="24"/>
        </w:rPr>
      </w:pPr>
      <w:r>
        <w:rPr>
          <w:rFonts w:ascii="Arial" w:hAnsi="Arial" w:cs="Arial"/>
          <w:sz w:val="24"/>
          <w:szCs w:val="24"/>
        </w:rPr>
        <w:t xml:space="preserve">Guglielmi, D., Mazetti, G., &amp; Schaufeli, W. (2014). Relations of workaholism with </w:t>
      </w:r>
      <w:r w:rsidR="00803ACF">
        <w:rPr>
          <w:rFonts w:ascii="Arial" w:hAnsi="Arial" w:cs="Arial"/>
          <w:sz w:val="24"/>
          <w:szCs w:val="24"/>
        </w:rPr>
        <w:tab/>
      </w:r>
      <w:r>
        <w:rPr>
          <w:rFonts w:ascii="Arial" w:hAnsi="Arial" w:cs="Arial"/>
          <w:sz w:val="24"/>
          <w:szCs w:val="24"/>
        </w:rPr>
        <w:t xml:space="preserve">person characteristics and overwork climate. </w:t>
      </w:r>
      <w:r>
        <w:rPr>
          <w:rFonts w:ascii="Arial" w:hAnsi="Arial" w:cs="Arial"/>
          <w:i/>
          <w:iCs/>
          <w:sz w:val="24"/>
          <w:szCs w:val="24"/>
        </w:rPr>
        <w:t xml:space="preserve">International journal of stress </w:t>
      </w:r>
      <w:r w:rsidR="00803ACF">
        <w:rPr>
          <w:rFonts w:ascii="Arial" w:hAnsi="Arial" w:cs="Arial"/>
          <w:i/>
          <w:iCs/>
          <w:sz w:val="24"/>
          <w:szCs w:val="24"/>
        </w:rPr>
        <w:tab/>
      </w:r>
      <w:r>
        <w:rPr>
          <w:rFonts w:ascii="Arial" w:hAnsi="Arial" w:cs="Arial"/>
          <w:i/>
          <w:iCs/>
          <w:sz w:val="24"/>
          <w:szCs w:val="24"/>
        </w:rPr>
        <w:t>management – Are workaholics born or made?, 23(</w:t>
      </w:r>
      <w:r>
        <w:rPr>
          <w:rFonts w:ascii="Arial" w:hAnsi="Arial" w:cs="Arial"/>
          <w:sz w:val="24"/>
          <w:szCs w:val="24"/>
        </w:rPr>
        <w:t xml:space="preserve">3), 227-254. </w:t>
      </w:r>
    </w:p>
    <w:p w14:paraId="31DAB10B" w14:textId="14E399B9" w:rsidR="00E41DC1" w:rsidRDefault="00E41DC1" w:rsidP="005038C9">
      <w:pPr>
        <w:rPr>
          <w:rFonts w:ascii="Arial" w:hAnsi="Arial" w:cs="Arial"/>
          <w:sz w:val="24"/>
          <w:szCs w:val="24"/>
        </w:rPr>
      </w:pPr>
      <w:r>
        <w:rPr>
          <w:rFonts w:ascii="Arial" w:hAnsi="Arial" w:cs="Arial"/>
          <w:sz w:val="24"/>
          <w:szCs w:val="24"/>
        </w:rPr>
        <w:t xml:space="preserve">Hasselt, V., Romano, S., &amp; Vecchi, G. (2008). Applications in hostage and crisis </w:t>
      </w:r>
      <w:r w:rsidR="00803ACF">
        <w:rPr>
          <w:rFonts w:ascii="Arial" w:hAnsi="Arial" w:cs="Arial"/>
          <w:sz w:val="24"/>
          <w:szCs w:val="24"/>
        </w:rPr>
        <w:tab/>
      </w:r>
      <w:r>
        <w:rPr>
          <w:rFonts w:ascii="Arial" w:hAnsi="Arial" w:cs="Arial"/>
          <w:sz w:val="24"/>
          <w:szCs w:val="24"/>
        </w:rPr>
        <w:t xml:space="preserve">negotiation skills training. </w:t>
      </w:r>
      <w:r>
        <w:rPr>
          <w:rFonts w:ascii="Arial" w:hAnsi="Arial" w:cs="Arial"/>
          <w:i/>
          <w:iCs/>
          <w:sz w:val="24"/>
          <w:szCs w:val="24"/>
        </w:rPr>
        <w:t>Behaviour Modification, 32</w:t>
      </w:r>
      <w:r>
        <w:rPr>
          <w:rFonts w:ascii="Arial" w:hAnsi="Arial" w:cs="Arial"/>
          <w:sz w:val="24"/>
          <w:szCs w:val="24"/>
        </w:rPr>
        <w:t>(2), 248-263. [Role Play]</w:t>
      </w:r>
      <w:r w:rsidR="00803ACF">
        <w:rPr>
          <w:rFonts w:ascii="Arial" w:hAnsi="Arial" w:cs="Arial"/>
          <w:sz w:val="24"/>
          <w:szCs w:val="24"/>
        </w:rPr>
        <w:tab/>
      </w:r>
      <w:r>
        <w:rPr>
          <w:rFonts w:ascii="Arial" w:hAnsi="Arial" w:cs="Arial"/>
          <w:sz w:val="24"/>
          <w:szCs w:val="24"/>
        </w:rPr>
        <w:t xml:space="preserve"> DOI: 10.1177/0145445507308281.</w:t>
      </w:r>
    </w:p>
    <w:p w14:paraId="2DC6CF1F" w14:textId="25FB1528" w:rsidR="00E41DC1" w:rsidRDefault="00E41DC1">
      <w:pPr>
        <w:rPr>
          <w:rFonts w:ascii="Arial" w:hAnsi="Arial" w:cs="Arial"/>
          <w:sz w:val="24"/>
          <w:szCs w:val="24"/>
        </w:rPr>
      </w:pPr>
      <w:r>
        <w:rPr>
          <w:rFonts w:ascii="Arial" w:hAnsi="Arial" w:cs="Arial"/>
          <w:sz w:val="24"/>
          <w:szCs w:val="24"/>
        </w:rPr>
        <w:t xml:space="preserve">Hill, M. (2015). The role of narcissism in health-risk and health-protective behaviours. </w:t>
      </w:r>
      <w:r w:rsidR="00803ACF">
        <w:rPr>
          <w:rFonts w:ascii="Arial" w:hAnsi="Arial" w:cs="Arial"/>
          <w:sz w:val="24"/>
          <w:szCs w:val="24"/>
        </w:rPr>
        <w:tab/>
      </w:r>
      <w:r>
        <w:rPr>
          <w:rFonts w:ascii="Arial" w:hAnsi="Arial" w:cs="Arial"/>
          <w:i/>
          <w:iCs/>
          <w:sz w:val="24"/>
          <w:szCs w:val="24"/>
        </w:rPr>
        <w:t xml:space="preserve">Journal of health psychology, </w:t>
      </w:r>
      <w:r w:rsidRPr="00566743">
        <w:rPr>
          <w:rFonts w:ascii="Arial" w:hAnsi="Arial" w:cs="Arial"/>
          <w:sz w:val="24"/>
          <w:szCs w:val="24"/>
        </w:rPr>
        <w:t>1-12</w:t>
      </w:r>
      <w:r>
        <w:rPr>
          <w:rFonts w:ascii="Arial" w:hAnsi="Arial" w:cs="Arial"/>
          <w:i/>
          <w:iCs/>
          <w:sz w:val="24"/>
          <w:szCs w:val="24"/>
        </w:rPr>
        <w:t xml:space="preserve">. </w:t>
      </w:r>
      <w:r>
        <w:rPr>
          <w:rFonts w:ascii="Arial" w:hAnsi="Arial" w:cs="Arial"/>
          <w:sz w:val="24"/>
          <w:szCs w:val="24"/>
        </w:rPr>
        <w:t>DOI: 10.1177/1359105315569858.</w:t>
      </w:r>
    </w:p>
    <w:p w14:paraId="3F04AB78" w14:textId="31825F42" w:rsidR="00E41DC1" w:rsidRDefault="00E41DC1">
      <w:pPr>
        <w:rPr>
          <w:rFonts w:ascii="Arial" w:hAnsi="Arial" w:cs="Arial"/>
          <w:sz w:val="24"/>
          <w:szCs w:val="24"/>
        </w:rPr>
      </w:pPr>
      <w:r>
        <w:rPr>
          <w:rFonts w:ascii="Arial" w:hAnsi="Arial" w:cs="Arial"/>
          <w:sz w:val="24"/>
          <w:szCs w:val="24"/>
        </w:rPr>
        <w:lastRenderedPageBreak/>
        <w:t xml:space="preserve">Mental Health Foundation. (2017, September 10). </w:t>
      </w:r>
      <w:r>
        <w:rPr>
          <w:rFonts w:ascii="Arial" w:hAnsi="Arial" w:cs="Arial"/>
          <w:i/>
          <w:iCs/>
          <w:sz w:val="24"/>
          <w:szCs w:val="24"/>
        </w:rPr>
        <w:t xml:space="preserve">Computerised cognitive </w:t>
      </w:r>
      <w:r w:rsidR="00803ACF">
        <w:rPr>
          <w:rFonts w:ascii="Arial" w:hAnsi="Arial" w:cs="Arial"/>
          <w:i/>
          <w:iCs/>
          <w:sz w:val="24"/>
          <w:szCs w:val="24"/>
        </w:rPr>
        <w:tab/>
      </w:r>
      <w:r>
        <w:rPr>
          <w:rFonts w:ascii="Arial" w:hAnsi="Arial" w:cs="Arial"/>
          <w:i/>
          <w:iCs/>
          <w:sz w:val="24"/>
          <w:szCs w:val="24"/>
        </w:rPr>
        <w:t>behavioural therapy</w:t>
      </w:r>
      <w:r>
        <w:rPr>
          <w:rFonts w:ascii="Arial" w:hAnsi="Arial" w:cs="Arial"/>
          <w:sz w:val="24"/>
          <w:szCs w:val="24"/>
        </w:rPr>
        <w:t xml:space="preserve"> [Audio Podcast]. Retrieved from</w:t>
      </w:r>
      <w:r w:rsidR="00803ACF">
        <w:rPr>
          <w:rFonts w:ascii="Arial" w:hAnsi="Arial" w:cs="Arial"/>
          <w:sz w:val="24"/>
          <w:szCs w:val="24"/>
        </w:rPr>
        <w:tab/>
      </w:r>
      <w:r w:rsidR="00803ACF">
        <w:rPr>
          <w:rFonts w:ascii="Arial" w:hAnsi="Arial" w:cs="Arial"/>
          <w:sz w:val="24"/>
          <w:szCs w:val="24"/>
        </w:rPr>
        <w:tab/>
      </w:r>
      <w:r w:rsidR="00803ACF">
        <w:rPr>
          <w:rFonts w:ascii="Arial" w:hAnsi="Arial" w:cs="Arial"/>
          <w:sz w:val="24"/>
          <w:szCs w:val="24"/>
        </w:rPr>
        <w:tab/>
      </w:r>
      <w:r w:rsidR="00803ACF">
        <w:rPr>
          <w:rFonts w:ascii="Arial" w:hAnsi="Arial" w:cs="Arial"/>
          <w:sz w:val="24"/>
          <w:szCs w:val="24"/>
        </w:rPr>
        <w:tab/>
      </w:r>
      <w:r w:rsidR="00803ACF">
        <w:rPr>
          <w:rFonts w:ascii="Arial" w:hAnsi="Arial" w:cs="Arial"/>
          <w:sz w:val="24"/>
          <w:szCs w:val="24"/>
        </w:rPr>
        <w:tab/>
      </w:r>
      <w:r>
        <w:rPr>
          <w:rFonts w:ascii="Arial" w:hAnsi="Arial" w:cs="Arial"/>
          <w:sz w:val="24"/>
          <w:szCs w:val="24"/>
        </w:rPr>
        <w:t xml:space="preserve"> </w:t>
      </w:r>
      <w:hyperlink r:id="rId5" w:history="1">
        <w:r w:rsidR="00803ACF" w:rsidRPr="00AF17B4">
          <w:rPr>
            <w:rStyle w:val="Hyperlink"/>
            <w:rFonts w:ascii="Arial" w:hAnsi="Arial" w:cs="Arial"/>
            <w:sz w:val="24"/>
            <w:szCs w:val="24"/>
          </w:rPr>
          <w:t>http://www.mentalhealth.org.uk/podcastsand-videos/computerised-</w:t>
        </w:r>
        <w:r w:rsidR="00803ACF" w:rsidRPr="00803ACF">
          <w:rPr>
            <w:rStyle w:val="Hyperlink"/>
            <w:rFonts w:ascii="Arial" w:hAnsi="Arial" w:cs="Arial"/>
            <w:sz w:val="24"/>
            <w:szCs w:val="24"/>
            <w:u w:val="none"/>
          </w:rPr>
          <w:tab/>
        </w:r>
        <w:r w:rsidR="00803ACF" w:rsidRPr="00AF17B4">
          <w:rPr>
            <w:rStyle w:val="Hyperlink"/>
            <w:rFonts w:ascii="Arial" w:hAnsi="Arial" w:cs="Arial"/>
            <w:sz w:val="24"/>
            <w:szCs w:val="24"/>
          </w:rPr>
          <w:t>cognitivebehavioural-therapy</w:t>
        </w:r>
      </w:hyperlink>
    </w:p>
    <w:p w14:paraId="3132FC90" w14:textId="4E6D581A" w:rsidR="00E41DC1" w:rsidRPr="00A150F7" w:rsidRDefault="00E41DC1">
      <w:pPr>
        <w:rPr>
          <w:rFonts w:ascii="Arial" w:hAnsi="Arial" w:cs="Arial"/>
          <w:sz w:val="24"/>
          <w:szCs w:val="24"/>
        </w:rPr>
      </w:pPr>
      <w:r>
        <w:rPr>
          <w:rFonts w:ascii="Arial" w:hAnsi="Arial" w:cs="Arial"/>
          <w:sz w:val="24"/>
          <w:szCs w:val="24"/>
        </w:rPr>
        <w:t xml:space="preserve">Mohamed, S. (2011). </w:t>
      </w:r>
      <w:r>
        <w:rPr>
          <w:rFonts w:ascii="Arial" w:hAnsi="Arial" w:cs="Arial"/>
          <w:i/>
          <w:iCs/>
          <w:sz w:val="24"/>
          <w:szCs w:val="24"/>
        </w:rPr>
        <w:t xml:space="preserve">Stigma and mental illness: Are there cultural differences? </w:t>
      </w:r>
      <w:r w:rsidR="00803ACF">
        <w:rPr>
          <w:rFonts w:ascii="Arial" w:hAnsi="Arial" w:cs="Arial"/>
          <w:i/>
          <w:iCs/>
          <w:sz w:val="24"/>
          <w:szCs w:val="24"/>
        </w:rPr>
        <w:tab/>
      </w:r>
      <w:r>
        <w:rPr>
          <w:rFonts w:ascii="Arial" w:hAnsi="Arial" w:cs="Arial"/>
          <w:sz w:val="24"/>
          <w:szCs w:val="24"/>
        </w:rPr>
        <w:t xml:space="preserve">[Doctoral Dissertation]. University of East Anglia. Retrieved from Ethos, </w:t>
      </w:r>
      <w:r w:rsidR="00803ACF">
        <w:rPr>
          <w:rFonts w:ascii="Arial" w:hAnsi="Arial" w:cs="Arial"/>
          <w:sz w:val="24"/>
          <w:szCs w:val="24"/>
        </w:rPr>
        <w:tab/>
      </w:r>
      <w:r>
        <w:rPr>
          <w:rFonts w:ascii="Arial" w:hAnsi="Arial" w:cs="Arial"/>
          <w:sz w:val="24"/>
          <w:szCs w:val="24"/>
        </w:rPr>
        <w:t>uk:bl.ethos.573771</w:t>
      </w:r>
    </w:p>
    <w:p w14:paraId="0C0FF9EE" w14:textId="066E40EC" w:rsidR="00E41DC1" w:rsidRPr="00803ACF" w:rsidRDefault="00E41DC1" w:rsidP="005038C9">
      <w:pPr>
        <w:rPr>
          <w:rFonts w:ascii="Arial" w:hAnsi="Arial" w:cs="Arial"/>
          <w:color w:val="2F5496" w:themeColor="accent1" w:themeShade="BF"/>
          <w:sz w:val="24"/>
          <w:szCs w:val="24"/>
          <w:u w:val="single"/>
        </w:rPr>
      </w:pPr>
      <w:r>
        <w:rPr>
          <w:rFonts w:ascii="Arial" w:hAnsi="Arial" w:cs="Arial"/>
          <w:sz w:val="24"/>
          <w:szCs w:val="24"/>
        </w:rPr>
        <w:t xml:space="preserve">Office for National Statistics. (2016, May 3). </w:t>
      </w:r>
      <w:r>
        <w:rPr>
          <w:rFonts w:ascii="Arial" w:hAnsi="Arial" w:cs="Arial"/>
          <w:i/>
          <w:iCs/>
          <w:sz w:val="24"/>
          <w:szCs w:val="24"/>
        </w:rPr>
        <w:t>Adult drinking habits in Great Britain:</w:t>
      </w:r>
      <w:r w:rsidR="00803ACF">
        <w:rPr>
          <w:rFonts w:ascii="Arial" w:hAnsi="Arial" w:cs="Arial"/>
          <w:i/>
          <w:iCs/>
          <w:sz w:val="24"/>
          <w:szCs w:val="24"/>
        </w:rPr>
        <w:tab/>
      </w:r>
      <w:r w:rsidR="00803ACF">
        <w:rPr>
          <w:rFonts w:ascii="Arial" w:hAnsi="Arial" w:cs="Arial"/>
          <w:i/>
          <w:iCs/>
          <w:sz w:val="24"/>
          <w:szCs w:val="24"/>
        </w:rPr>
        <w:tab/>
      </w:r>
      <w:r>
        <w:rPr>
          <w:rFonts w:ascii="Arial" w:hAnsi="Arial" w:cs="Arial"/>
          <w:i/>
          <w:iCs/>
          <w:sz w:val="24"/>
          <w:szCs w:val="24"/>
        </w:rPr>
        <w:t xml:space="preserve"> 2005 to 2016. </w:t>
      </w:r>
      <w:r>
        <w:rPr>
          <w:rFonts w:ascii="Arial" w:hAnsi="Arial" w:cs="Arial"/>
          <w:sz w:val="24"/>
          <w:szCs w:val="24"/>
        </w:rPr>
        <w:t xml:space="preserve">Retrieved from </w:t>
      </w:r>
      <w:r w:rsidR="00803ACF">
        <w:rPr>
          <w:rFonts w:ascii="Arial" w:hAnsi="Arial" w:cs="Arial"/>
          <w:sz w:val="24"/>
          <w:szCs w:val="24"/>
        </w:rPr>
        <w:tab/>
      </w:r>
      <w:hyperlink r:id="rId6" w:history="1">
        <w:r w:rsidR="00803ACF" w:rsidRPr="00803ACF">
          <w:rPr>
            <w:rStyle w:val="Hyperlink"/>
            <w:rFonts w:ascii="Arial" w:hAnsi="Arial" w:cs="Arial"/>
            <w:color w:val="2F5496" w:themeColor="accent1" w:themeShade="BF"/>
            <w:sz w:val="24"/>
            <w:szCs w:val="24"/>
          </w:rPr>
          <w:t>https://www.ons.gov.uk/peoplepopulationandcommunity/healthandsocialcare/</w:t>
        </w:r>
      </w:hyperlink>
      <w:r w:rsidRPr="00803ACF">
        <w:rPr>
          <w:rFonts w:ascii="Arial" w:hAnsi="Arial" w:cs="Arial"/>
          <w:color w:val="2F5496" w:themeColor="accent1" w:themeShade="BF"/>
          <w:sz w:val="24"/>
          <w:szCs w:val="24"/>
          <w:u w:val="single"/>
        </w:rPr>
        <w:t xml:space="preserve"> </w:t>
      </w:r>
      <w:r w:rsidR="00803ACF" w:rsidRPr="00803ACF">
        <w:rPr>
          <w:rFonts w:ascii="Arial" w:hAnsi="Arial" w:cs="Arial"/>
          <w:color w:val="2F5496" w:themeColor="accent1" w:themeShade="BF"/>
          <w:sz w:val="24"/>
          <w:szCs w:val="24"/>
        </w:rPr>
        <w:tab/>
      </w:r>
      <w:r w:rsidRPr="00803ACF">
        <w:rPr>
          <w:rFonts w:ascii="Arial" w:hAnsi="Arial" w:cs="Arial"/>
          <w:color w:val="2F5496" w:themeColor="accent1" w:themeShade="BF"/>
          <w:sz w:val="24"/>
          <w:szCs w:val="24"/>
          <w:u w:val="single"/>
        </w:rPr>
        <w:t xml:space="preserve">drugusealcoholandsmoking/bulletins/opinionsandlifestylesurveyadultdrinkingh </w:t>
      </w:r>
      <w:r w:rsidR="00803ACF" w:rsidRPr="00803ACF">
        <w:rPr>
          <w:rFonts w:ascii="Arial" w:hAnsi="Arial" w:cs="Arial"/>
          <w:color w:val="2F5496" w:themeColor="accent1" w:themeShade="BF"/>
          <w:sz w:val="24"/>
          <w:szCs w:val="24"/>
        </w:rPr>
        <w:tab/>
      </w:r>
      <w:r w:rsidRPr="00803ACF">
        <w:rPr>
          <w:rFonts w:ascii="Arial" w:hAnsi="Arial" w:cs="Arial"/>
          <w:color w:val="2F5496" w:themeColor="accent1" w:themeShade="BF"/>
          <w:sz w:val="24"/>
          <w:szCs w:val="24"/>
          <w:u w:val="single"/>
        </w:rPr>
        <w:t>abit singreatbritain/2005to2016</w:t>
      </w:r>
    </w:p>
    <w:p w14:paraId="5BF3DC3A" w14:textId="4710A058" w:rsidR="00E41DC1" w:rsidRDefault="00E41DC1">
      <w:pPr>
        <w:rPr>
          <w:rFonts w:ascii="Arial" w:hAnsi="Arial" w:cs="Arial"/>
          <w:i/>
          <w:iCs/>
          <w:sz w:val="24"/>
          <w:szCs w:val="24"/>
        </w:rPr>
      </w:pPr>
      <w:r>
        <w:rPr>
          <w:rFonts w:ascii="Arial" w:hAnsi="Arial" w:cs="Arial"/>
          <w:sz w:val="24"/>
          <w:szCs w:val="24"/>
        </w:rPr>
        <w:t xml:space="preserve">Rundmo, T. and Ulleberg, P. (2003). ‘Personality, attitudes and risk perception as </w:t>
      </w:r>
      <w:r w:rsidR="00803ACF">
        <w:rPr>
          <w:rFonts w:ascii="Arial" w:hAnsi="Arial" w:cs="Arial"/>
          <w:sz w:val="24"/>
          <w:szCs w:val="24"/>
        </w:rPr>
        <w:tab/>
      </w:r>
      <w:r>
        <w:rPr>
          <w:rFonts w:ascii="Arial" w:hAnsi="Arial" w:cs="Arial"/>
          <w:sz w:val="24"/>
          <w:szCs w:val="24"/>
        </w:rPr>
        <w:t xml:space="preserve">predictors of risky driving behaviour among young drivers. </w:t>
      </w:r>
      <w:r>
        <w:rPr>
          <w:rFonts w:ascii="Arial" w:hAnsi="Arial" w:cs="Arial"/>
          <w:i/>
          <w:iCs/>
          <w:sz w:val="24"/>
          <w:szCs w:val="24"/>
        </w:rPr>
        <w:t xml:space="preserve">Safety science, 41, </w:t>
      </w:r>
      <w:r w:rsidR="00803ACF">
        <w:rPr>
          <w:rFonts w:ascii="Arial" w:hAnsi="Arial" w:cs="Arial"/>
          <w:i/>
          <w:iCs/>
          <w:sz w:val="24"/>
          <w:szCs w:val="24"/>
        </w:rPr>
        <w:tab/>
      </w:r>
      <w:r w:rsidRPr="00566743">
        <w:rPr>
          <w:rFonts w:ascii="Arial" w:hAnsi="Arial" w:cs="Arial"/>
          <w:sz w:val="24"/>
          <w:szCs w:val="24"/>
        </w:rPr>
        <w:t>427-443.</w:t>
      </w:r>
      <w:r>
        <w:rPr>
          <w:rFonts w:ascii="Arial" w:hAnsi="Arial" w:cs="Arial"/>
          <w:i/>
          <w:iCs/>
          <w:sz w:val="24"/>
          <w:szCs w:val="24"/>
        </w:rPr>
        <w:t xml:space="preserve"> </w:t>
      </w:r>
    </w:p>
    <w:p w14:paraId="355482D3" w14:textId="7A8CFC49" w:rsidR="00E41DC1" w:rsidRDefault="00E41DC1">
      <w:pPr>
        <w:rPr>
          <w:rFonts w:ascii="Arial" w:hAnsi="Arial" w:cs="Arial"/>
          <w:sz w:val="24"/>
          <w:szCs w:val="24"/>
        </w:rPr>
      </w:pPr>
      <w:r>
        <w:rPr>
          <w:rFonts w:ascii="Arial" w:hAnsi="Arial" w:cs="Arial"/>
          <w:sz w:val="24"/>
          <w:szCs w:val="24"/>
        </w:rPr>
        <w:t xml:space="preserve">Trewartha, T., Vanman, E., &amp; Vartanian, R. (2016). Disgust predicts prejudice and </w:t>
      </w:r>
      <w:r w:rsidR="00803ACF">
        <w:rPr>
          <w:rFonts w:ascii="Arial" w:hAnsi="Arial" w:cs="Arial"/>
          <w:sz w:val="24"/>
          <w:szCs w:val="24"/>
        </w:rPr>
        <w:tab/>
      </w:r>
      <w:r>
        <w:rPr>
          <w:rFonts w:ascii="Arial" w:hAnsi="Arial" w:cs="Arial"/>
          <w:sz w:val="24"/>
          <w:szCs w:val="24"/>
        </w:rPr>
        <w:t xml:space="preserve">discrimination toward individuals with obesity. </w:t>
      </w:r>
      <w:r>
        <w:rPr>
          <w:rFonts w:ascii="Arial" w:hAnsi="Arial" w:cs="Arial"/>
          <w:i/>
          <w:iCs/>
          <w:sz w:val="24"/>
          <w:szCs w:val="24"/>
        </w:rPr>
        <w:t xml:space="preserve">Journal of Applied Social </w:t>
      </w:r>
      <w:r w:rsidR="00803ACF">
        <w:rPr>
          <w:rFonts w:ascii="Arial" w:hAnsi="Arial" w:cs="Arial"/>
          <w:i/>
          <w:iCs/>
          <w:sz w:val="24"/>
          <w:szCs w:val="24"/>
        </w:rPr>
        <w:tab/>
      </w:r>
      <w:r>
        <w:rPr>
          <w:rFonts w:ascii="Arial" w:hAnsi="Arial" w:cs="Arial"/>
          <w:i/>
          <w:iCs/>
          <w:sz w:val="24"/>
          <w:szCs w:val="24"/>
        </w:rPr>
        <w:t>Psychology, 46</w:t>
      </w:r>
      <w:r w:rsidRPr="005A5B51">
        <w:rPr>
          <w:rFonts w:ascii="Arial" w:hAnsi="Arial" w:cs="Arial"/>
          <w:sz w:val="24"/>
          <w:szCs w:val="24"/>
        </w:rPr>
        <w:t>(6),</w:t>
      </w:r>
      <w:r>
        <w:rPr>
          <w:rFonts w:ascii="Arial" w:hAnsi="Arial" w:cs="Arial"/>
          <w:i/>
          <w:iCs/>
          <w:sz w:val="24"/>
          <w:szCs w:val="24"/>
        </w:rPr>
        <w:t xml:space="preserve"> </w:t>
      </w:r>
      <w:r>
        <w:rPr>
          <w:rFonts w:ascii="Arial" w:hAnsi="Arial" w:cs="Arial"/>
          <w:sz w:val="24"/>
          <w:szCs w:val="24"/>
        </w:rPr>
        <w:t>369-375.</w:t>
      </w:r>
    </w:p>
    <w:p w14:paraId="062BA5C2" w14:textId="53D0E36A" w:rsidR="00E41DC1" w:rsidRDefault="00E41DC1" w:rsidP="00E41DC1">
      <w:pPr>
        <w:rPr>
          <w:rFonts w:ascii="Arial" w:hAnsi="Arial" w:cs="Arial"/>
          <w:sz w:val="24"/>
          <w:szCs w:val="24"/>
        </w:rPr>
      </w:pPr>
      <w:r>
        <w:rPr>
          <w:rFonts w:ascii="Arial" w:hAnsi="Arial" w:cs="Arial"/>
          <w:sz w:val="24"/>
          <w:szCs w:val="24"/>
        </w:rPr>
        <w:t xml:space="preserve">Welsh Government. (2015). </w:t>
      </w:r>
      <w:r>
        <w:rPr>
          <w:rFonts w:ascii="Arial" w:hAnsi="Arial" w:cs="Arial"/>
          <w:i/>
          <w:iCs/>
          <w:sz w:val="24"/>
          <w:szCs w:val="24"/>
        </w:rPr>
        <w:t xml:space="preserve">Well-being of Future Generations (Wales) Act 2015.  </w:t>
      </w:r>
      <w:r w:rsidR="00803ACF">
        <w:rPr>
          <w:rFonts w:ascii="Arial" w:hAnsi="Arial" w:cs="Arial"/>
          <w:i/>
          <w:iCs/>
          <w:sz w:val="24"/>
          <w:szCs w:val="24"/>
        </w:rPr>
        <w:tab/>
      </w:r>
      <w:r>
        <w:rPr>
          <w:rFonts w:ascii="Arial" w:hAnsi="Arial" w:cs="Arial"/>
          <w:i/>
          <w:iCs/>
          <w:sz w:val="24"/>
          <w:szCs w:val="24"/>
        </w:rPr>
        <w:t xml:space="preserve">     </w:t>
      </w:r>
      <w:r>
        <w:rPr>
          <w:rFonts w:ascii="Arial" w:hAnsi="Arial" w:cs="Arial"/>
          <w:sz w:val="24"/>
          <w:szCs w:val="24"/>
        </w:rPr>
        <w:t>United Kingdom: The Office Stationery Limited.</w:t>
      </w:r>
    </w:p>
    <w:p w14:paraId="5382B36E" w14:textId="5F6BF83F" w:rsidR="00E41DC1" w:rsidRDefault="00E41DC1" w:rsidP="005038C9">
      <w:pPr>
        <w:rPr>
          <w:rFonts w:ascii="Arial" w:hAnsi="Arial" w:cs="Arial"/>
          <w:sz w:val="24"/>
          <w:szCs w:val="24"/>
        </w:rPr>
      </w:pPr>
      <w:r>
        <w:rPr>
          <w:rFonts w:ascii="Arial" w:hAnsi="Arial" w:cs="Arial"/>
          <w:sz w:val="24"/>
          <w:szCs w:val="24"/>
        </w:rPr>
        <w:t xml:space="preserve">Williamson, H. (2016, October 12-14). </w:t>
      </w:r>
      <w:r>
        <w:rPr>
          <w:rFonts w:ascii="Arial" w:hAnsi="Arial" w:cs="Arial"/>
          <w:i/>
          <w:iCs/>
          <w:sz w:val="24"/>
          <w:szCs w:val="24"/>
        </w:rPr>
        <w:t xml:space="preserve">Supporting adolescents struggling with </w:t>
      </w:r>
      <w:r w:rsidR="00803ACF">
        <w:rPr>
          <w:rFonts w:ascii="Arial" w:hAnsi="Arial" w:cs="Arial"/>
          <w:i/>
          <w:iCs/>
          <w:sz w:val="24"/>
          <w:szCs w:val="24"/>
        </w:rPr>
        <w:tab/>
      </w:r>
      <w:r>
        <w:rPr>
          <w:rFonts w:ascii="Arial" w:hAnsi="Arial" w:cs="Arial"/>
          <w:i/>
          <w:iCs/>
          <w:sz w:val="24"/>
          <w:szCs w:val="24"/>
        </w:rPr>
        <w:t xml:space="preserve">appearance – altering conditions: the feasibility of using an online </w:t>
      </w:r>
      <w:r w:rsidR="00803ACF">
        <w:rPr>
          <w:rFonts w:ascii="Arial" w:hAnsi="Arial" w:cs="Arial"/>
          <w:i/>
          <w:iCs/>
          <w:sz w:val="24"/>
          <w:szCs w:val="24"/>
        </w:rPr>
        <w:tab/>
      </w:r>
      <w:r>
        <w:rPr>
          <w:rFonts w:ascii="Arial" w:hAnsi="Arial" w:cs="Arial"/>
          <w:i/>
          <w:iCs/>
          <w:sz w:val="24"/>
          <w:szCs w:val="24"/>
        </w:rPr>
        <w:t xml:space="preserve">psychosocial intervention (YP Face IT) in primary care. </w:t>
      </w:r>
      <w:r>
        <w:rPr>
          <w:rFonts w:ascii="Arial" w:hAnsi="Arial" w:cs="Arial"/>
          <w:sz w:val="24"/>
          <w:szCs w:val="24"/>
        </w:rPr>
        <w:t xml:space="preserve">Poster presented at </w:t>
      </w:r>
      <w:r w:rsidR="00803ACF">
        <w:rPr>
          <w:rFonts w:ascii="Arial" w:hAnsi="Arial" w:cs="Arial"/>
          <w:sz w:val="24"/>
          <w:szCs w:val="24"/>
        </w:rPr>
        <w:tab/>
      </w:r>
      <w:r>
        <w:rPr>
          <w:rFonts w:ascii="Arial" w:hAnsi="Arial" w:cs="Arial"/>
          <w:sz w:val="24"/>
          <w:szCs w:val="24"/>
        </w:rPr>
        <w:t xml:space="preserve">Annual Primary Care Conference, Royal College of General Practitioners for </w:t>
      </w:r>
      <w:r w:rsidR="00803ACF">
        <w:rPr>
          <w:rFonts w:ascii="Arial" w:hAnsi="Arial" w:cs="Arial"/>
          <w:sz w:val="24"/>
          <w:szCs w:val="24"/>
        </w:rPr>
        <w:tab/>
      </w:r>
      <w:r>
        <w:rPr>
          <w:rFonts w:ascii="Arial" w:hAnsi="Arial" w:cs="Arial"/>
          <w:sz w:val="24"/>
          <w:szCs w:val="24"/>
        </w:rPr>
        <w:t xml:space="preserve">Centre of Appearance Research, University of the West of England. </w:t>
      </w:r>
    </w:p>
    <w:p w14:paraId="582A6664" w14:textId="09A21C43" w:rsidR="00E41DC1" w:rsidRDefault="00E41DC1" w:rsidP="005038C9">
      <w:pPr>
        <w:rPr>
          <w:rFonts w:ascii="Arial" w:hAnsi="Arial" w:cs="Arial"/>
          <w:sz w:val="24"/>
          <w:szCs w:val="24"/>
        </w:rPr>
      </w:pPr>
      <w:r>
        <w:rPr>
          <w:rFonts w:ascii="Arial" w:hAnsi="Arial" w:cs="Arial"/>
          <w:sz w:val="24"/>
          <w:szCs w:val="24"/>
        </w:rPr>
        <w:t xml:space="preserve">Young, E. (2017, September 18). Women know better than men what other women </w:t>
      </w:r>
      <w:r w:rsidR="00803ACF">
        <w:rPr>
          <w:rFonts w:ascii="Arial" w:hAnsi="Arial" w:cs="Arial"/>
          <w:sz w:val="24"/>
          <w:szCs w:val="24"/>
        </w:rPr>
        <w:tab/>
      </w:r>
      <w:r>
        <w:rPr>
          <w:rFonts w:ascii="Arial" w:hAnsi="Arial" w:cs="Arial"/>
          <w:sz w:val="24"/>
          <w:szCs w:val="24"/>
        </w:rPr>
        <w:t xml:space="preserve">are thinking and feeling. </w:t>
      </w:r>
      <w:r>
        <w:rPr>
          <w:rFonts w:ascii="Arial" w:hAnsi="Arial" w:cs="Arial"/>
          <w:i/>
          <w:iCs/>
          <w:sz w:val="24"/>
          <w:szCs w:val="24"/>
        </w:rPr>
        <w:t xml:space="preserve">The British Psychological Society. </w:t>
      </w:r>
      <w:r>
        <w:rPr>
          <w:rFonts w:ascii="Arial" w:hAnsi="Arial" w:cs="Arial"/>
          <w:sz w:val="24"/>
          <w:szCs w:val="24"/>
        </w:rPr>
        <w:t xml:space="preserve">Retrieved from </w:t>
      </w:r>
      <w:r w:rsidR="00803ACF">
        <w:rPr>
          <w:rFonts w:ascii="Arial" w:hAnsi="Arial" w:cs="Arial"/>
          <w:sz w:val="24"/>
          <w:szCs w:val="24"/>
        </w:rPr>
        <w:tab/>
      </w:r>
      <w:hyperlink r:id="rId7" w:history="1">
        <w:r w:rsidR="00803ACF" w:rsidRPr="00AF17B4">
          <w:rPr>
            <w:rStyle w:val="Hyperlink"/>
            <w:rFonts w:ascii="Arial" w:hAnsi="Arial" w:cs="Arial"/>
            <w:sz w:val="24"/>
            <w:szCs w:val="24"/>
          </w:rPr>
          <w:t>https://digest.bps.org.uk/2017/09/18/women-know-better-thanmenwhat-other-</w:t>
        </w:r>
        <w:r w:rsidR="00803ACF" w:rsidRPr="00803ACF">
          <w:rPr>
            <w:rStyle w:val="Hyperlink"/>
            <w:rFonts w:ascii="Arial" w:hAnsi="Arial" w:cs="Arial"/>
            <w:sz w:val="24"/>
            <w:szCs w:val="24"/>
            <w:u w:val="none"/>
          </w:rPr>
          <w:tab/>
        </w:r>
        <w:r w:rsidR="00803ACF" w:rsidRPr="00AF17B4">
          <w:rPr>
            <w:rStyle w:val="Hyperlink"/>
            <w:rFonts w:ascii="Arial" w:hAnsi="Arial" w:cs="Arial"/>
            <w:sz w:val="24"/>
            <w:szCs w:val="24"/>
          </w:rPr>
          <w:t>women-are-thinking-and-feeling/</w:t>
        </w:r>
      </w:hyperlink>
    </w:p>
    <w:p w14:paraId="23DEF632" w14:textId="77777777" w:rsidR="00C739DA" w:rsidRPr="00C739DA" w:rsidRDefault="00C739DA" w:rsidP="005038C9">
      <w:pPr>
        <w:rPr>
          <w:rFonts w:ascii="Arial" w:hAnsi="Arial" w:cs="Arial"/>
          <w:sz w:val="24"/>
          <w:szCs w:val="24"/>
        </w:rPr>
      </w:pPr>
    </w:p>
    <w:p w14:paraId="66A9A083" w14:textId="147FAB18" w:rsidR="00C739DA" w:rsidRDefault="00C739DA" w:rsidP="005038C9">
      <w:pPr>
        <w:rPr>
          <w:rFonts w:ascii="Arial" w:hAnsi="Arial" w:cs="Arial"/>
          <w:i/>
          <w:iCs/>
          <w:sz w:val="24"/>
          <w:szCs w:val="24"/>
        </w:rPr>
      </w:pPr>
    </w:p>
    <w:p w14:paraId="00D3619C" w14:textId="48543F64" w:rsidR="00C739DA" w:rsidRDefault="00C739DA" w:rsidP="005038C9">
      <w:pPr>
        <w:rPr>
          <w:rFonts w:ascii="Arial" w:hAnsi="Arial" w:cs="Arial"/>
          <w:i/>
          <w:iCs/>
          <w:sz w:val="24"/>
          <w:szCs w:val="24"/>
        </w:rPr>
      </w:pPr>
    </w:p>
    <w:p w14:paraId="6310AF20" w14:textId="121B5517" w:rsidR="00C739DA" w:rsidRDefault="00C739DA" w:rsidP="005038C9">
      <w:pPr>
        <w:rPr>
          <w:rFonts w:ascii="Arial" w:hAnsi="Arial" w:cs="Arial"/>
          <w:i/>
          <w:iCs/>
          <w:sz w:val="24"/>
          <w:szCs w:val="24"/>
        </w:rPr>
      </w:pPr>
    </w:p>
    <w:p w14:paraId="3D9C0D80" w14:textId="26BEBF8B" w:rsidR="00C739DA" w:rsidRDefault="00C739DA" w:rsidP="005038C9">
      <w:pPr>
        <w:rPr>
          <w:rFonts w:ascii="Arial" w:hAnsi="Arial" w:cs="Arial"/>
          <w:i/>
          <w:iCs/>
          <w:sz w:val="24"/>
          <w:szCs w:val="24"/>
        </w:rPr>
      </w:pPr>
    </w:p>
    <w:p w14:paraId="7EC6FB61" w14:textId="32A6A7CF" w:rsidR="00C739DA" w:rsidRDefault="00C739DA" w:rsidP="005038C9">
      <w:pPr>
        <w:rPr>
          <w:rFonts w:ascii="Arial" w:hAnsi="Arial" w:cs="Arial"/>
          <w:i/>
          <w:iCs/>
          <w:sz w:val="24"/>
          <w:szCs w:val="24"/>
        </w:rPr>
      </w:pPr>
    </w:p>
    <w:p w14:paraId="3E807582" w14:textId="6128D6BD" w:rsidR="00C739DA" w:rsidRDefault="00C739DA" w:rsidP="005038C9">
      <w:pPr>
        <w:rPr>
          <w:rFonts w:ascii="Arial" w:hAnsi="Arial" w:cs="Arial"/>
          <w:i/>
          <w:iCs/>
          <w:sz w:val="24"/>
          <w:szCs w:val="24"/>
        </w:rPr>
      </w:pPr>
    </w:p>
    <w:p w14:paraId="76C2FAAE" w14:textId="3117E63D" w:rsidR="00C739DA" w:rsidRDefault="00C739DA" w:rsidP="005038C9">
      <w:pPr>
        <w:rPr>
          <w:rFonts w:ascii="Arial" w:hAnsi="Arial" w:cs="Arial"/>
          <w:i/>
          <w:iCs/>
          <w:sz w:val="24"/>
          <w:szCs w:val="24"/>
        </w:rPr>
      </w:pPr>
    </w:p>
    <w:p w14:paraId="0611CCD6" w14:textId="77777777" w:rsidR="00C739DA" w:rsidRPr="00C739DA" w:rsidRDefault="00C739DA" w:rsidP="005038C9">
      <w:pPr>
        <w:rPr>
          <w:rFonts w:ascii="Arial" w:hAnsi="Arial" w:cs="Arial"/>
          <w:sz w:val="24"/>
          <w:szCs w:val="24"/>
        </w:rPr>
      </w:pPr>
    </w:p>
    <w:sectPr w:rsidR="00C739DA" w:rsidRPr="00C739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D88"/>
    <w:rsid w:val="000804D9"/>
    <w:rsid w:val="000A4E47"/>
    <w:rsid w:val="000F3C81"/>
    <w:rsid w:val="001368C9"/>
    <w:rsid w:val="001A69F4"/>
    <w:rsid w:val="001B18E2"/>
    <w:rsid w:val="0026433C"/>
    <w:rsid w:val="00301099"/>
    <w:rsid w:val="003154A7"/>
    <w:rsid w:val="003337B3"/>
    <w:rsid w:val="00362079"/>
    <w:rsid w:val="003F361B"/>
    <w:rsid w:val="00454504"/>
    <w:rsid w:val="00474A98"/>
    <w:rsid w:val="005038C9"/>
    <w:rsid w:val="005571DE"/>
    <w:rsid w:val="00566743"/>
    <w:rsid w:val="00596D88"/>
    <w:rsid w:val="005A5B51"/>
    <w:rsid w:val="005E54E3"/>
    <w:rsid w:val="00621A17"/>
    <w:rsid w:val="0073717C"/>
    <w:rsid w:val="00746DBE"/>
    <w:rsid w:val="007C349D"/>
    <w:rsid w:val="00803ACF"/>
    <w:rsid w:val="00893951"/>
    <w:rsid w:val="008E1C58"/>
    <w:rsid w:val="009B1DF3"/>
    <w:rsid w:val="009B67F3"/>
    <w:rsid w:val="009F2ECE"/>
    <w:rsid w:val="00A04AF9"/>
    <w:rsid w:val="00A07C25"/>
    <w:rsid w:val="00A150F7"/>
    <w:rsid w:val="00A245BF"/>
    <w:rsid w:val="00AA6B8A"/>
    <w:rsid w:val="00AB0095"/>
    <w:rsid w:val="00B4623A"/>
    <w:rsid w:val="00BA58B1"/>
    <w:rsid w:val="00BA5971"/>
    <w:rsid w:val="00C01112"/>
    <w:rsid w:val="00C41A1C"/>
    <w:rsid w:val="00C634BB"/>
    <w:rsid w:val="00C739DA"/>
    <w:rsid w:val="00C9046D"/>
    <w:rsid w:val="00CB3796"/>
    <w:rsid w:val="00CC53E8"/>
    <w:rsid w:val="00CC5CF3"/>
    <w:rsid w:val="00CC65AE"/>
    <w:rsid w:val="00CE7A5B"/>
    <w:rsid w:val="00D20D36"/>
    <w:rsid w:val="00D400B3"/>
    <w:rsid w:val="00D622D1"/>
    <w:rsid w:val="00D630F9"/>
    <w:rsid w:val="00D92518"/>
    <w:rsid w:val="00DD22C8"/>
    <w:rsid w:val="00DF7428"/>
    <w:rsid w:val="00E41DC1"/>
    <w:rsid w:val="00E53F68"/>
    <w:rsid w:val="00EF37E1"/>
    <w:rsid w:val="00F85EE3"/>
    <w:rsid w:val="00FB3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5B74D"/>
  <w15:chartTrackingRefBased/>
  <w15:docId w15:val="{4421E690-DDE3-4AA7-9107-7DCAA4A9D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4AF9"/>
    <w:rPr>
      <w:color w:val="0563C1" w:themeColor="hyperlink"/>
      <w:u w:val="single"/>
    </w:rPr>
  </w:style>
  <w:style w:type="character" w:styleId="UnresolvedMention">
    <w:name w:val="Unresolved Mention"/>
    <w:basedOn w:val="DefaultParagraphFont"/>
    <w:uiPriority w:val="99"/>
    <w:semiHidden/>
    <w:unhideWhenUsed/>
    <w:rsid w:val="00A04AF9"/>
    <w:rPr>
      <w:color w:val="605E5C"/>
      <w:shd w:val="clear" w:color="auto" w:fill="E1DFDD"/>
    </w:rPr>
  </w:style>
  <w:style w:type="paragraph" w:styleId="ListParagraph">
    <w:name w:val="List Paragraph"/>
    <w:basedOn w:val="Normal"/>
    <w:uiPriority w:val="34"/>
    <w:qFormat/>
    <w:rsid w:val="009F2E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gest.bps.org.uk/2017/09/18/women-know-better-thanmenwhat-other-%09women-are-thinking-and-feel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ons.gov.uk/peoplepopulationandcommunity/healthandsocialcare/" TargetMode="External"/><Relationship Id="rId5" Type="http://schemas.openxmlformats.org/officeDocument/2006/relationships/hyperlink" Target="http://www.mentalhealth.org.uk/podcastsand-videos/computerised-%09cognitivebehavioural-therap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317C2-05F1-4B1B-AD4A-68549A192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6</Pages>
  <Words>2068</Words>
  <Characters>11789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447990329733</dc:creator>
  <cp:keywords/>
  <dc:description/>
  <cp:lastModifiedBy>447990329733</cp:lastModifiedBy>
  <cp:revision>55</cp:revision>
  <dcterms:created xsi:type="dcterms:W3CDTF">2019-10-28T18:20:00Z</dcterms:created>
  <dcterms:modified xsi:type="dcterms:W3CDTF">2019-11-04T20:54:00Z</dcterms:modified>
</cp:coreProperties>
</file>