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3260F" w14:textId="5777E471" w:rsidR="005549A2" w:rsidRPr="00222F19" w:rsidRDefault="005549A2" w:rsidP="00222F19">
      <w:pPr>
        <w:spacing w:line="360" w:lineRule="auto"/>
        <w:jc w:val="both"/>
        <w:rPr>
          <w:rFonts w:ascii="Arial" w:hAnsi="Arial" w:cs="Arial"/>
          <w:sz w:val="22"/>
        </w:rPr>
      </w:pPr>
    </w:p>
    <w:p w14:paraId="2D839878" w14:textId="2C7D1022" w:rsidR="005549A2" w:rsidRPr="00222F19" w:rsidRDefault="005549A2" w:rsidP="00222F19">
      <w:pPr>
        <w:spacing w:line="360" w:lineRule="auto"/>
        <w:jc w:val="both"/>
        <w:rPr>
          <w:rFonts w:ascii="Arial" w:hAnsi="Arial" w:cs="Arial"/>
          <w:sz w:val="22"/>
        </w:rPr>
      </w:pPr>
    </w:p>
    <w:p w14:paraId="54E0A857" w14:textId="49A6F017" w:rsidR="005549A2" w:rsidRPr="00222F19" w:rsidRDefault="005549A2" w:rsidP="00222F19">
      <w:pPr>
        <w:spacing w:line="360" w:lineRule="auto"/>
        <w:jc w:val="both"/>
        <w:rPr>
          <w:rFonts w:ascii="Arial" w:hAnsi="Arial" w:cs="Arial"/>
          <w:sz w:val="22"/>
        </w:rPr>
      </w:pPr>
    </w:p>
    <w:p w14:paraId="24557E12" w14:textId="7ED23899" w:rsidR="005549A2" w:rsidRPr="00222F19" w:rsidRDefault="005549A2" w:rsidP="00222F19">
      <w:pPr>
        <w:spacing w:line="360" w:lineRule="auto"/>
        <w:jc w:val="both"/>
        <w:rPr>
          <w:rFonts w:ascii="Arial" w:hAnsi="Arial" w:cs="Arial"/>
          <w:sz w:val="22"/>
        </w:rPr>
      </w:pPr>
    </w:p>
    <w:p w14:paraId="61D25166" w14:textId="5C898DCB" w:rsidR="005549A2" w:rsidRPr="00222F19" w:rsidRDefault="005549A2" w:rsidP="00222F19">
      <w:pPr>
        <w:spacing w:line="360" w:lineRule="auto"/>
        <w:jc w:val="both"/>
        <w:rPr>
          <w:rFonts w:ascii="Arial" w:hAnsi="Arial" w:cs="Arial"/>
          <w:sz w:val="22"/>
        </w:rPr>
      </w:pPr>
    </w:p>
    <w:p w14:paraId="2411997D" w14:textId="523A03BC" w:rsidR="005549A2" w:rsidRPr="00222F19" w:rsidRDefault="005549A2" w:rsidP="00222F19">
      <w:pPr>
        <w:spacing w:line="360" w:lineRule="auto"/>
        <w:jc w:val="both"/>
        <w:rPr>
          <w:rFonts w:ascii="Arial" w:hAnsi="Arial" w:cs="Arial"/>
          <w:sz w:val="22"/>
        </w:rPr>
      </w:pPr>
    </w:p>
    <w:p w14:paraId="4E69BC58" w14:textId="77777777" w:rsidR="005549A2" w:rsidRPr="00222F19" w:rsidRDefault="005549A2" w:rsidP="00222F19">
      <w:pPr>
        <w:spacing w:line="360" w:lineRule="auto"/>
        <w:jc w:val="both"/>
        <w:rPr>
          <w:rFonts w:ascii="Arial" w:hAnsi="Arial" w:cs="Arial"/>
          <w:sz w:val="22"/>
        </w:rPr>
      </w:pPr>
    </w:p>
    <w:p w14:paraId="05084791" w14:textId="2C4DB2B7" w:rsidR="00022E88" w:rsidRPr="00222F19" w:rsidRDefault="00216E09" w:rsidP="00222F19">
      <w:pPr>
        <w:spacing w:line="360" w:lineRule="auto"/>
        <w:jc w:val="center"/>
        <w:rPr>
          <w:rFonts w:ascii="Arial" w:hAnsi="Arial" w:cs="Arial"/>
          <w:b/>
          <w:sz w:val="22"/>
        </w:rPr>
      </w:pPr>
      <w:r w:rsidRPr="00222F19">
        <w:rPr>
          <w:rFonts w:ascii="Arial" w:hAnsi="Arial" w:cs="Arial"/>
          <w:b/>
          <w:sz w:val="22"/>
        </w:rPr>
        <w:t>Student N</w:t>
      </w:r>
      <w:r w:rsidR="00FA18EA" w:rsidRPr="00222F19">
        <w:rPr>
          <w:rFonts w:ascii="Arial" w:hAnsi="Arial" w:cs="Arial"/>
          <w:b/>
          <w:sz w:val="22"/>
        </w:rPr>
        <w:t>ame</w:t>
      </w:r>
      <w:r w:rsidR="00AF77AC">
        <w:rPr>
          <w:rFonts w:ascii="Arial" w:hAnsi="Arial" w:cs="Arial"/>
          <w:b/>
          <w:sz w:val="22"/>
        </w:rPr>
        <w:t xml:space="preserve"> : Sehrish Bibi</w:t>
      </w:r>
    </w:p>
    <w:p w14:paraId="376CBBBB" w14:textId="5C70E00D" w:rsidR="00FA18EA" w:rsidRPr="00222F19" w:rsidRDefault="00216E09" w:rsidP="00222F19">
      <w:pPr>
        <w:spacing w:line="360" w:lineRule="auto"/>
        <w:jc w:val="center"/>
        <w:rPr>
          <w:rFonts w:ascii="Arial" w:hAnsi="Arial" w:cs="Arial"/>
          <w:b/>
          <w:sz w:val="22"/>
        </w:rPr>
      </w:pPr>
      <w:r w:rsidRPr="00222F19">
        <w:rPr>
          <w:rFonts w:ascii="Arial" w:hAnsi="Arial" w:cs="Arial"/>
          <w:b/>
          <w:sz w:val="22"/>
        </w:rPr>
        <w:t>Student Number</w:t>
      </w:r>
      <w:r w:rsidR="00AF77AC">
        <w:rPr>
          <w:rFonts w:ascii="Arial" w:hAnsi="Arial" w:cs="Arial"/>
          <w:b/>
          <w:sz w:val="22"/>
        </w:rPr>
        <w:t xml:space="preserve"> : 2322746</w:t>
      </w:r>
    </w:p>
    <w:p w14:paraId="40EB174F" w14:textId="4F03B557" w:rsidR="00271376" w:rsidRPr="00222F19" w:rsidRDefault="00216E09" w:rsidP="00222F19">
      <w:pPr>
        <w:spacing w:line="360" w:lineRule="auto"/>
        <w:jc w:val="center"/>
        <w:rPr>
          <w:rFonts w:ascii="Arial" w:hAnsi="Arial" w:cs="Arial"/>
          <w:b/>
          <w:sz w:val="22"/>
        </w:rPr>
      </w:pPr>
      <w:r w:rsidRPr="00222F19">
        <w:rPr>
          <w:rFonts w:ascii="Arial" w:hAnsi="Arial" w:cs="Arial"/>
          <w:b/>
          <w:sz w:val="22"/>
        </w:rPr>
        <w:t>Module: Psychological Classifications and Provisions</w:t>
      </w:r>
    </w:p>
    <w:p w14:paraId="49A0D387" w14:textId="565F3D1C" w:rsidR="00463A29" w:rsidRPr="00222F19" w:rsidRDefault="00216E09" w:rsidP="00222F19">
      <w:pPr>
        <w:spacing w:line="360" w:lineRule="auto"/>
        <w:jc w:val="center"/>
        <w:rPr>
          <w:rFonts w:ascii="Arial" w:hAnsi="Arial" w:cs="Arial"/>
          <w:b/>
          <w:sz w:val="22"/>
        </w:rPr>
      </w:pPr>
      <w:r w:rsidRPr="00222F19">
        <w:rPr>
          <w:rFonts w:ascii="Arial" w:hAnsi="Arial" w:cs="Arial"/>
          <w:b/>
          <w:sz w:val="22"/>
        </w:rPr>
        <w:t>Module Code: BMHP6029</w:t>
      </w:r>
    </w:p>
    <w:p w14:paraId="1EB85216" w14:textId="2645C701" w:rsidR="00271376" w:rsidRPr="00222F19" w:rsidRDefault="00216E09" w:rsidP="00222F19">
      <w:pPr>
        <w:spacing w:line="360" w:lineRule="auto"/>
        <w:jc w:val="center"/>
        <w:rPr>
          <w:rFonts w:ascii="Arial" w:hAnsi="Arial" w:cs="Arial"/>
          <w:b/>
          <w:sz w:val="22"/>
        </w:rPr>
      </w:pPr>
      <w:r w:rsidRPr="00222F19">
        <w:rPr>
          <w:rFonts w:ascii="Arial" w:hAnsi="Arial" w:cs="Arial"/>
          <w:b/>
          <w:sz w:val="22"/>
        </w:rPr>
        <w:t>Component 2: Written Assignment (Report)</w:t>
      </w:r>
    </w:p>
    <w:p w14:paraId="3654F09F" w14:textId="6BE2ACE9" w:rsidR="00F97ECE" w:rsidRPr="00222F19" w:rsidRDefault="00F97ECE" w:rsidP="00222F19">
      <w:pPr>
        <w:spacing w:line="360" w:lineRule="auto"/>
        <w:jc w:val="both"/>
        <w:rPr>
          <w:rFonts w:ascii="Arial" w:hAnsi="Arial" w:cs="Arial"/>
          <w:sz w:val="22"/>
        </w:rPr>
      </w:pPr>
    </w:p>
    <w:p w14:paraId="72106366" w14:textId="79C22A86" w:rsidR="007A2C72" w:rsidRPr="00222F19" w:rsidRDefault="00216E09" w:rsidP="00222F19">
      <w:pPr>
        <w:spacing w:line="360" w:lineRule="auto"/>
        <w:jc w:val="both"/>
        <w:rPr>
          <w:rFonts w:ascii="Arial" w:hAnsi="Arial" w:cs="Arial"/>
          <w:sz w:val="22"/>
        </w:rPr>
      </w:pPr>
      <w:r w:rsidRPr="00222F19">
        <w:rPr>
          <w:rFonts w:ascii="Arial" w:hAnsi="Arial" w:cs="Arial"/>
          <w:sz w:val="22"/>
        </w:rPr>
        <w:br w:type="page"/>
      </w:r>
    </w:p>
    <w:sdt>
      <w:sdtPr>
        <w:rPr>
          <w:rFonts w:ascii="Arial" w:eastAsiaTheme="minorHAnsi" w:hAnsi="Arial" w:cs="Arial"/>
          <w:color w:val="auto"/>
          <w:sz w:val="22"/>
          <w:szCs w:val="22"/>
          <w:lang w:val="en-GB"/>
        </w:rPr>
        <w:id w:val="991675642"/>
        <w:docPartObj>
          <w:docPartGallery w:val="Table of Contents"/>
          <w:docPartUnique/>
        </w:docPartObj>
      </w:sdtPr>
      <w:sdtEndPr>
        <w:rPr>
          <w:b/>
          <w:bCs/>
          <w:noProof/>
        </w:rPr>
      </w:sdtEndPr>
      <w:sdtContent>
        <w:p w14:paraId="4A5D1940" w14:textId="6987E5F4" w:rsidR="00110846" w:rsidRPr="00222F19" w:rsidRDefault="00216E09" w:rsidP="00222F19">
          <w:pPr>
            <w:pStyle w:val="TOCHeading"/>
            <w:spacing w:line="360" w:lineRule="auto"/>
            <w:jc w:val="both"/>
            <w:rPr>
              <w:rFonts w:ascii="Arial" w:hAnsi="Arial" w:cs="Arial"/>
              <w:color w:val="auto"/>
              <w:sz w:val="22"/>
              <w:szCs w:val="22"/>
            </w:rPr>
          </w:pPr>
          <w:r w:rsidRPr="00222F19">
            <w:rPr>
              <w:rFonts w:ascii="Arial" w:hAnsi="Arial" w:cs="Arial"/>
              <w:color w:val="auto"/>
              <w:sz w:val="22"/>
              <w:szCs w:val="22"/>
            </w:rPr>
            <w:t>Table of Contents</w:t>
          </w:r>
        </w:p>
        <w:p w14:paraId="3F9C8675" w14:textId="6A363019" w:rsidR="009C7448" w:rsidRPr="00222F19" w:rsidRDefault="00216E09" w:rsidP="00222F19">
          <w:pPr>
            <w:pStyle w:val="TOC1"/>
            <w:tabs>
              <w:tab w:val="right" w:leader="dot" w:pos="9350"/>
            </w:tabs>
            <w:spacing w:line="360" w:lineRule="auto"/>
            <w:jc w:val="both"/>
            <w:rPr>
              <w:rFonts w:ascii="Arial" w:eastAsiaTheme="minorEastAsia" w:hAnsi="Arial" w:cs="Arial"/>
              <w:noProof/>
              <w:sz w:val="22"/>
              <w:lang w:eastAsia="en-GB"/>
            </w:rPr>
          </w:pPr>
          <w:r w:rsidRPr="00222F19">
            <w:rPr>
              <w:rFonts w:ascii="Arial" w:hAnsi="Arial" w:cs="Arial"/>
              <w:sz w:val="22"/>
            </w:rPr>
            <w:fldChar w:fldCharType="begin"/>
          </w:r>
          <w:r w:rsidRPr="00222F19">
            <w:rPr>
              <w:rFonts w:ascii="Arial" w:hAnsi="Arial" w:cs="Arial"/>
              <w:sz w:val="22"/>
            </w:rPr>
            <w:instrText xml:space="preserve"> TOC \o "1-3" \h \z \u </w:instrText>
          </w:r>
          <w:r w:rsidRPr="00222F19">
            <w:rPr>
              <w:rFonts w:ascii="Arial" w:hAnsi="Arial" w:cs="Arial"/>
              <w:sz w:val="22"/>
            </w:rPr>
            <w:fldChar w:fldCharType="separate"/>
          </w:r>
          <w:hyperlink w:anchor="_Toc222585704" w:history="1">
            <w:r w:rsidR="009C7448" w:rsidRPr="00222F19">
              <w:rPr>
                <w:rStyle w:val="Hyperlink"/>
                <w:rFonts w:ascii="Arial" w:hAnsi="Arial" w:cs="Arial"/>
                <w:noProof/>
                <w:sz w:val="22"/>
              </w:rPr>
              <w:t>Introduction</w:t>
            </w:r>
            <w:r w:rsidR="009C7448" w:rsidRPr="00222F19">
              <w:rPr>
                <w:rFonts w:ascii="Arial" w:hAnsi="Arial" w:cs="Arial"/>
                <w:noProof/>
                <w:webHidden/>
                <w:sz w:val="22"/>
              </w:rPr>
              <w:tab/>
            </w:r>
            <w:r w:rsidR="009C7448" w:rsidRPr="00222F19">
              <w:rPr>
                <w:rFonts w:ascii="Arial" w:hAnsi="Arial" w:cs="Arial"/>
                <w:noProof/>
                <w:webHidden/>
                <w:sz w:val="22"/>
              </w:rPr>
              <w:fldChar w:fldCharType="begin"/>
            </w:r>
            <w:r w:rsidR="009C7448" w:rsidRPr="00222F19">
              <w:rPr>
                <w:rFonts w:ascii="Arial" w:hAnsi="Arial" w:cs="Arial"/>
                <w:noProof/>
                <w:webHidden/>
                <w:sz w:val="22"/>
              </w:rPr>
              <w:instrText xml:space="preserve"> PAGEREF _Toc222585704 \h </w:instrText>
            </w:r>
            <w:r w:rsidR="009C7448" w:rsidRPr="00222F19">
              <w:rPr>
                <w:rFonts w:ascii="Arial" w:hAnsi="Arial" w:cs="Arial"/>
                <w:noProof/>
                <w:webHidden/>
                <w:sz w:val="22"/>
              </w:rPr>
            </w:r>
            <w:r w:rsidR="009C7448" w:rsidRPr="00222F19">
              <w:rPr>
                <w:rFonts w:ascii="Arial" w:hAnsi="Arial" w:cs="Arial"/>
                <w:noProof/>
                <w:webHidden/>
                <w:sz w:val="22"/>
              </w:rPr>
              <w:fldChar w:fldCharType="separate"/>
            </w:r>
            <w:r w:rsidR="009C7448" w:rsidRPr="00222F19">
              <w:rPr>
                <w:rFonts w:ascii="Arial" w:hAnsi="Arial" w:cs="Arial"/>
                <w:noProof/>
                <w:webHidden/>
                <w:sz w:val="22"/>
              </w:rPr>
              <w:t>3</w:t>
            </w:r>
            <w:r w:rsidR="009C7448" w:rsidRPr="00222F19">
              <w:rPr>
                <w:rFonts w:ascii="Arial" w:hAnsi="Arial" w:cs="Arial"/>
                <w:noProof/>
                <w:webHidden/>
                <w:sz w:val="22"/>
              </w:rPr>
              <w:fldChar w:fldCharType="end"/>
            </w:r>
          </w:hyperlink>
        </w:p>
        <w:p w14:paraId="72DF12AA" w14:textId="0D4ECE29" w:rsidR="009C7448" w:rsidRPr="00222F19" w:rsidRDefault="009C7448" w:rsidP="00222F19">
          <w:pPr>
            <w:pStyle w:val="TOC1"/>
            <w:tabs>
              <w:tab w:val="right" w:leader="dot" w:pos="9350"/>
            </w:tabs>
            <w:spacing w:line="360" w:lineRule="auto"/>
            <w:jc w:val="both"/>
            <w:rPr>
              <w:rFonts w:ascii="Arial" w:eastAsiaTheme="minorEastAsia" w:hAnsi="Arial" w:cs="Arial"/>
              <w:noProof/>
              <w:sz w:val="22"/>
              <w:lang w:eastAsia="en-GB"/>
            </w:rPr>
          </w:pPr>
          <w:hyperlink w:anchor="_Toc222585705" w:history="1">
            <w:r w:rsidRPr="00222F19">
              <w:rPr>
                <w:rStyle w:val="Hyperlink"/>
                <w:rFonts w:ascii="Arial" w:hAnsi="Arial" w:cs="Arial"/>
                <w:noProof/>
                <w:sz w:val="22"/>
              </w:rPr>
              <w:t>Classification of Panic Disorder</w:t>
            </w:r>
            <w:r w:rsidRPr="00222F19">
              <w:rPr>
                <w:rFonts w:ascii="Arial" w:hAnsi="Arial" w:cs="Arial"/>
                <w:noProof/>
                <w:webHidden/>
                <w:sz w:val="22"/>
              </w:rPr>
              <w:tab/>
            </w:r>
            <w:r w:rsidRPr="00222F19">
              <w:rPr>
                <w:rFonts w:ascii="Arial" w:hAnsi="Arial" w:cs="Arial"/>
                <w:noProof/>
                <w:webHidden/>
                <w:sz w:val="22"/>
              </w:rPr>
              <w:fldChar w:fldCharType="begin"/>
            </w:r>
            <w:r w:rsidRPr="00222F19">
              <w:rPr>
                <w:rFonts w:ascii="Arial" w:hAnsi="Arial" w:cs="Arial"/>
                <w:noProof/>
                <w:webHidden/>
                <w:sz w:val="22"/>
              </w:rPr>
              <w:instrText xml:space="preserve"> PAGEREF _Toc222585705 \h </w:instrText>
            </w:r>
            <w:r w:rsidRPr="00222F19">
              <w:rPr>
                <w:rFonts w:ascii="Arial" w:hAnsi="Arial" w:cs="Arial"/>
                <w:noProof/>
                <w:webHidden/>
                <w:sz w:val="22"/>
              </w:rPr>
            </w:r>
            <w:r w:rsidRPr="00222F19">
              <w:rPr>
                <w:rFonts w:ascii="Arial" w:hAnsi="Arial" w:cs="Arial"/>
                <w:noProof/>
                <w:webHidden/>
                <w:sz w:val="22"/>
              </w:rPr>
              <w:fldChar w:fldCharType="separate"/>
            </w:r>
            <w:r w:rsidRPr="00222F19">
              <w:rPr>
                <w:rFonts w:ascii="Arial" w:hAnsi="Arial" w:cs="Arial"/>
                <w:noProof/>
                <w:webHidden/>
                <w:sz w:val="22"/>
              </w:rPr>
              <w:t>3</w:t>
            </w:r>
            <w:r w:rsidRPr="00222F19">
              <w:rPr>
                <w:rFonts w:ascii="Arial" w:hAnsi="Arial" w:cs="Arial"/>
                <w:noProof/>
                <w:webHidden/>
                <w:sz w:val="22"/>
              </w:rPr>
              <w:fldChar w:fldCharType="end"/>
            </w:r>
          </w:hyperlink>
        </w:p>
        <w:p w14:paraId="72DBEDA1" w14:textId="5F07D6CB" w:rsidR="009C7448" w:rsidRPr="00222F19" w:rsidRDefault="009C7448" w:rsidP="00222F19">
          <w:pPr>
            <w:pStyle w:val="TOC1"/>
            <w:tabs>
              <w:tab w:val="right" w:leader="dot" w:pos="9350"/>
            </w:tabs>
            <w:spacing w:line="360" w:lineRule="auto"/>
            <w:jc w:val="both"/>
            <w:rPr>
              <w:rFonts w:ascii="Arial" w:eastAsiaTheme="minorEastAsia" w:hAnsi="Arial" w:cs="Arial"/>
              <w:noProof/>
              <w:sz w:val="22"/>
              <w:lang w:eastAsia="en-GB"/>
            </w:rPr>
          </w:pPr>
          <w:hyperlink w:anchor="_Toc222585706" w:history="1">
            <w:r w:rsidRPr="00222F19">
              <w:rPr>
                <w:rStyle w:val="Hyperlink"/>
                <w:rFonts w:ascii="Arial" w:hAnsi="Arial" w:cs="Arial"/>
                <w:noProof/>
                <w:sz w:val="22"/>
              </w:rPr>
              <w:t>Diagnosis of Panic Disorder</w:t>
            </w:r>
            <w:r w:rsidRPr="00222F19">
              <w:rPr>
                <w:rFonts w:ascii="Arial" w:hAnsi="Arial" w:cs="Arial"/>
                <w:noProof/>
                <w:webHidden/>
                <w:sz w:val="22"/>
              </w:rPr>
              <w:tab/>
            </w:r>
            <w:r w:rsidRPr="00222F19">
              <w:rPr>
                <w:rFonts w:ascii="Arial" w:hAnsi="Arial" w:cs="Arial"/>
                <w:noProof/>
                <w:webHidden/>
                <w:sz w:val="22"/>
              </w:rPr>
              <w:fldChar w:fldCharType="begin"/>
            </w:r>
            <w:r w:rsidRPr="00222F19">
              <w:rPr>
                <w:rFonts w:ascii="Arial" w:hAnsi="Arial" w:cs="Arial"/>
                <w:noProof/>
                <w:webHidden/>
                <w:sz w:val="22"/>
              </w:rPr>
              <w:instrText xml:space="preserve"> PAGEREF _Toc222585706 \h </w:instrText>
            </w:r>
            <w:r w:rsidRPr="00222F19">
              <w:rPr>
                <w:rFonts w:ascii="Arial" w:hAnsi="Arial" w:cs="Arial"/>
                <w:noProof/>
                <w:webHidden/>
                <w:sz w:val="22"/>
              </w:rPr>
            </w:r>
            <w:r w:rsidRPr="00222F19">
              <w:rPr>
                <w:rFonts w:ascii="Arial" w:hAnsi="Arial" w:cs="Arial"/>
                <w:noProof/>
                <w:webHidden/>
                <w:sz w:val="22"/>
              </w:rPr>
              <w:fldChar w:fldCharType="separate"/>
            </w:r>
            <w:r w:rsidRPr="00222F19">
              <w:rPr>
                <w:rFonts w:ascii="Arial" w:hAnsi="Arial" w:cs="Arial"/>
                <w:noProof/>
                <w:webHidden/>
                <w:sz w:val="22"/>
              </w:rPr>
              <w:t>4</w:t>
            </w:r>
            <w:r w:rsidRPr="00222F19">
              <w:rPr>
                <w:rFonts w:ascii="Arial" w:hAnsi="Arial" w:cs="Arial"/>
                <w:noProof/>
                <w:webHidden/>
                <w:sz w:val="22"/>
              </w:rPr>
              <w:fldChar w:fldCharType="end"/>
            </w:r>
          </w:hyperlink>
        </w:p>
        <w:p w14:paraId="7A382CA6" w14:textId="39C0A421" w:rsidR="009C7448" w:rsidRPr="00222F19" w:rsidRDefault="009C7448" w:rsidP="00222F19">
          <w:pPr>
            <w:pStyle w:val="TOC1"/>
            <w:tabs>
              <w:tab w:val="right" w:leader="dot" w:pos="9350"/>
            </w:tabs>
            <w:spacing w:line="360" w:lineRule="auto"/>
            <w:jc w:val="both"/>
            <w:rPr>
              <w:rFonts w:ascii="Arial" w:eastAsiaTheme="minorEastAsia" w:hAnsi="Arial" w:cs="Arial"/>
              <w:noProof/>
              <w:sz w:val="22"/>
              <w:lang w:eastAsia="en-GB"/>
            </w:rPr>
          </w:pPr>
          <w:hyperlink w:anchor="_Toc222585707" w:history="1">
            <w:r w:rsidRPr="00222F19">
              <w:rPr>
                <w:rStyle w:val="Hyperlink"/>
                <w:rFonts w:ascii="Arial" w:hAnsi="Arial" w:cs="Arial"/>
                <w:noProof/>
                <w:sz w:val="22"/>
              </w:rPr>
              <w:t>Treatment Approaches</w:t>
            </w:r>
            <w:r w:rsidRPr="00222F19">
              <w:rPr>
                <w:rFonts w:ascii="Arial" w:hAnsi="Arial" w:cs="Arial"/>
                <w:noProof/>
                <w:webHidden/>
                <w:sz w:val="22"/>
              </w:rPr>
              <w:tab/>
            </w:r>
            <w:r w:rsidRPr="00222F19">
              <w:rPr>
                <w:rFonts w:ascii="Arial" w:hAnsi="Arial" w:cs="Arial"/>
                <w:noProof/>
                <w:webHidden/>
                <w:sz w:val="22"/>
              </w:rPr>
              <w:fldChar w:fldCharType="begin"/>
            </w:r>
            <w:r w:rsidRPr="00222F19">
              <w:rPr>
                <w:rFonts w:ascii="Arial" w:hAnsi="Arial" w:cs="Arial"/>
                <w:noProof/>
                <w:webHidden/>
                <w:sz w:val="22"/>
              </w:rPr>
              <w:instrText xml:space="preserve"> PAGEREF _Toc222585707 \h </w:instrText>
            </w:r>
            <w:r w:rsidRPr="00222F19">
              <w:rPr>
                <w:rFonts w:ascii="Arial" w:hAnsi="Arial" w:cs="Arial"/>
                <w:noProof/>
                <w:webHidden/>
                <w:sz w:val="22"/>
              </w:rPr>
            </w:r>
            <w:r w:rsidRPr="00222F19">
              <w:rPr>
                <w:rFonts w:ascii="Arial" w:hAnsi="Arial" w:cs="Arial"/>
                <w:noProof/>
                <w:webHidden/>
                <w:sz w:val="22"/>
              </w:rPr>
              <w:fldChar w:fldCharType="separate"/>
            </w:r>
            <w:r w:rsidRPr="00222F19">
              <w:rPr>
                <w:rFonts w:ascii="Arial" w:hAnsi="Arial" w:cs="Arial"/>
                <w:noProof/>
                <w:webHidden/>
                <w:sz w:val="22"/>
              </w:rPr>
              <w:t>4</w:t>
            </w:r>
            <w:r w:rsidRPr="00222F19">
              <w:rPr>
                <w:rFonts w:ascii="Arial" w:hAnsi="Arial" w:cs="Arial"/>
                <w:noProof/>
                <w:webHidden/>
                <w:sz w:val="22"/>
              </w:rPr>
              <w:fldChar w:fldCharType="end"/>
            </w:r>
          </w:hyperlink>
        </w:p>
        <w:p w14:paraId="5815E38D" w14:textId="524FD745" w:rsidR="009C7448" w:rsidRPr="00222F19" w:rsidRDefault="009C7448" w:rsidP="00222F19">
          <w:pPr>
            <w:pStyle w:val="TOC1"/>
            <w:tabs>
              <w:tab w:val="right" w:leader="dot" w:pos="9350"/>
            </w:tabs>
            <w:spacing w:line="360" w:lineRule="auto"/>
            <w:jc w:val="both"/>
            <w:rPr>
              <w:rFonts w:ascii="Arial" w:eastAsiaTheme="minorEastAsia" w:hAnsi="Arial" w:cs="Arial"/>
              <w:noProof/>
              <w:sz w:val="22"/>
              <w:lang w:eastAsia="en-GB"/>
            </w:rPr>
          </w:pPr>
          <w:hyperlink w:anchor="_Toc222585708" w:history="1">
            <w:r w:rsidRPr="00222F19">
              <w:rPr>
                <w:rStyle w:val="Hyperlink"/>
                <w:rFonts w:ascii="Arial" w:hAnsi="Arial" w:cs="Arial"/>
                <w:noProof/>
                <w:sz w:val="22"/>
              </w:rPr>
              <w:t>Current Debates and Emerging Issues</w:t>
            </w:r>
            <w:r w:rsidRPr="00222F19">
              <w:rPr>
                <w:rFonts w:ascii="Arial" w:hAnsi="Arial" w:cs="Arial"/>
                <w:noProof/>
                <w:webHidden/>
                <w:sz w:val="22"/>
              </w:rPr>
              <w:tab/>
            </w:r>
            <w:r w:rsidRPr="00222F19">
              <w:rPr>
                <w:rFonts w:ascii="Arial" w:hAnsi="Arial" w:cs="Arial"/>
                <w:noProof/>
                <w:webHidden/>
                <w:sz w:val="22"/>
              </w:rPr>
              <w:fldChar w:fldCharType="begin"/>
            </w:r>
            <w:r w:rsidRPr="00222F19">
              <w:rPr>
                <w:rFonts w:ascii="Arial" w:hAnsi="Arial" w:cs="Arial"/>
                <w:noProof/>
                <w:webHidden/>
                <w:sz w:val="22"/>
              </w:rPr>
              <w:instrText xml:space="preserve"> PAGEREF _Toc222585708 \h </w:instrText>
            </w:r>
            <w:r w:rsidRPr="00222F19">
              <w:rPr>
                <w:rFonts w:ascii="Arial" w:hAnsi="Arial" w:cs="Arial"/>
                <w:noProof/>
                <w:webHidden/>
                <w:sz w:val="22"/>
              </w:rPr>
            </w:r>
            <w:r w:rsidRPr="00222F19">
              <w:rPr>
                <w:rFonts w:ascii="Arial" w:hAnsi="Arial" w:cs="Arial"/>
                <w:noProof/>
                <w:webHidden/>
                <w:sz w:val="22"/>
              </w:rPr>
              <w:fldChar w:fldCharType="separate"/>
            </w:r>
            <w:r w:rsidRPr="00222F19">
              <w:rPr>
                <w:rFonts w:ascii="Arial" w:hAnsi="Arial" w:cs="Arial"/>
                <w:noProof/>
                <w:webHidden/>
                <w:sz w:val="22"/>
              </w:rPr>
              <w:t>5</w:t>
            </w:r>
            <w:r w:rsidRPr="00222F19">
              <w:rPr>
                <w:rFonts w:ascii="Arial" w:hAnsi="Arial" w:cs="Arial"/>
                <w:noProof/>
                <w:webHidden/>
                <w:sz w:val="22"/>
              </w:rPr>
              <w:fldChar w:fldCharType="end"/>
            </w:r>
          </w:hyperlink>
        </w:p>
        <w:p w14:paraId="5AC76CD1" w14:textId="646F7A76" w:rsidR="009C7448" w:rsidRPr="00222F19" w:rsidRDefault="009C7448" w:rsidP="00222F19">
          <w:pPr>
            <w:pStyle w:val="TOC1"/>
            <w:tabs>
              <w:tab w:val="right" w:leader="dot" w:pos="9350"/>
            </w:tabs>
            <w:spacing w:line="360" w:lineRule="auto"/>
            <w:jc w:val="both"/>
            <w:rPr>
              <w:rFonts w:ascii="Arial" w:eastAsiaTheme="minorEastAsia" w:hAnsi="Arial" w:cs="Arial"/>
              <w:noProof/>
              <w:sz w:val="22"/>
              <w:lang w:eastAsia="en-GB"/>
            </w:rPr>
          </w:pPr>
          <w:hyperlink w:anchor="_Toc222585709" w:history="1">
            <w:r w:rsidRPr="00222F19">
              <w:rPr>
                <w:rStyle w:val="Hyperlink"/>
                <w:rFonts w:ascii="Arial" w:hAnsi="Arial" w:cs="Arial"/>
                <w:noProof/>
                <w:sz w:val="22"/>
              </w:rPr>
              <w:t>Recommendations</w:t>
            </w:r>
            <w:r w:rsidRPr="00222F19">
              <w:rPr>
                <w:rFonts w:ascii="Arial" w:hAnsi="Arial" w:cs="Arial"/>
                <w:noProof/>
                <w:webHidden/>
                <w:sz w:val="22"/>
              </w:rPr>
              <w:tab/>
            </w:r>
            <w:r w:rsidRPr="00222F19">
              <w:rPr>
                <w:rFonts w:ascii="Arial" w:hAnsi="Arial" w:cs="Arial"/>
                <w:noProof/>
                <w:webHidden/>
                <w:sz w:val="22"/>
              </w:rPr>
              <w:fldChar w:fldCharType="begin"/>
            </w:r>
            <w:r w:rsidRPr="00222F19">
              <w:rPr>
                <w:rFonts w:ascii="Arial" w:hAnsi="Arial" w:cs="Arial"/>
                <w:noProof/>
                <w:webHidden/>
                <w:sz w:val="22"/>
              </w:rPr>
              <w:instrText xml:space="preserve"> PAGEREF _Toc222585709 \h </w:instrText>
            </w:r>
            <w:r w:rsidRPr="00222F19">
              <w:rPr>
                <w:rFonts w:ascii="Arial" w:hAnsi="Arial" w:cs="Arial"/>
                <w:noProof/>
                <w:webHidden/>
                <w:sz w:val="22"/>
              </w:rPr>
            </w:r>
            <w:r w:rsidRPr="00222F19">
              <w:rPr>
                <w:rFonts w:ascii="Arial" w:hAnsi="Arial" w:cs="Arial"/>
                <w:noProof/>
                <w:webHidden/>
                <w:sz w:val="22"/>
              </w:rPr>
              <w:fldChar w:fldCharType="separate"/>
            </w:r>
            <w:r w:rsidRPr="00222F19">
              <w:rPr>
                <w:rFonts w:ascii="Arial" w:hAnsi="Arial" w:cs="Arial"/>
                <w:noProof/>
                <w:webHidden/>
                <w:sz w:val="22"/>
              </w:rPr>
              <w:t>7</w:t>
            </w:r>
            <w:r w:rsidRPr="00222F19">
              <w:rPr>
                <w:rFonts w:ascii="Arial" w:hAnsi="Arial" w:cs="Arial"/>
                <w:noProof/>
                <w:webHidden/>
                <w:sz w:val="22"/>
              </w:rPr>
              <w:fldChar w:fldCharType="end"/>
            </w:r>
          </w:hyperlink>
        </w:p>
        <w:p w14:paraId="2FA66A8A" w14:textId="4BD2C479" w:rsidR="009C7448" w:rsidRPr="00222F19" w:rsidRDefault="009C7448" w:rsidP="00222F19">
          <w:pPr>
            <w:pStyle w:val="TOC1"/>
            <w:tabs>
              <w:tab w:val="right" w:leader="dot" w:pos="9350"/>
            </w:tabs>
            <w:spacing w:line="360" w:lineRule="auto"/>
            <w:jc w:val="both"/>
            <w:rPr>
              <w:rFonts w:ascii="Arial" w:eastAsiaTheme="minorEastAsia" w:hAnsi="Arial" w:cs="Arial"/>
              <w:noProof/>
              <w:sz w:val="22"/>
              <w:lang w:eastAsia="en-GB"/>
            </w:rPr>
          </w:pPr>
          <w:hyperlink w:anchor="_Toc222585710" w:history="1">
            <w:r w:rsidRPr="00222F19">
              <w:rPr>
                <w:rStyle w:val="Hyperlink"/>
                <w:rFonts w:ascii="Arial" w:hAnsi="Arial" w:cs="Arial"/>
                <w:noProof/>
                <w:sz w:val="22"/>
              </w:rPr>
              <w:t>Conclusion</w:t>
            </w:r>
            <w:r w:rsidRPr="00222F19">
              <w:rPr>
                <w:rFonts w:ascii="Arial" w:hAnsi="Arial" w:cs="Arial"/>
                <w:noProof/>
                <w:webHidden/>
                <w:sz w:val="22"/>
              </w:rPr>
              <w:tab/>
            </w:r>
            <w:r w:rsidRPr="00222F19">
              <w:rPr>
                <w:rFonts w:ascii="Arial" w:hAnsi="Arial" w:cs="Arial"/>
                <w:noProof/>
                <w:webHidden/>
                <w:sz w:val="22"/>
              </w:rPr>
              <w:fldChar w:fldCharType="begin"/>
            </w:r>
            <w:r w:rsidRPr="00222F19">
              <w:rPr>
                <w:rFonts w:ascii="Arial" w:hAnsi="Arial" w:cs="Arial"/>
                <w:noProof/>
                <w:webHidden/>
                <w:sz w:val="22"/>
              </w:rPr>
              <w:instrText xml:space="preserve"> PAGEREF _Toc222585710 \h </w:instrText>
            </w:r>
            <w:r w:rsidRPr="00222F19">
              <w:rPr>
                <w:rFonts w:ascii="Arial" w:hAnsi="Arial" w:cs="Arial"/>
                <w:noProof/>
                <w:webHidden/>
                <w:sz w:val="22"/>
              </w:rPr>
            </w:r>
            <w:r w:rsidRPr="00222F19">
              <w:rPr>
                <w:rFonts w:ascii="Arial" w:hAnsi="Arial" w:cs="Arial"/>
                <w:noProof/>
                <w:webHidden/>
                <w:sz w:val="22"/>
              </w:rPr>
              <w:fldChar w:fldCharType="separate"/>
            </w:r>
            <w:r w:rsidRPr="00222F19">
              <w:rPr>
                <w:rFonts w:ascii="Arial" w:hAnsi="Arial" w:cs="Arial"/>
                <w:noProof/>
                <w:webHidden/>
                <w:sz w:val="22"/>
              </w:rPr>
              <w:t>7</w:t>
            </w:r>
            <w:r w:rsidRPr="00222F19">
              <w:rPr>
                <w:rFonts w:ascii="Arial" w:hAnsi="Arial" w:cs="Arial"/>
                <w:noProof/>
                <w:webHidden/>
                <w:sz w:val="22"/>
              </w:rPr>
              <w:fldChar w:fldCharType="end"/>
            </w:r>
          </w:hyperlink>
        </w:p>
        <w:p w14:paraId="1E51F718" w14:textId="73120F7E" w:rsidR="009C7448" w:rsidRPr="00222F19" w:rsidRDefault="009C7448" w:rsidP="00222F19">
          <w:pPr>
            <w:pStyle w:val="TOC1"/>
            <w:tabs>
              <w:tab w:val="right" w:leader="dot" w:pos="9350"/>
            </w:tabs>
            <w:spacing w:line="360" w:lineRule="auto"/>
            <w:jc w:val="both"/>
            <w:rPr>
              <w:rFonts w:ascii="Arial" w:eastAsiaTheme="minorEastAsia" w:hAnsi="Arial" w:cs="Arial"/>
              <w:noProof/>
              <w:sz w:val="22"/>
              <w:lang w:eastAsia="en-GB"/>
            </w:rPr>
          </w:pPr>
          <w:hyperlink w:anchor="_Toc222585711" w:history="1">
            <w:r w:rsidRPr="00222F19">
              <w:rPr>
                <w:rStyle w:val="Hyperlink"/>
                <w:rFonts w:ascii="Arial" w:hAnsi="Arial" w:cs="Arial"/>
                <w:noProof/>
                <w:sz w:val="22"/>
              </w:rPr>
              <w:t>References</w:t>
            </w:r>
            <w:r w:rsidRPr="00222F19">
              <w:rPr>
                <w:rFonts w:ascii="Arial" w:hAnsi="Arial" w:cs="Arial"/>
                <w:noProof/>
                <w:webHidden/>
                <w:sz w:val="22"/>
              </w:rPr>
              <w:tab/>
            </w:r>
            <w:r w:rsidRPr="00222F19">
              <w:rPr>
                <w:rFonts w:ascii="Arial" w:hAnsi="Arial" w:cs="Arial"/>
                <w:noProof/>
                <w:webHidden/>
                <w:sz w:val="22"/>
              </w:rPr>
              <w:fldChar w:fldCharType="begin"/>
            </w:r>
            <w:r w:rsidRPr="00222F19">
              <w:rPr>
                <w:rFonts w:ascii="Arial" w:hAnsi="Arial" w:cs="Arial"/>
                <w:noProof/>
                <w:webHidden/>
                <w:sz w:val="22"/>
              </w:rPr>
              <w:instrText xml:space="preserve"> PAGEREF _Toc222585711 \h </w:instrText>
            </w:r>
            <w:r w:rsidRPr="00222F19">
              <w:rPr>
                <w:rFonts w:ascii="Arial" w:hAnsi="Arial" w:cs="Arial"/>
                <w:noProof/>
                <w:webHidden/>
                <w:sz w:val="22"/>
              </w:rPr>
            </w:r>
            <w:r w:rsidRPr="00222F19">
              <w:rPr>
                <w:rFonts w:ascii="Arial" w:hAnsi="Arial" w:cs="Arial"/>
                <w:noProof/>
                <w:webHidden/>
                <w:sz w:val="22"/>
              </w:rPr>
              <w:fldChar w:fldCharType="separate"/>
            </w:r>
            <w:r w:rsidRPr="00222F19">
              <w:rPr>
                <w:rFonts w:ascii="Arial" w:hAnsi="Arial" w:cs="Arial"/>
                <w:noProof/>
                <w:webHidden/>
                <w:sz w:val="22"/>
              </w:rPr>
              <w:t>8</w:t>
            </w:r>
            <w:r w:rsidRPr="00222F19">
              <w:rPr>
                <w:rFonts w:ascii="Arial" w:hAnsi="Arial" w:cs="Arial"/>
                <w:noProof/>
                <w:webHidden/>
                <w:sz w:val="22"/>
              </w:rPr>
              <w:fldChar w:fldCharType="end"/>
            </w:r>
          </w:hyperlink>
        </w:p>
        <w:p w14:paraId="709E8C01" w14:textId="31525BE7" w:rsidR="00110846" w:rsidRPr="00222F19" w:rsidRDefault="00216E09" w:rsidP="00222F19">
          <w:pPr>
            <w:spacing w:line="360" w:lineRule="auto"/>
            <w:jc w:val="both"/>
            <w:rPr>
              <w:rFonts w:ascii="Arial" w:hAnsi="Arial" w:cs="Arial"/>
              <w:sz w:val="22"/>
            </w:rPr>
          </w:pPr>
          <w:r w:rsidRPr="00222F19">
            <w:rPr>
              <w:rFonts w:ascii="Arial" w:hAnsi="Arial" w:cs="Arial"/>
              <w:b/>
              <w:bCs/>
              <w:noProof/>
              <w:sz w:val="22"/>
            </w:rPr>
            <w:fldChar w:fldCharType="end"/>
          </w:r>
        </w:p>
      </w:sdtContent>
    </w:sdt>
    <w:p w14:paraId="28E65B3B" w14:textId="77777777" w:rsidR="007A2C72" w:rsidRPr="00222F19" w:rsidRDefault="007A2C72" w:rsidP="00222F19">
      <w:pPr>
        <w:spacing w:line="360" w:lineRule="auto"/>
        <w:jc w:val="both"/>
        <w:rPr>
          <w:rFonts w:ascii="Arial" w:hAnsi="Arial" w:cs="Arial"/>
          <w:sz w:val="22"/>
        </w:rPr>
      </w:pPr>
    </w:p>
    <w:p w14:paraId="47DFB2FF" w14:textId="77777777" w:rsidR="007A2C72" w:rsidRPr="00222F19" w:rsidRDefault="007A2C72" w:rsidP="00222F19">
      <w:pPr>
        <w:spacing w:line="360" w:lineRule="auto"/>
        <w:jc w:val="both"/>
        <w:rPr>
          <w:rFonts w:ascii="Arial" w:hAnsi="Arial" w:cs="Arial"/>
          <w:sz w:val="22"/>
        </w:rPr>
      </w:pPr>
    </w:p>
    <w:p w14:paraId="52CF3F1D" w14:textId="73B51FDC" w:rsidR="00F97ECE" w:rsidRPr="00222F19" w:rsidRDefault="00216E09" w:rsidP="00222F19">
      <w:pPr>
        <w:spacing w:line="360" w:lineRule="auto"/>
        <w:jc w:val="both"/>
        <w:rPr>
          <w:rFonts w:ascii="Arial" w:hAnsi="Arial" w:cs="Arial"/>
          <w:sz w:val="22"/>
        </w:rPr>
      </w:pPr>
      <w:r w:rsidRPr="00222F19">
        <w:rPr>
          <w:rFonts w:ascii="Arial" w:hAnsi="Arial" w:cs="Arial"/>
          <w:sz w:val="22"/>
        </w:rPr>
        <w:br w:type="page"/>
      </w:r>
    </w:p>
    <w:p w14:paraId="1977E73D" w14:textId="4533DE4E" w:rsidR="007E771B" w:rsidRPr="00222F19" w:rsidRDefault="00216E09" w:rsidP="00222F19">
      <w:pPr>
        <w:pStyle w:val="Heading1"/>
        <w:spacing w:line="360" w:lineRule="auto"/>
        <w:jc w:val="both"/>
        <w:rPr>
          <w:rFonts w:ascii="Arial" w:hAnsi="Arial" w:cs="Arial"/>
          <w:sz w:val="22"/>
          <w:szCs w:val="22"/>
        </w:rPr>
      </w:pPr>
      <w:bookmarkStart w:id="0" w:name="_Toc222585704"/>
      <w:r w:rsidRPr="00222F19">
        <w:rPr>
          <w:rFonts w:ascii="Arial" w:hAnsi="Arial" w:cs="Arial"/>
          <w:sz w:val="22"/>
          <w:szCs w:val="22"/>
        </w:rPr>
        <w:lastRenderedPageBreak/>
        <w:t>Introduction</w:t>
      </w:r>
      <w:bookmarkEnd w:id="0"/>
    </w:p>
    <w:p w14:paraId="3FF93C72" w14:textId="30CB2C77" w:rsidR="009830BE" w:rsidRPr="00222F19" w:rsidRDefault="00216E09" w:rsidP="00222F19">
      <w:pPr>
        <w:spacing w:line="360" w:lineRule="auto"/>
        <w:jc w:val="both"/>
        <w:rPr>
          <w:rFonts w:ascii="Arial" w:hAnsi="Arial" w:cs="Arial"/>
          <w:sz w:val="22"/>
          <w:highlight w:val="yellow"/>
        </w:rPr>
      </w:pPr>
      <w:r w:rsidRPr="00222F19">
        <w:rPr>
          <w:rFonts w:ascii="Arial" w:hAnsi="Arial" w:cs="Arial"/>
          <w:sz w:val="22"/>
        </w:rPr>
        <w:t>Mental and behavioural disorders are the category of conditions covered by the ICD-11 Chapter 6 and include a vast range of conditions that have a severe psychological, social, and occupational functioning effect and present a significant concern to human health throughout the world (</w:t>
      </w:r>
      <w:r w:rsidR="0050698C" w:rsidRPr="00222F19">
        <w:rPr>
          <w:rFonts w:ascii="Arial" w:hAnsi="Arial" w:cs="Arial"/>
          <w:sz w:val="22"/>
        </w:rPr>
        <w:t>World Health Organi</w:t>
      </w:r>
      <w:r w:rsidR="002D03E9" w:rsidRPr="00222F19">
        <w:rPr>
          <w:rFonts w:ascii="Arial" w:hAnsi="Arial" w:cs="Arial"/>
          <w:sz w:val="22"/>
        </w:rPr>
        <w:t>s</w:t>
      </w:r>
      <w:r w:rsidR="0050698C" w:rsidRPr="00222F19">
        <w:rPr>
          <w:rFonts w:ascii="Arial" w:hAnsi="Arial" w:cs="Arial"/>
          <w:sz w:val="22"/>
        </w:rPr>
        <w:t>ation, 2024</w:t>
      </w:r>
      <w:r w:rsidRPr="00222F19">
        <w:rPr>
          <w:rFonts w:ascii="Arial" w:hAnsi="Arial" w:cs="Arial"/>
          <w:sz w:val="22"/>
        </w:rPr>
        <w:t>). These conditions are not only significant contributors to human disease burden worldwide but also one of the most common conditions, anxiety disorders, which impact at least 264 million individuals worldwide (</w:t>
      </w:r>
      <w:r w:rsidR="00455C16" w:rsidRPr="00222F19">
        <w:rPr>
          <w:rFonts w:ascii="Arial" w:hAnsi="Arial" w:cs="Arial"/>
          <w:sz w:val="22"/>
        </w:rPr>
        <w:t>Javaid et al., 2023</w:t>
      </w:r>
      <w:r w:rsidRPr="00222F19">
        <w:rPr>
          <w:rFonts w:ascii="Arial" w:hAnsi="Arial" w:cs="Arial"/>
          <w:sz w:val="22"/>
        </w:rPr>
        <w:t xml:space="preserve">). Panic Disorder (ICD-11: 6B01) is defined as the frequent and unprecedented panic attacks that are accompanied by persistent fear of subsequent attacks and behavioural changes at their expense, including avoidance, and </w:t>
      </w:r>
      <w:r w:rsidR="00394899" w:rsidRPr="00222F19">
        <w:rPr>
          <w:rFonts w:ascii="Arial" w:hAnsi="Arial" w:cs="Arial"/>
          <w:sz w:val="22"/>
        </w:rPr>
        <w:t>can</w:t>
      </w:r>
      <w:r w:rsidRPr="00222F19">
        <w:rPr>
          <w:rFonts w:ascii="Arial" w:hAnsi="Arial" w:cs="Arial"/>
          <w:sz w:val="22"/>
        </w:rPr>
        <w:t xml:space="preserve"> have a substantial ability to deteriorate everyday functioning (</w:t>
      </w:r>
      <w:r w:rsidR="00AD16E8" w:rsidRPr="00222F19">
        <w:rPr>
          <w:rFonts w:ascii="Arial" w:hAnsi="Arial" w:cs="Arial"/>
          <w:sz w:val="22"/>
        </w:rPr>
        <w:t>Asmundson et al., 2024</w:t>
      </w:r>
      <w:r w:rsidRPr="00222F19">
        <w:rPr>
          <w:rFonts w:ascii="Arial" w:hAnsi="Arial" w:cs="Arial"/>
          <w:sz w:val="22"/>
        </w:rPr>
        <w:t>). Early identification and management of it is essential, as the disorder has been connected to comorbid depression, lower quality of life, and higher healthcare utilisation (</w:t>
      </w:r>
      <w:r w:rsidR="007224ED" w:rsidRPr="00222F19">
        <w:rPr>
          <w:rFonts w:ascii="Arial" w:hAnsi="Arial" w:cs="Arial"/>
          <w:sz w:val="22"/>
        </w:rPr>
        <w:t>Berk</w:t>
      </w:r>
      <w:r w:rsidR="00CC72C1" w:rsidRPr="00222F19">
        <w:rPr>
          <w:rFonts w:ascii="Arial" w:hAnsi="Arial" w:cs="Arial"/>
          <w:sz w:val="22"/>
        </w:rPr>
        <w:t xml:space="preserve"> et al., 2023</w:t>
      </w:r>
      <w:r w:rsidRPr="00222F19">
        <w:rPr>
          <w:rFonts w:ascii="Arial" w:hAnsi="Arial" w:cs="Arial"/>
          <w:sz w:val="22"/>
        </w:rPr>
        <w:t xml:space="preserve">). This report critically analyses Panic Disorder in terms of ICD-11, including its classification, diagnostics, evidence-based treatment options, rehabilitation interventions, and current controversies under the condition to deliver a more holistic and modern picture of the disorder. </w:t>
      </w:r>
    </w:p>
    <w:p w14:paraId="1D8FC757" w14:textId="77777777" w:rsidR="00506815" w:rsidRPr="00222F19" w:rsidRDefault="00506815" w:rsidP="00222F19">
      <w:pPr>
        <w:spacing w:line="360" w:lineRule="auto"/>
        <w:jc w:val="both"/>
        <w:rPr>
          <w:rFonts w:ascii="Arial" w:hAnsi="Arial" w:cs="Arial"/>
          <w:sz w:val="22"/>
        </w:rPr>
      </w:pPr>
    </w:p>
    <w:p w14:paraId="7E18EB3A" w14:textId="4C8C2AB9" w:rsidR="007E771B" w:rsidRPr="00222F19" w:rsidRDefault="00216E09" w:rsidP="00222F19">
      <w:pPr>
        <w:pStyle w:val="Heading1"/>
        <w:spacing w:line="360" w:lineRule="auto"/>
        <w:jc w:val="both"/>
        <w:rPr>
          <w:rFonts w:ascii="Arial" w:hAnsi="Arial" w:cs="Arial"/>
          <w:sz w:val="22"/>
          <w:szCs w:val="22"/>
        </w:rPr>
      </w:pPr>
      <w:bookmarkStart w:id="1" w:name="_Toc222585705"/>
      <w:r w:rsidRPr="00222F19">
        <w:rPr>
          <w:rFonts w:ascii="Arial" w:hAnsi="Arial" w:cs="Arial"/>
          <w:sz w:val="22"/>
          <w:szCs w:val="22"/>
        </w:rPr>
        <w:t>Classification of Panic Disorder</w:t>
      </w:r>
      <w:bookmarkEnd w:id="1"/>
    </w:p>
    <w:p w14:paraId="1ED0B217" w14:textId="05EB6C9C" w:rsidR="00C631B5" w:rsidRPr="00222F19" w:rsidRDefault="00216E09" w:rsidP="00222F19">
      <w:pPr>
        <w:spacing w:line="360" w:lineRule="auto"/>
        <w:jc w:val="both"/>
        <w:rPr>
          <w:rFonts w:ascii="Arial" w:hAnsi="Arial" w:cs="Arial"/>
          <w:sz w:val="22"/>
        </w:rPr>
      </w:pPr>
      <w:r w:rsidRPr="00222F19">
        <w:rPr>
          <w:rFonts w:ascii="Arial" w:hAnsi="Arial" w:cs="Arial"/>
          <w:sz w:val="22"/>
        </w:rPr>
        <w:t>Panic Disorder is assigned to Anxiety or Fear-Related Disorders (6B01) in ICD-11, which captures the main qualities of the condition, i.e., repetitive and unpredictable panic attacks and the fear of future onset (</w:t>
      </w:r>
      <w:r w:rsidR="00B37BFE" w:rsidRPr="00222F19">
        <w:rPr>
          <w:rFonts w:ascii="Arial" w:hAnsi="Arial" w:cs="Arial"/>
          <w:sz w:val="22"/>
        </w:rPr>
        <w:t>Kogan et al., 2024</w:t>
      </w:r>
      <w:r w:rsidRPr="00222F19">
        <w:rPr>
          <w:rFonts w:ascii="Arial" w:hAnsi="Arial" w:cs="Arial"/>
          <w:sz w:val="22"/>
        </w:rPr>
        <w:t>). The terminology summari</w:t>
      </w:r>
      <w:r w:rsidR="00D64EA9" w:rsidRPr="00222F19">
        <w:rPr>
          <w:rFonts w:ascii="Arial" w:hAnsi="Arial" w:cs="Arial"/>
          <w:sz w:val="22"/>
        </w:rPr>
        <w:t>s</w:t>
      </w:r>
      <w:r w:rsidRPr="00222F19">
        <w:rPr>
          <w:rFonts w:ascii="Arial" w:hAnsi="Arial" w:cs="Arial"/>
          <w:sz w:val="22"/>
        </w:rPr>
        <w:t>ation of disorder focuses on a clinically significant syndrome that leads to functional impairment, as opposed to fleeting or normative experiences of fear, which relies on the medical model of analysing identifiable dysfunction patterns (</w:t>
      </w:r>
      <w:r w:rsidR="00205C21" w:rsidRPr="00222F19">
        <w:rPr>
          <w:rFonts w:ascii="Arial" w:hAnsi="Arial" w:cs="Arial"/>
          <w:sz w:val="22"/>
        </w:rPr>
        <w:t>Milano et al., 2023</w:t>
      </w:r>
      <w:r w:rsidRPr="00222F19">
        <w:rPr>
          <w:rFonts w:ascii="Arial" w:hAnsi="Arial" w:cs="Arial"/>
          <w:sz w:val="22"/>
        </w:rPr>
        <w:t>). ICD-11 offers a more qualitative symptom delineation and includes functional impairment as a diagnosis criterion compared to ICD-10, which located panic disorder in Other anxiety disorders (F41.0) with weaker criteria that led to a better clinical specificity (</w:t>
      </w:r>
      <w:r w:rsidR="00C62FFF" w:rsidRPr="00222F19">
        <w:rPr>
          <w:rFonts w:ascii="Arial" w:hAnsi="Arial" w:cs="Arial"/>
          <w:sz w:val="22"/>
        </w:rPr>
        <w:t>McCoy, 2023).</w:t>
      </w:r>
      <w:r w:rsidRPr="00222F19">
        <w:rPr>
          <w:rFonts w:ascii="Arial" w:hAnsi="Arial" w:cs="Arial"/>
          <w:sz w:val="22"/>
        </w:rPr>
        <w:t xml:space="preserve"> Likewise, Panic Disorder is a separate anxiety disorder in DSM-5, which ICD-11 attempts to harmonise into a framework that will be globally applicable and help in reducing over-pathologisation (</w:t>
      </w:r>
      <w:r w:rsidR="00C77974" w:rsidRPr="00222F19">
        <w:rPr>
          <w:rFonts w:ascii="Arial" w:hAnsi="Arial" w:cs="Arial"/>
          <w:sz w:val="22"/>
        </w:rPr>
        <w:t>Domschke</w:t>
      </w:r>
      <w:r w:rsidR="00A974C8" w:rsidRPr="00222F19">
        <w:rPr>
          <w:rFonts w:ascii="Arial" w:hAnsi="Arial" w:cs="Arial"/>
          <w:sz w:val="22"/>
        </w:rPr>
        <w:t xml:space="preserve"> </w:t>
      </w:r>
      <w:r w:rsidR="00C77974" w:rsidRPr="00222F19">
        <w:rPr>
          <w:rFonts w:ascii="Arial" w:hAnsi="Arial" w:cs="Arial"/>
          <w:sz w:val="22"/>
        </w:rPr>
        <w:t>and Zwanzger, 2025</w:t>
      </w:r>
      <w:r w:rsidRPr="00222F19">
        <w:rPr>
          <w:rFonts w:ascii="Arial" w:hAnsi="Arial" w:cs="Arial"/>
          <w:sz w:val="22"/>
        </w:rPr>
        <w:t xml:space="preserve">). </w:t>
      </w:r>
    </w:p>
    <w:p w14:paraId="0CD58EF7" w14:textId="6545C3FB" w:rsidR="00944D3C" w:rsidRPr="00222F19" w:rsidRDefault="00216E09" w:rsidP="00222F19">
      <w:pPr>
        <w:spacing w:line="360" w:lineRule="auto"/>
        <w:jc w:val="both"/>
        <w:rPr>
          <w:rFonts w:ascii="Arial" w:hAnsi="Arial" w:cs="Arial"/>
          <w:sz w:val="22"/>
        </w:rPr>
      </w:pPr>
      <w:r w:rsidRPr="00222F19">
        <w:rPr>
          <w:rFonts w:ascii="Arial" w:hAnsi="Arial" w:cs="Arial"/>
          <w:sz w:val="22"/>
        </w:rPr>
        <w:t xml:space="preserve">Controversies within classification are usually based on categorical versus dimensional approaches. Although ICD-11 holds on to a categorical model, whereby panic disorder is viewed </w:t>
      </w:r>
      <w:r w:rsidRPr="00222F19">
        <w:rPr>
          <w:rFonts w:ascii="Arial" w:hAnsi="Arial" w:cs="Arial"/>
          <w:sz w:val="22"/>
        </w:rPr>
        <w:lastRenderedPageBreak/>
        <w:t>as a discrete case, dimensional viewpoints propose persistent differences in clinical heterogeneity through the grading of severity, frequency, and comorbidity with other anxiety and depressive disorders (</w:t>
      </w:r>
      <w:r w:rsidR="001D5C06" w:rsidRPr="00222F19">
        <w:rPr>
          <w:rFonts w:ascii="Arial" w:hAnsi="Arial" w:cs="Arial"/>
          <w:sz w:val="22"/>
        </w:rPr>
        <w:t>Pan and Wang, 2024</w:t>
      </w:r>
      <w:r w:rsidRPr="00222F19">
        <w:rPr>
          <w:rFonts w:ascii="Arial" w:hAnsi="Arial" w:cs="Arial"/>
          <w:sz w:val="22"/>
        </w:rPr>
        <w:t>). The presence of similarity with agoraphobia, social anxiety, and generalised anxiety disorder is also a problem, which makes the process of typical differentiation more complicated and creates doubts about what defines these disorders (</w:t>
      </w:r>
      <w:r w:rsidR="00ED3152" w:rsidRPr="00222F19">
        <w:rPr>
          <w:rFonts w:ascii="Arial" w:hAnsi="Arial" w:cs="Arial"/>
          <w:sz w:val="22"/>
        </w:rPr>
        <w:t>Maged</w:t>
      </w:r>
      <w:r w:rsidR="001A4B59" w:rsidRPr="00222F19">
        <w:rPr>
          <w:rFonts w:ascii="Arial" w:hAnsi="Arial" w:cs="Arial"/>
          <w:sz w:val="22"/>
        </w:rPr>
        <w:t>,</w:t>
      </w:r>
      <w:r w:rsidR="00ED3152" w:rsidRPr="00222F19">
        <w:rPr>
          <w:rFonts w:ascii="Arial" w:hAnsi="Arial" w:cs="Arial"/>
          <w:sz w:val="22"/>
        </w:rPr>
        <w:t xml:space="preserve"> 2025</w:t>
      </w:r>
      <w:r w:rsidRPr="00222F19">
        <w:rPr>
          <w:rFonts w:ascii="Arial" w:hAnsi="Arial" w:cs="Arial"/>
          <w:sz w:val="22"/>
        </w:rPr>
        <w:t xml:space="preserve">). The discussions illuminate the dynamic nature of psychiatric classification and the necessity of further refinements to allow psychiatric classification to integrate clinical utility and empirical validity, accurate diagnosis, proper treatment planning, and effective practices of psychiatric classification in the practice of global mental health. </w:t>
      </w:r>
    </w:p>
    <w:p w14:paraId="1D0501E4" w14:textId="4D158D74" w:rsidR="007E771B" w:rsidRPr="00222F19" w:rsidRDefault="007E771B" w:rsidP="00222F19">
      <w:pPr>
        <w:spacing w:line="360" w:lineRule="auto"/>
        <w:jc w:val="both"/>
        <w:rPr>
          <w:rFonts w:ascii="Arial" w:hAnsi="Arial" w:cs="Arial"/>
          <w:sz w:val="22"/>
        </w:rPr>
      </w:pPr>
    </w:p>
    <w:p w14:paraId="5725A45D" w14:textId="203E260B" w:rsidR="007E771B" w:rsidRPr="00222F19" w:rsidRDefault="00216E09" w:rsidP="00222F19">
      <w:pPr>
        <w:pStyle w:val="Heading1"/>
        <w:spacing w:line="360" w:lineRule="auto"/>
        <w:jc w:val="both"/>
        <w:rPr>
          <w:rFonts w:ascii="Arial" w:hAnsi="Arial" w:cs="Arial"/>
          <w:sz w:val="22"/>
          <w:szCs w:val="22"/>
        </w:rPr>
      </w:pPr>
      <w:bookmarkStart w:id="2" w:name="_Toc222585706"/>
      <w:r w:rsidRPr="00222F19">
        <w:rPr>
          <w:rFonts w:ascii="Arial" w:hAnsi="Arial" w:cs="Arial"/>
          <w:sz w:val="22"/>
          <w:szCs w:val="22"/>
        </w:rPr>
        <w:t>Diagnosis of Panic Disorder</w:t>
      </w:r>
      <w:bookmarkEnd w:id="2"/>
    </w:p>
    <w:p w14:paraId="1FD130B2" w14:textId="041315C0" w:rsidR="00CB59D0" w:rsidRPr="00222F19" w:rsidRDefault="00216E09" w:rsidP="00222F19">
      <w:pPr>
        <w:spacing w:line="360" w:lineRule="auto"/>
        <w:jc w:val="both"/>
        <w:rPr>
          <w:rFonts w:ascii="Arial" w:hAnsi="Arial" w:cs="Arial"/>
          <w:sz w:val="22"/>
        </w:rPr>
      </w:pPr>
      <w:r w:rsidRPr="00222F19">
        <w:rPr>
          <w:rFonts w:ascii="Arial" w:hAnsi="Arial" w:cs="Arial"/>
          <w:sz w:val="22"/>
        </w:rPr>
        <w:t>According to ICD-11, Panic Disorder (6B01) is defined by a cluster of core manifestations: recurrent, unanticipated panic attacks, constant anticipatory anxiety of a repeat, behavioural change, which could include, but is not limited to, avoidance of situations thought to provoke it (</w:t>
      </w:r>
      <w:r w:rsidR="001A4B59" w:rsidRPr="00222F19">
        <w:rPr>
          <w:rFonts w:ascii="Arial" w:hAnsi="Arial" w:cs="Arial"/>
          <w:sz w:val="22"/>
        </w:rPr>
        <w:t>Grzech et al., 2025</w:t>
      </w:r>
      <w:r w:rsidRPr="00222F19">
        <w:rPr>
          <w:rFonts w:ascii="Arial" w:hAnsi="Arial" w:cs="Arial"/>
          <w:sz w:val="22"/>
        </w:rPr>
        <w:t>). To diagnos</w:t>
      </w:r>
      <w:r w:rsidR="00610D34" w:rsidRPr="00222F19">
        <w:rPr>
          <w:rFonts w:ascii="Arial" w:hAnsi="Arial" w:cs="Arial"/>
          <w:sz w:val="22"/>
        </w:rPr>
        <w:t>e</w:t>
      </w:r>
      <w:r w:rsidRPr="00222F19">
        <w:rPr>
          <w:rFonts w:ascii="Arial" w:hAnsi="Arial" w:cs="Arial"/>
          <w:sz w:val="22"/>
        </w:rPr>
        <w:t>, these symptoms must be associated with severe functional impairments in either of the three areas: social, occupational, or personal, which is what differentiates a clinical disorder from temporary occurrences of panic (</w:t>
      </w:r>
      <w:r w:rsidR="001A4B59" w:rsidRPr="00222F19">
        <w:rPr>
          <w:rFonts w:ascii="Arial" w:hAnsi="Arial" w:cs="Arial"/>
          <w:sz w:val="22"/>
        </w:rPr>
        <w:t>Tunnell et al., 2024</w:t>
      </w:r>
      <w:r w:rsidRPr="00222F19">
        <w:rPr>
          <w:rFonts w:ascii="Arial" w:hAnsi="Arial" w:cs="Arial"/>
          <w:sz w:val="22"/>
        </w:rPr>
        <w:t>). A systematic clinical interview and history-taking are usually the starting points of the evaluation procedure, supplemented by such valid measures as the Panic Disorder Severity Scale (PDSS), the GAD-7, or the PHQ-9, which quantifies how often and intensely the symptoms are (</w:t>
      </w:r>
      <w:r w:rsidR="00A4172F" w:rsidRPr="00222F19">
        <w:rPr>
          <w:rFonts w:ascii="Arial" w:hAnsi="Arial" w:cs="Arial"/>
          <w:sz w:val="22"/>
        </w:rPr>
        <w:t>Faro et al., 2025</w:t>
      </w:r>
      <w:r w:rsidRPr="00222F19">
        <w:rPr>
          <w:rFonts w:ascii="Arial" w:hAnsi="Arial" w:cs="Arial"/>
          <w:sz w:val="22"/>
        </w:rPr>
        <w:t>). Clinically meaningful malfunction is reflected in the term disorder in ICD-11, not something as simple as anxiety or a single panic attack, so it warrants special caution in application (</w:t>
      </w:r>
      <w:r w:rsidR="00A4172F" w:rsidRPr="00222F19">
        <w:rPr>
          <w:rFonts w:ascii="Arial" w:hAnsi="Arial" w:cs="Arial"/>
          <w:sz w:val="22"/>
        </w:rPr>
        <w:t>Lam and Hsu, 2024</w:t>
      </w:r>
      <w:r w:rsidRPr="00222F19">
        <w:rPr>
          <w:rFonts w:ascii="Arial" w:hAnsi="Arial" w:cs="Arial"/>
          <w:sz w:val="22"/>
        </w:rPr>
        <w:t xml:space="preserve">). </w:t>
      </w:r>
    </w:p>
    <w:p w14:paraId="2C59E4E2" w14:textId="3EF1F942" w:rsidR="001404DD" w:rsidRPr="00222F19" w:rsidRDefault="00216E09" w:rsidP="00222F19">
      <w:pPr>
        <w:spacing w:line="360" w:lineRule="auto"/>
        <w:jc w:val="both"/>
        <w:rPr>
          <w:rFonts w:ascii="Arial" w:hAnsi="Arial" w:cs="Arial"/>
          <w:sz w:val="22"/>
        </w:rPr>
      </w:pPr>
      <w:r w:rsidRPr="00222F19">
        <w:rPr>
          <w:rFonts w:ascii="Arial" w:hAnsi="Arial" w:cs="Arial"/>
          <w:sz w:val="22"/>
        </w:rPr>
        <w:t xml:space="preserve">Differential diagnosis is essential because panic-like symptoms </w:t>
      </w:r>
      <w:r w:rsidR="00394899" w:rsidRPr="00222F19">
        <w:rPr>
          <w:rFonts w:ascii="Arial" w:hAnsi="Arial" w:cs="Arial"/>
          <w:sz w:val="22"/>
        </w:rPr>
        <w:t>can</w:t>
      </w:r>
      <w:r w:rsidRPr="00222F19">
        <w:rPr>
          <w:rFonts w:ascii="Arial" w:hAnsi="Arial" w:cs="Arial"/>
          <w:sz w:val="22"/>
        </w:rPr>
        <w:t xml:space="preserve"> be confused with generalised anxiety disorder, agoraphobia, post-traumatic stress disorder, and cardiovascular disease, and substance-induced panic (</w:t>
      </w:r>
      <w:r w:rsidR="00727075" w:rsidRPr="00222F19">
        <w:rPr>
          <w:rFonts w:ascii="Arial" w:hAnsi="Arial" w:cs="Arial"/>
          <w:sz w:val="22"/>
        </w:rPr>
        <w:t>Moreland-Capuia et al., 2023</w:t>
      </w:r>
      <w:r w:rsidRPr="00222F19">
        <w:rPr>
          <w:rFonts w:ascii="Arial" w:hAnsi="Arial" w:cs="Arial"/>
          <w:sz w:val="22"/>
        </w:rPr>
        <w:t xml:space="preserve">). </w:t>
      </w:r>
      <w:r w:rsidR="00351397" w:rsidRPr="00222F19">
        <w:rPr>
          <w:rFonts w:ascii="Arial" w:hAnsi="Arial" w:cs="Arial"/>
          <w:sz w:val="22"/>
        </w:rPr>
        <w:t>For</w:t>
      </w:r>
      <w:r w:rsidRPr="00222F19">
        <w:rPr>
          <w:rFonts w:ascii="Arial" w:hAnsi="Arial" w:cs="Arial"/>
          <w:sz w:val="22"/>
        </w:rPr>
        <w:t xml:space="preserve"> example, chest pains and palpitations can also appear similar to a panic attack, but are an indication of heart pathology, and such a patient has to be examined carefully. Symptom reporting, however, is subjective in nature, and cultural differences </w:t>
      </w:r>
      <w:r w:rsidR="00394899" w:rsidRPr="00222F19">
        <w:rPr>
          <w:rFonts w:ascii="Arial" w:hAnsi="Arial" w:cs="Arial"/>
          <w:sz w:val="22"/>
        </w:rPr>
        <w:t>can</w:t>
      </w:r>
      <w:r w:rsidRPr="00222F19">
        <w:rPr>
          <w:rFonts w:ascii="Arial" w:hAnsi="Arial" w:cs="Arial"/>
          <w:sz w:val="22"/>
        </w:rPr>
        <w:t xml:space="preserve"> have a role to play in showing and understanding anxiety, which </w:t>
      </w:r>
      <w:r w:rsidR="00394899" w:rsidRPr="00222F19">
        <w:rPr>
          <w:rFonts w:ascii="Arial" w:hAnsi="Arial" w:cs="Arial"/>
          <w:sz w:val="22"/>
        </w:rPr>
        <w:t>can</w:t>
      </w:r>
      <w:r w:rsidRPr="00222F19">
        <w:rPr>
          <w:rFonts w:ascii="Arial" w:hAnsi="Arial" w:cs="Arial"/>
          <w:sz w:val="22"/>
        </w:rPr>
        <w:t xml:space="preserve"> result in the under-or overdiagnosis within a given population (</w:t>
      </w:r>
      <w:r w:rsidR="00247448" w:rsidRPr="00222F19">
        <w:rPr>
          <w:rFonts w:ascii="Arial" w:hAnsi="Arial" w:cs="Arial"/>
          <w:sz w:val="22"/>
        </w:rPr>
        <w:t>Dawson et al., 2023</w:t>
      </w:r>
      <w:r w:rsidRPr="00222F19">
        <w:rPr>
          <w:rFonts w:ascii="Arial" w:hAnsi="Arial" w:cs="Arial"/>
          <w:sz w:val="22"/>
        </w:rPr>
        <w:t xml:space="preserve">). Comorbid depression also complicates the aspect of differentiation since the two disorders </w:t>
      </w:r>
      <w:r w:rsidR="00394899" w:rsidRPr="00222F19">
        <w:rPr>
          <w:rFonts w:ascii="Arial" w:hAnsi="Arial" w:cs="Arial"/>
          <w:sz w:val="22"/>
        </w:rPr>
        <w:t>can</w:t>
      </w:r>
      <w:r w:rsidRPr="00222F19">
        <w:rPr>
          <w:rFonts w:ascii="Arial" w:hAnsi="Arial" w:cs="Arial"/>
          <w:sz w:val="22"/>
        </w:rPr>
        <w:t xml:space="preserve"> share cognitive and somatic elements (</w:t>
      </w:r>
      <w:r w:rsidR="00540916" w:rsidRPr="00222F19">
        <w:rPr>
          <w:rFonts w:ascii="Arial" w:hAnsi="Arial" w:cs="Arial"/>
          <w:sz w:val="22"/>
        </w:rPr>
        <w:t>Fanelli et al., 2025</w:t>
      </w:r>
      <w:r w:rsidRPr="00222F19">
        <w:rPr>
          <w:rFonts w:ascii="Arial" w:hAnsi="Arial" w:cs="Arial"/>
          <w:sz w:val="22"/>
        </w:rPr>
        <w:t xml:space="preserve">). These results support the idea that </w:t>
      </w:r>
      <w:r w:rsidRPr="00222F19">
        <w:rPr>
          <w:rFonts w:ascii="Arial" w:hAnsi="Arial" w:cs="Arial"/>
          <w:sz w:val="22"/>
        </w:rPr>
        <w:lastRenderedPageBreak/>
        <w:t xml:space="preserve">accurate, culturally sensitive measurement is needed to guarantee a proper diagnosis and a decent treatment plan to be used in Panic Disorder. </w:t>
      </w:r>
    </w:p>
    <w:p w14:paraId="5A1F779F" w14:textId="2DE53456" w:rsidR="007E771B" w:rsidRPr="00222F19" w:rsidRDefault="007E771B" w:rsidP="00222F19">
      <w:pPr>
        <w:spacing w:line="360" w:lineRule="auto"/>
        <w:jc w:val="both"/>
        <w:rPr>
          <w:rFonts w:ascii="Arial" w:hAnsi="Arial" w:cs="Arial"/>
          <w:sz w:val="22"/>
        </w:rPr>
      </w:pPr>
    </w:p>
    <w:p w14:paraId="5A9FBB39" w14:textId="11A32C23" w:rsidR="00010D2E" w:rsidRPr="00222F19" w:rsidRDefault="00216E09" w:rsidP="00222F19">
      <w:pPr>
        <w:pStyle w:val="Heading1"/>
        <w:spacing w:line="360" w:lineRule="auto"/>
        <w:jc w:val="both"/>
        <w:rPr>
          <w:rFonts w:ascii="Arial" w:hAnsi="Arial" w:cs="Arial"/>
          <w:sz w:val="22"/>
          <w:szCs w:val="22"/>
        </w:rPr>
      </w:pPr>
      <w:bookmarkStart w:id="3" w:name="_Toc222585707"/>
      <w:r w:rsidRPr="00222F19">
        <w:rPr>
          <w:rFonts w:ascii="Arial" w:hAnsi="Arial" w:cs="Arial"/>
          <w:sz w:val="22"/>
          <w:szCs w:val="22"/>
        </w:rPr>
        <w:t>Treatment Approaches</w:t>
      </w:r>
      <w:bookmarkEnd w:id="3"/>
    </w:p>
    <w:p w14:paraId="27776783" w14:textId="2B7C2005" w:rsidR="002B3D92" w:rsidRPr="00222F19" w:rsidRDefault="00216E09" w:rsidP="00222F19">
      <w:pPr>
        <w:spacing w:line="360" w:lineRule="auto"/>
        <w:jc w:val="both"/>
        <w:rPr>
          <w:rFonts w:ascii="Arial" w:hAnsi="Arial" w:cs="Arial"/>
          <w:sz w:val="22"/>
        </w:rPr>
      </w:pPr>
      <w:r w:rsidRPr="00222F19">
        <w:rPr>
          <w:rFonts w:ascii="Arial" w:hAnsi="Arial" w:cs="Arial"/>
          <w:sz w:val="22"/>
        </w:rPr>
        <w:t>The management of Panic Disorder is a combination of pharmacological and psychotherapies and usually depends on the severity of the symptoms, preference of the patient, and comorbidity. Selective serotonin reuptake inhibitors (SSRIs) like sertraline and paroxetine are generally regarded as a treatment option in the first line, and their effectiveness in the prevention of panic attacks and anticipatory anxiety is predictable (</w:t>
      </w:r>
      <w:r w:rsidR="00647D24" w:rsidRPr="00222F19">
        <w:rPr>
          <w:rFonts w:ascii="Arial" w:hAnsi="Arial" w:cs="Arial"/>
          <w:sz w:val="22"/>
        </w:rPr>
        <w:t>Gosmann et al., 2023</w:t>
      </w:r>
      <w:r w:rsidRPr="00222F19">
        <w:rPr>
          <w:rFonts w:ascii="Arial" w:hAnsi="Arial" w:cs="Arial"/>
          <w:sz w:val="22"/>
        </w:rPr>
        <w:t>). Even the serotonin-norepinephrine reuptake inhibitors (SNRI) such as venlafaxine are good medicine, especially in patients with co-occurring depression symptoms (</w:t>
      </w:r>
      <w:r w:rsidR="00745E18" w:rsidRPr="00222F19">
        <w:rPr>
          <w:rFonts w:ascii="Arial" w:hAnsi="Arial" w:cs="Arial"/>
          <w:sz w:val="22"/>
        </w:rPr>
        <w:t>Grego et al., 2025</w:t>
      </w:r>
      <w:r w:rsidRPr="00222F19">
        <w:rPr>
          <w:rFonts w:ascii="Arial" w:hAnsi="Arial" w:cs="Arial"/>
          <w:sz w:val="22"/>
        </w:rPr>
        <w:t xml:space="preserve">). Benzodiazepines are used when acute symptoms require management because of their quick anxiolytic action; however, their application is restricted by the risk of dependency, cognitive impairment, and withdrawal effects. Although pharmacotherapy is effective in the short-term, meta-analytic studies support the notion that in the long-term, the combination of medication and psychological interventions </w:t>
      </w:r>
      <w:r w:rsidR="00394899" w:rsidRPr="00222F19">
        <w:rPr>
          <w:rFonts w:ascii="Arial" w:hAnsi="Arial" w:cs="Arial"/>
          <w:sz w:val="22"/>
        </w:rPr>
        <w:t>can</w:t>
      </w:r>
      <w:r w:rsidRPr="00222F19">
        <w:rPr>
          <w:rFonts w:ascii="Arial" w:hAnsi="Arial" w:cs="Arial"/>
          <w:sz w:val="22"/>
        </w:rPr>
        <w:t xml:space="preserve"> be better, which points to the restrictions of pharmacological monotherapy (</w:t>
      </w:r>
      <w:r w:rsidR="00D27BFD" w:rsidRPr="00222F19">
        <w:rPr>
          <w:rFonts w:ascii="Arial" w:hAnsi="Arial" w:cs="Arial"/>
          <w:sz w:val="22"/>
        </w:rPr>
        <w:t>Cuijpers et al., 2023</w:t>
      </w:r>
      <w:r w:rsidRPr="00222F19">
        <w:rPr>
          <w:rFonts w:ascii="Arial" w:hAnsi="Arial" w:cs="Arial"/>
          <w:sz w:val="22"/>
        </w:rPr>
        <w:t xml:space="preserve">). </w:t>
      </w:r>
    </w:p>
    <w:p w14:paraId="18BBA60B" w14:textId="7B789A0F" w:rsidR="00535B21" w:rsidRPr="00222F19" w:rsidRDefault="00216E09" w:rsidP="00222F19">
      <w:pPr>
        <w:spacing w:line="360" w:lineRule="auto"/>
        <w:jc w:val="both"/>
        <w:rPr>
          <w:rFonts w:ascii="Arial" w:hAnsi="Arial" w:cs="Arial"/>
          <w:sz w:val="22"/>
        </w:rPr>
      </w:pPr>
      <w:r w:rsidRPr="00222F19">
        <w:rPr>
          <w:rFonts w:ascii="Arial" w:hAnsi="Arial" w:cs="Arial"/>
          <w:sz w:val="22"/>
        </w:rPr>
        <w:t xml:space="preserve">The use of psychological treatments is generally considered a foundation of long-term management. Cognitive Behavioural Therapy (CBT), which has interoceptive and situational exposure, </w:t>
      </w:r>
      <w:r w:rsidR="009B0D71" w:rsidRPr="00222F19">
        <w:rPr>
          <w:rFonts w:ascii="Arial" w:hAnsi="Arial" w:cs="Arial"/>
          <w:sz w:val="22"/>
        </w:rPr>
        <w:t xml:space="preserve">is evident </w:t>
      </w:r>
      <w:r w:rsidRPr="00222F19">
        <w:rPr>
          <w:rFonts w:ascii="Arial" w:hAnsi="Arial" w:cs="Arial"/>
          <w:sz w:val="22"/>
        </w:rPr>
        <w:t>to be highly effective in decreasing the frequency of panic attacks, avoidance behaviour, and anticipatory anxiety (</w:t>
      </w:r>
      <w:r w:rsidR="00771F28" w:rsidRPr="00222F19">
        <w:rPr>
          <w:rFonts w:ascii="Arial" w:hAnsi="Arial" w:cs="Arial"/>
          <w:sz w:val="22"/>
        </w:rPr>
        <w:t>Ghaffari 2025</w:t>
      </w:r>
      <w:r w:rsidRPr="00222F19">
        <w:rPr>
          <w:rFonts w:ascii="Arial" w:hAnsi="Arial" w:cs="Arial"/>
          <w:sz w:val="22"/>
        </w:rPr>
        <w:t>). Mindfulness-based therapies and acceptance-based approaches are becoming particularly prominent because the interventions, as support of a sort, are useful in the regulation of emotions and in the prevention of relapse. Recent RCTs support the lasting effect of CBT, and the risk of relapse remains considerably lower than the risk of relapse associated with pharmacotherapy (</w:t>
      </w:r>
      <w:r w:rsidR="00771F28" w:rsidRPr="00222F19">
        <w:rPr>
          <w:rFonts w:ascii="Arial" w:hAnsi="Arial" w:cs="Arial"/>
          <w:sz w:val="22"/>
        </w:rPr>
        <w:t>Levy et al., 2022</w:t>
      </w:r>
      <w:r w:rsidRPr="00222F19">
        <w:rPr>
          <w:rFonts w:ascii="Arial" w:hAnsi="Arial" w:cs="Arial"/>
          <w:sz w:val="22"/>
        </w:rPr>
        <w:t>). ICD-11 suggests rehabilitation interventions such as psychoeducation, self-management, and social or occupational assistance to maximise functional recovery (</w:t>
      </w:r>
      <w:r w:rsidR="00114C74" w:rsidRPr="00222F19">
        <w:rPr>
          <w:rFonts w:ascii="Arial" w:hAnsi="Arial" w:cs="Arial"/>
          <w:sz w:val="22"/>
        </w:rPr>
        <w:t>World Health Organi</w:t>
      </w:r>
      <w:r w:rsidR="00CB7603" w:rsidRPr="00222F19">
        <w:rPr>
          <w:rFonts w:ascii="Arial" w:hAnsi="Arial" w:cs="Arial"/>
          <w:sz w:val="22"/>
        </w:rPr>
        <w:t>s</w:t>
      </w:r>
      <w:r w:rsidR="00114C74" w:rsidRPr="00222F19">
        <w:rPr>
          <w:rFonts w:ascii="Arial" w:hAnsi="Arial" w:cs="Arial"/>
          <w:sz w:val="22"/>
        </w:rPr>
        <w:t>ation</w:t>
      </w:r>
      <w:r w:rsidRPr="00222F19">
        <w:rPr>
          <w:rFonts w:ascii="Arial" w:hAnsi="Arial" w:cs="Arial"/>
          <w:sz w:val="22"/>
        </w:rPr>
        <w:t>, 20</w:t>
      </w:r>
      <w:r w:rsidR="00114C74" w:rsidRPr="00222F19">
        <w:rPr>
          <w:rFonts w:ascii="Arial" w:hAnsi="Arial" w:cs="Arial"/>
          <w:sz w:val="22"/>
        </w:rPr>
        <w:t>26</w:t>
      </w:r>
      <w:r w:rsidRPr="00222F19">
        <w:rPr>
          <w:rFonts w:ascii="Arial" w:hAnsi="Arial" w:cs="Arial"/>
          <w:sz w:val="22"/>
        </w:rPr>
        <w:t>). The enhancement of insight and adherence is achieved through psychosomatic education, whereas with the help of structured self-management, which includes relaxation training and panic diaries, the coping process in the long-term is facilitated (</w:t>
      </w:r>
      <w:r w:rsidR="000A2A7A" w:rsidRPr="00222F19">
        <w:rPr>
          <w:rFonts w:ascii="Arial" w:hAnsi="Arial" w:cs="Arial"/>
          <w:sz w:val="22"/>
        </w:rPr>
        <w:t>Yazdani et al., 2025</w:t>
      </w:r>
      <w:r w:rsidRPr="00222F19">
        <w:rPr>
          <w:rFonts w:ascii="Arial" w:hAnsi="Arial" w:cs="Arial"/>
          <w:sz w:val="22"/>
        </w:rPr>
        <w:t xml:space="preserve">). Social and occupational rehabilitation aims to overcome functional </w:t>
      </w:r>
      <w:r w:rsidR="008D608B" w:rsidRPr="00222F19">
        <w:rPr>
          <w:rFonts w:ascii="Arial" w:hAnsi="Arial" w:cs="Arial"/>
          <w:sz w:val="22"/>
        </w:rPr>
        <w:t>impairment;</w:t>
      </w:r>
      <w:r w:rsidRPr="00222F19">
        <w:rPr>
          <w:rFonts w:ascii="Arial" w:hAnsi="Arial" w:cs="Arial"/>
          <w:sz w:val="22"/>
        </w:rPr>
        <w:t xml:space="preserve"> </w:t>
      </w:r>
      <w:r w:rsidR="00081F82" w:rsidRPr="00222F19">
        <w:rPr>
          <w:rFonts w:ascii="Arial" w:hAnsi="Arial" w:cs="Arial"/>
          <w:sz w:val="22"/>
        </w:rPr>
        <w:t>however,</w:t>
      </w:r>
      <w:r w:rsidR="002D7E4F" w:rsidRPr="00222F19">
        <w:rPr>
          <w:rFonts w:ascii="Arial" w:hAnsi="Arial" w:cs="Arial"/>
          <w:sz w:val="22"/>
        </w:rPr>
        <w:t xml:space="preserve"> </w:t>
      </w:r>
      <w:r w:rsidRPr="00222F19">
        <w:rPr>
          <w:rFonts w:ascii="Arial" w:hAnsi="Arial" w:cs="Arial"/>
          <w:sz w:val="22"/>
        </w:rPr>
        <w:t xml:space="preserve">it is still not available to most patients, especially in low-resource environments (Hofmann et al., 2010). </w:t>
      </w:r>
    </w:p>
    <w:p w14:paraId="6BA18EAA" w14:textId="58F93326" w:rsidR="00D70BC6" w:rsidRPr="00222F19" w:rsidRDefault="00216E09" w:rsidP="00222F19">
      <w:pPr>
        <w:spacing w:line="360" w:lineRule="auto"/>
        <w:jc w:val="both"/>
        <w:rPr>
          <w:rFonts w:ascii="Arial" w:hAnsi="Arial" w:cs="Arial"/>
          <w:sz w:val="22"/>
        </w:rPr>
      </w:pPr>
      <w:r w:rsidRPr="00222F19">
        <w:rPr>
          <w:rFonts w:ascii="Arial" w:hAnsi="Arial" w:cs="Arial"/>
          <w:sz w:val="22"/>
        </w:rPr>
        <w:lastRenderedPageBreak/>
        <w:t>Evolving methods are looking attractive to overcome these shortcomings. Yet, digital CBT systems, transdiagnostic interventions covering common questions of anxiety, and neurofeedback solutions offer a more scalable option (</w:t>
      </w:r>
      <w:r w:rsidR="000A2A7A" w:rsidRPr="00222F19">
        <w:rPr>
          <w:rFonts w:ascii="Arial" w:hAnsi="Arial" w:cs="Arial"/>
          <w:sz w:val="22"/>
        </w:rPr>
        <w:t>Ghaffari</w:t>
      </w:r>
      <w:r w:rsidR="00102B34" w:rsidRPr="00222F19">
        <w:rPr>
          <w:rFonts w:ascii="Arial" w:hAnsi="Arial" w:cs="Arial"/>
          <w:sz w:val="22"/>
        </w:rPr>
        <w:t>,</w:t>
      </w:r>
      <w:r w:rsidR="000A2A7A" w:rsidRPr="00222F19">
        <w:rPr>
          <w:rFonts w:ascii="Arial" w:hAnsi="Arial" w:cs="Arial"/>
          <w:sz w:val="22"/>
        </w:rPr>
        <w:t xml:space="preserve"> 2025</w:t>
      </w:r>
      <w:r w:rsidRPr="00222F19">
        <w:rPr>
          <w:rFonts w:ascii="Arial" w:hAnsi="Arial" w:cs="Arial"/>
          <w:sz w:val="22"/>
        </w:rPr>
        <w:t>). However, critics mention that the evidence of digital and neurofeedback techniques is still early, and these methods might not fully replace therapist-led therapies (</w:t>
      </w:r>
      <w:r w:rsidR="00362F8E" w:rsidRPr="00222F19">
        <w:rPr>
          <w:rFonts w:ascii="Arial" w:hAnsi="Arial" w:cs="Arial"/>
          <w:sz w:val="22"/>
        </w:rPr>
        <w:t>Miskowiak et al., 2022</w:t>
      </w:r>
      <w:r w:rsidRPr="00222F19">
        <w:rPr>
          <w:rFonts w:ascii="Arial" w:hAnsi="Arial" w:cs="Arial"/>
          <w:sz w:val="22"/>
        </w:rPr>
        <w:t xml:space="preserve">). Overall, treatment of panic disorder needs a multi-pronged treatment approach comprising pharmacological, psychological, and rehabilitative treatment with close attention to patient-specific considerations, treatment adherence, and long-term functional outcomes. Although traditional </w:t>
      </w:r>
      <w:r w:rsidR="00202087" w:rsidRPr="00222F19">
        <w:rPr>
          <w:rFonts w:ascii="Arial" w:hAnsi="Arial" w:cs="Arial"/>
          <w:sz w:val="22"/>
        </w:rPr>
        <w:t>models</w:t>
      </w:r>
      <w:r w:rsidRPr="00222F19">
        <w:rPr>
          <w:rFonts w:ascii="Arial" w:hAnsi="Arial" w:cs="Arial"/>
          <w:sz w:val="22"/>
        </w:rPr>
        <w:t xml:space="preserve"> are evidence-based, newer modalities promise an opportunity to increase access and improve customi</w:t>
      </w:r>
      <w:r w:rsidR="00D64EA9" w:rsidRPr="00222F19">
        <w:rPr>
          <w:rFonts w:ascii="Arial" w:hAnsi="Arial" w:cs="Arial"/>
          <w:sz w:val="22"/>
        </w:rPr>
        <w:t>s</w:t>
      </w:r>
      <w:r w:rsidRPr="00222F19">
        <w:rPr>
          <w:rFonts w:ascii="Arial" w:hAnsi="Arial" w:cs="Arial"/>
          <w:sz w:val="22"/>
        </w:rPr>
        <w:t xml:space="preserve">ation; nevertheless, there is a need to conduct more rigorous assessments. </w:t>
      </w:r>
    </w:p>
    <w:p w14:paraId="10AD9EE7" w14:textId="77777777" w:rsidR="00A46FF4" w:rsidRPr="00222F19" w:rsidRDefault="00A46FF4" w:rsidP="00222F19">
      <w:pPr>
        <w:spacing w:line="360" w:lineRule="auto"/>
        <w:jc w:val="both"/>
        <w:rPr>
          <w:rFonts w:ascii="Arial" w:hAnsi="Arial" w:cs="Arial"/>
          <w:sz w:val="22"/>
        </w:rPr>
      </w:pPr>
    </w:p>
    <w:p w14:paraId="769812A8" w14:textId="155AF16A" w:rsidR="007E771B" w:rsidRPr="00222F19" w:rsidRDefault="00216E09" w:rsidP="00222F19">
      <w:pPr>
        <w:pStyle w:val="Heading1"/>
        <w:spacing w:line="360" w:lineRule="auto"/>
        <w:jc w:val="both"/>
        <w:rPr>
          <w:rFonts w:ascii="Arial" w:hAnsi="Arial" w:cs="Arial"/>
          <w:sz w:val="22"/>
          <w:szCs w:val="22"/>
        </w:rPr>
      </w:pPr>
      <w:bookmarkStart w:id="4" w:name="_Toc222585708"/>
      <w:r w:rsidRPr="00222F19">
        <w:rPr>
          <w:rFonts w:ascii="Arial" w:hAnsi="Arial" w:cs="Arial"/>
          <w:sz w:val="22"/>
          <w:szCs w:val="22"/>
        </w:rPr>
        <w:t>Current Debates and Emerging Issues</w:t>
      </w:r>
      <w:bookmarkEnd w:id="4"/>
    </w:p>
    <w:p w14:paraId="696FD069" w14:textId="16582F61" w:rsidR="008F38F0" w:rsidRPr="00222F19" w:rsidRDefault="00216E09" w:rsidP="00222F19">
      <w:pPr>
        <w:spacing w:line="360" w:lineRule="auto"/>
        <w:jc w:val="both"/>
        <w:rPr>
          <w:rFonts w:ascii="Arial" w:hAnsi="Arial" w:cs="Arial"/>
          <w:sz w:val="22"/>
        </w:rPr>
      </w:pPr>
      <w:r w:rsidRPr="00222F19">
        <w:rPr>
          <w:rFonts w:ascii="Arial" w:hAnsi="Arial" w:cs="Arial"/>
          <w:sz w:val="22"/>
        </w:rPr>
        <w:t xml:space="preserve">The modern controversy that </w:t>
      </w:r>
      <w:r w:rsidR="00B46044" w:rsidRPr="00222F19">
        <w:rPr>
          <w:rFonts w:ascii="Arial" w:hAnsi="Arial" w:cs="Arial"/>
          <w:sz w:val="22"/>
        </w:rPr>
        <w:t xml:space="preserve">encompasses </w:t>
      </w:r>
      <w:r w:rsidRPr="00222F19">
        <w:rPr>
          <w:rFonts w:ascii="Arial" w:hAnsi="Arial" w:cs="Arial"/>
          <w:sz w:val="22"/>
        </w:rPr>
        <w:t>the topic of panic disorder (ICD-11: 6B01) is mainly concerned with its classification and the scope of diagnosis, particularly in comparison to generalised anxiety disorder and agoraphobia. Critics argue that these disorders are represented by the same symptoms, including anticipatory anxiety, avoidance behaviours, and somatic manifestations, making the discrete classification of these disorders a challenge (</w:t>
      </w:r>
      <w:r w:rsidR="003551DA" w:rsidRPr="00222F19">
        <w:rPr>
          <w:rFonts w:ascii="Arial" w:hAnsi="Arial" w:cs="Arial"/>
          <w:sz w:val="22"/>
        </w:rPr>
        <w:t>Szuhany and Simon, 2022</w:t>
      </w:r>
      <w:r w:rsidRPr="00222F19">
        <w:rPr>
          <w:rFonts w:ascii="Arial" w:hAnsi="Arial" w:cs="Arial"/>
          <w:sz w:val="22"/>
        </w:rPr>
        <w:t xml:space="preserve">). </w:t>
      </w:r>
      <w:r w:rsidR="00A920DD" w:rsidRPr="00222F19">
        <w:rPr>
          <w:rFonts w:ascii="Arial" w:hAnsi="Arial" w:cs="Arial"/>
          <w:sz w:val="22"/>
        </w:rPr>
        <w:t>Rego (2025</w:t>
      </w:r>
      <w:r w:rsidRPr="00222F19">
        <w:rPr>
          <w:rFonts w:ascii="Arial" w:hAnsi="Arial" w:cs="Arial"/>
          <w:sz w:val="22"/>
        </w:rPr>
        <w:t>) notes that as many as 30</w:t>
      </w:r>
      <w:r w:rsidR="006B571C" w:rsidRPr="00222F19">
        <w:rPr>
          <w:rFonts w:ascii="Arial" w:hAnsi="Arial" w:cs="Arial"/>
          <w:sz w:val="22"/>
        </w:rPr>
        <w:t>%</w:t>
      </w:r>
      <w:r w:rsidRPr="00222F19">
        <w:rPr>
          <w:rFonts w:ascii="Arial" w:hAnsi="Arial" w:cs="Arial"/>
          <w:sz w:val="22"/>
        </w:rPr>
        <w:t xml:space="preserve"> of patients diagnosed with panic disorder satisfy criteria of agoraphobia, thus challenging the notion of these disorders being different entities or on a dimensional spectrum. Dimensional classification supporters state that considering the severity, functional impairment, and sets of symptoms on a spectrum would help achieve a greater precision in diagnosis and allow customised treatment; however, ICD-11 maintains the categorical method of clinical utility and cross-cultural reliability (</w:t>
      </w:r>
      <w:r w:rsidR="00924F79" w:rsidRPr="00222F19">
        <w:rPr>
          <w:rFonts w:ascii="Arial" w:hAnsi="Arial" w:cs="Arial"/>
          <w:sz w:val="22"/>
        </w:rPr>
        <w:t>World Health Organi</w:t>
      </w:r>
      <w:r w:rsidR="00CB7603" w:rsidRPr="00222F19">
        <w:rPr>
          <w:rFonts w:ascii="Arial" w:hAnsi="Arial" w:cs="Arial"/>
          <w:sz w:val="22"/>
        </w:rPr>
        <w:t>s</w:t>
      </w:r>
      <w:r w:rsidR="00924F79" w:rsidRPr="00222F19">
        <w:rPr>
          <w:rFonts w:ascii="Arial" w:hAnsi="Arial" w:cs="Arial"/>
          <w:sz w:val="22"/>
        </w:rPr>
        <w:t>ation, 2024</w:t>
      </w:r>
      <w:r w:rsidRPr="00222F19">
        <w:rPr>
          <w:rFonts w:ascii="Arial" w:hAnsi="Arial" w:cs="Arial"/>
          <w:sz w:val="22"/>
        </w:rPr>
        <w:t xml:space="preserve">). This discussion reflects a conflict between empiricist validity and practise in a real-life psychiatric context. </w:t>
      </w:r>
    </w:p>
    <w:p w14:paraId="6DE52833" w14:textId="146B2A60" w:rsidR="008D0AE8" w:rsidRPr="00222F19" w:rsidRDefault="00216E09" w:rsidP="00222F19">
      <w:pPr>
        <w:spacing w:line="360" w:lineRule="auto"/>
        <w:jc w:val="both"/>
        <w:rPr>
          <w:rFonts w:ascii="Arial" w:hAnsi="Arial" w:cs="Arial"/>
          <w:sz w:val="22"/>
        </w:rPr>
      </w:pPr>
      <w:r w:rsidRPr="00222F19">
        <w:rPr>
          <w:rFonts w:ascii="Arial" w:hAnsi="Arial" w:cs="Arial"/>
          <w:sz w:val="22"/>
        </w:rPr>
        <w:t>The neurobiological and neurodivergence approaches also contribute to the discussion and highlight the genetic, neural, and physiological interactions in panic disorder. Research assigns amygdalar hyperactivity, dysregulated hypothalamic-pituitary- adrenal (HPA) axis responses, and hereditary genetic susceptibility as comorbid factors (</w:t>
      </w:r>
      <w:r w:rsidR="000627D1" w:rsidRPr="00222F19">
        <w:rPr>
          <w:rFonts w:ascii="Arial" w:hAnsi="Arial" w:cs="Arial"/>
          <w:sz w:val="22"/>
        </w:rPr>
        <w:t>Mbiydzenyuy and Qulu, 2024</w:t>
      </w:r>
      <w:r w:rsidRPr="00222F19">
        <w:rPr>
          <w:rFonts w:ascii="Arial" w:hAnsi="Arial" w:cs="Arial"/>
          <w:sz w:val="22"/>
        </w:rPr>
        <w:t xml:space="preserve">). </w:t>
      </w:r>
      <w:r w:rsidR="008B6A69" w:rsidRPr="00222F19">
        <w:rPr>
          <w:rFonts w:ascii="Arial" w:hAnsi="Arial" w:cs="Arial"/>
          <w:sz w:val="22"/>
        </w:rPr>
        <w:t>Donato and Ray</w:t>
      </w:r>
      <w:r w:rsidR="00F6148B" w:rsidRPr="00222F19">
        <w:rPr>
          <w:rFonts w:ascii="Arial" w:hAnsi="Arial" w:cs="Arial"/>
          <w:sz w:val="22"/>
        </w:rPr>
        <w:t xml:space="preserve"> (</w:t>
      </w:r>
      <w:r w:rsidR="008B6A69" w:rsidRPr="00222F19">
        <w:rPr>
          <w:rFonts w:ascii="Arial" w:hAnsi="Arial" w:cs="Arial"/>
          <w:sz w:val="22"/>
        </w:rPr>
        <w:t>2023</w:t>
      </w:r>
      <w:r w:rsidRPr="00222F19">
        <w:rPr>
          <w:rFonts w:ascii="Arial" w:hAnsi="Arial" w:cs="Arial"/>
          <w:sz w:val="22"/>
        </w:rPr>
        <w:t xml:space="preserve">) provide neuroimaging data of increased activity in fear networks in panic-prone patients that suggests a neurobiological rationale for treatment differentiation. Proponents hold that the addition of these insights can allow precision psychiatry and maximise intervention based </w:t>
      </w:r>
      <w:r w:rsidRPr="00222F19">
        <w:rPr>
          <w:rFonts w:ascii="Arial" w:hAnsi="Arial" w:cs="Arial"/>
          <w:sz w:val="22"/>
        </w:rPr>
        <w:lastRenderedPageBreak/>
        <w:t xml:space="preserve">on the individual risk profiles. Nevertheless, </w:t>
      </w:r>
      <w:r w:rsidR="00A81F90" w:rsidRPr="00222F19">
        <w:rPr>
          <w:rFonts w:ascii="Arial" w:hAnsi="Arial" w:cs="Arial"/>
          <w:sz w:val="22"/>
        </w:rPr>
        <w:t xml:space="preserve">Martínez </w:t>
      </w:r>
      <w:r w:rsidR="00B7325D" w:rsidRPr="00222F19">
        <w:rPr>
          <w:rFonts w:ascii="Arial" w:hAnsi="Arial" w:cs="Arial"/>
          <w:sz w:val="22"/>
        </w:rPr>
        <w:t>(</w:t>
      </w:r>
      <w:r w:rsidR="00A81F90" w:rsidRPr="00222F19">
        <w:rPr>
          <w:rFonts w:ascii="Arial" w:hAnsi="Arial" w:cs="Arial"/>
          <w:sz w:val="22"/>
        </w:rPr>
        <w:t>2023</w:t>
      </w:r>
      <w:r w:rsidRPr="00222F19">
        <w:rPr>
          <w:rFonts w:ascii="Arial" w:hAnsi="Arial" w:cs="Arial"/>
          <w:sz w:val="22"/>
        </w:rPr>
        <w:t xml:space="preserve">) </w:t>
      </w:r>
      <w:r w:rsidR="00DA791E" w:rsidRPr="00222F19">
        <w:rPr>
          <w:rFonts w:ascii="Arial" w:hAnsi="Arial" w:cs="Arial"/>
          <w:sz w:val="22"/>
        </w:rPr>
        <w:t>critiques that</w:t>
      </w:r>
      <w:r w:rsidRPr="00222F19">
        <w:rPr>
          <w:rFonts w:ascii="Arial" w:hAnsi="Arial" w:cs="Arial"/>
          <w:sz w:val="22"/>
        </w:rPr>
        <w:t xml:space="preserve"> too much emphasis on biology can lead to the disregard of sociocultural determinants and possibly lead to the medicali</w:t>
      </w:r>
      <w:r w:rsidR="00D64EA9" w:rsidRPr="00222F19">
        <w:rPr>
          <w:rFonts w:ascii="Arial" w:hAnsi="Arial" w:cs="Arial"/>
          <w:sz w:val="22"/>
        </w:rPr>
        <w:t>s</w:t>
      </w:r>
      <w:r w:rsidRPr="00222F19">
        <w:rPr>
          <w:rFonts w:ascii="Arial" w:hAnsi="Arial" w:cs="Arial"/>
          <w:sz w:val="22"/>
        </w:rPr>
        <w:t xml:space="preserve">ation of normal stress reactions. </w:t>
      </w:r>
    </w:p>
    <w:p w14:paraId="4091D642" w14:textId="1A3566FA" w:rsidR="00D810D8" w:rsidRPr="00222F19" w:rsidRDefault="00216E09" w:rsidP="00222F19">
      <w:pPr>
        <w:spacing w:line="360" w:lineRule="auto"/>
        <w:jc w:val="both"/>
        <w:rPr>
          <w:rFonts w:ascii="Arial" w:hAnsi="Arial" w:cs="Arial"/>
          <w:sz w:val="22"/>
        </w:rPr>
      </w:pPr>
      <w:r w:rsidRPr="00222F19">
        <w:rPr>
          <w:rFonts w:ascii="Arial" w:hAnsi="Arial" w:cs="Arial"/>
          <w:sz w:val="22"/>
        </w:rPr>
        <w:t xml:space="preserve">Controversies on treatment are still imminent. Pharmacotherapy, especially selective serotonin reuptake and serotonin-noradrenaline reuptake inhibitors, is effective in reducing the frequency of panic, but dependence on medication </w:t>
      </w:r>
      <w:proofErr w:type="spellStart"/>
      <w:r w:rsidR="00394899" w:rsidRPr="00222F19">
        <w:rPr>
          <w:rFonts w:ascii="Arial" w:hAnsi="Arial" w:cs="Arial"/>
          <w:sz w:val="22"/>
        </w:rPr>
        <w:t>can</w:t>
      </w:r>
      <w:r w:rsidRPr="00222F19">
        <w:rPr>
          <w:rFonts w:ascii="Arial" w:hAnsi="Arial" w:cs="Arial"/>
          <w:sz w:val="22"/>
        </w:rPr>
        <w:t xml:space="preserve"> not</w:t>
      </w:r>
      <w:proofErr w:type="spellEnd"/>
      <w:r w:rsidRPr="00222F19">
        <w:rPr>
          <w:rFonts w:ascii="Arial" w:hAnsi="Arial" w:cs="Arial"/>
          <w:sz w:val="22"/>
        </w:rPr>
        <w:t xml:space="preserve"> be effective in dealing with the maladaptive cognition and avoidance behaviour, hence limiting recovery (</w:t>
      </w:r>
      <w:r w:rsidR="00A23CB4" w:rsidRPr="00222F19">
        <w:rPr>
          <w:rFonts w:ascii="Arial" w:hAnsi="Arial" w:cs="Arial"/>
          <w:sz w:val="22"/>
        </w:rPr>
        <w:t>Sarier et al., 2023</w:t>
      </w:r>
      <w:r w:rsidRPr="00222F19">
        <w:rPr>
          <w:rFonts w:ascii="Arial" w:hAnsi="Arial" w:cs="Arial"/>
          <w:sz w:val="22"/>
        </w:rPr>
        <w:t>). On the other hand, cognitive behaviour treatment and exposure-based therapies have been shown to have long-term benefit even following therapy discontinuation (</w:t>
      </w:r>
      <w:r w:rsidR="00A23CB4" w:rsidRPr="00222F19">
        <w:rPr>
          <w:rFonts w:ascii="Arial" w:hAnsi="Arial" w:cs="Arial"/>
          <w:sz w:val="22"/>
        </w:rPr>
        <w:t xml:space="preserve">Pittig et al., 2025). </w:t>
      </w:r>
      <w:r w:rsidRPr="00222F19">
        <w:rPr>
          <w:rFonts w:ascii="Arial" w:hAnsi="Arial" w:cs="Arial"/>
          <w:sz w:val="22"/>
        </w:rPr>
        <w:t>However, the efficacy of psychotherapy in the real world is impaired by the barriers to access, compliance issues, and stigma, whereas the overdiagnosis and medicalisation of normal anxiety raises some ethical issues and leads to the possibility of overtreatment (</w:t>
      </w:r>
      <w:r w:rsidR="00967D60" w:rsidRPr="00222F19">
        <w:rPr>
          <w:rFonts w:ascii="Arial" w:hAnsi="Arial" w:cs="Arial"/>
          <w:sz w:val="22"/>
        </w:rPr>
        <w:t>Pfeiffer</w:t>
      </w:r>
      <w:r w:rsidR="00E412E1" w:rsidRPr="00222F19">
        <w:rPr>
          <w:rFonts w:ascii="Arial" w:hAnsi="Arial" w:cs="Arial"/>
          <w:sz w:val="22"/>
        </w:rPr>
        <w:t xml:space="preserve"> </w:t>
      </w:r>
      <w:r w:rsidR="00967D60" w:rsidRPr="00222F19">
        <w:rPr>
          <w:rFonts w:ascii="Arial" w:hAnsi="Arial" w:cs="Arial"/>
          <w:sz w:val="22"/>
        </w:rPr>
        <w:t>and In-Albon, 2022</w:t>
      </w:r>
      <w:r w:rsidRPr="00222F19">
        <w:rPr>
          <w:rFonts w:ascii="Arial" w:hAnsi="Arial" w:cs="Arial"/>
          <w:sz w:val="22"/>
        </w:rPr>
        <w:t xml:space="preserve">). </w:t>
      </w:r>
    </w:p>
    <w:p w14:paraId="10627888" w14:textId="574C12A1" w:rsidR="00587E1C" w:rsidRPr="00222F19" w:rsidRDefault="00216E09" w:rsidP="00222F19">
      <w:pPr>
        <w:spacing w:line="360" w:lineRule="auto"/>
        <w:jc w:val="both"/>
        <w:rPr>
          <w:rFonts w:ascii="Arial" w:hAnsi="Arial" w:cs="Arial"/>
          <w:sz w:val="22"/>
        </w:rPr>
      </w:pPr>
      <w:r w:rsidRPr="00222F19">
        <w:rPr>
          <w:rFonts w:ascii="Arial" w:hAnsi="Arial" w:cs="Arial"/>
          <w:sz w:val="22"/>
        </w:rPr>
        <w:t xml:space="preserve">There is a high policy and clinical turnover in these debates with reflections on insurance coverage, resource allocation of early intervention programmes, and culturally-sensitive diagnostic constructs. Dimensional assessment, neurobiological understanding, and evidence-based psychosocial interventions might result in an increased accuracy of care delivery and patient outcomes and prevent avoidable pharmacological interventions. </w:t>
      </w:r>
      <w:r w:rsidR="00E412E1" w:rsidRPr="00222F19">
        <w:rPr>
          <w:rFonts w:ascii="Arial" w:hAnsi="Arial" w:cs="Arial"/>
          <w:sz w:val="22"/>
        </w:rPr>
        <w:t>T</w:t>
      </w:r>
      <w:r w:rsidRPr="00222F19">
        <w:rPr>
          <w:rFonts w:ascii="Arial" w:hAnsi="Arial" w:cs="Arial"/>
          <w:sz w:val="22"/>
        </w:rPr>
        <w:t xml:space="preserve">he changing discussion shows the necessity of integrating the empirical evidence with the clinical utility and socio-cultural sensitivity when attempting to treat panic disorder. </w:t>
      </w:r>
    </w:p>
    <w:p w14:paraId="462E3CA0" w14:textId="77777777" w:rsidR="00C003A5" w:rsidRPr="00222F19" w:rsidRDefault="00C003A5" w:rsidP="00222F19">
      <w:pPr>
        <w:spacing w:line="360" w:lineRule="auto"/>
        <w:jc w:val="both"/>
        <w:rPr>
          <w:rFonts w:ascii="Arial" w:hAnsi="Arial" w:cs="Arial"/>
          <w:sz w:val="22"/>
        </w:rPr>
      </w:pPr>
    </w:p>
    <w:p w14:paraId="16280F85" w14:textId="7BBC80BD" w:rsidR="007E771B" w:rsidRPr="00222F19" w:rsidRDefault="00216E09" w:rsidP="00222F19">
      <w:pPr>
        <w:pStyle w:val="Heading1"/>
        <w:spacing w:line="360" w:lineRule="auto"/>
        <w:jc w:val="both"/>
        <w:rPr>
          <w:rFonts w:ascii="Arial" w:hAnsi="Arial" w:cs="Arial"/>
          <w:sz w:val="22"/>
          <w:szCs w:val="22"/>
        </w:rPr>
      </w:pPr>
      <w:bookmarkStart w:id="5" w:name="_Toc222585709"/>
      <w:r w:rsidRPr="00222F19">
        <w:rPr>
          <w:rFonts w:ascii="Arial" w:hAnsi="Arial" w:cs="Arial"/>
          <w:sz w:val="22"/>
          <w:szCs w:val="22"/>
        </w:rPr>
        <w:t>Recommendations</w:t>
      </w:r>
      <w:bookmarkEnd w:id="5"/>
    </w:p>
    <w:p w14:paraId="7A5DCA83" w14:textId="08BFEDAC" w:rsidR="0007412D" w:rsidRPr="00222F19" w:rsidRDefault="00216E09" w:rsidP="00222F19">
      <w:pPr>
        <w:spacing w:line="360" w:lineRule="auto"/>
        <w:jc w:val="both"/>
        <w:rPr>
          <w:rFonts w:ascii="Arial" w:hAnsi="Arial" w:cs="Arial"/>
          <w:sz w:val="22"/>
        </w:rPr>
      </w:pPr>
      <w:r w:rsidRPr="00222F19">
        <w:rPr>
          <w:rFonts w:ascii="Arial" w:hAnsi="Arial" w:cs="Arial"/>
          <w:sz w:val="22"/>
        </w:rPr>
        <w:t xml:space="preserve">To improve the perception and treatment of panic disorder (ICD-11: 6B01), some recommendations </w:t>
      </w:r>
      <w:r w:rsidR="00394899" w:rsidRPr="00222F19">
        <w:rPr>
          <w:rFonts w:ascii="Arial" w:hAnsi="Arial" w:cs="Arial"/>
          <w:sz w:val="22"/>
        </w:rPr>
        <w:t>can</w:t>
      </w:r>
      <w:r w:rsidRPr="00222F19">
        <w:rPr>
          <w:rFonts w:ascii="Arial" w:hAnsi="Arial" w:cs="Arial"/>
          <w:sz w:val="22"/>
        </w:rPr>
        <w:t xml:space="preserve"> be made. First, classification systems can be enhanced with a dimensional strategy that would capture the severity of symptoms and functional impairment as well as comorbidities, and it would complement the current categorical ICD-11 system. </w:t>
      </w:r>
      <w:r w:rsidR="00C47385" w:rsidRPr="00222F19">
        <w:rPr>
          <w:rFonts w:ascii="Arial" w:hAnsi="Arial" w:cs="Arial"/>
          <w:sz w:val="22"/>
        </w:rPr>
        <w:t>Scala et al. (2023</w:t>
      </w:r>
      <w:r w:rsidRPr="00222F19">
        <w:rPr>
          <w:rFonts w:ascii="Arial" w:hAnsi="Arial" w:cs="Arial"/>
          <w:sz w:val="22"/>
        </w:rPr>
        <w:t>) argue that dimensional assessment enhances the accuracy of diagnoses and helps to plan personalised treatment, especially in patients with parallel anxiety disorders. Second, the diagnostic accuracy can be enhanced by standardisation and cultural adaptation of the assessment instruments along with the introduction of regular screening conditions in primary healthcare settings, since the early detection has been linked to the best results (</w:t>
      </w:r>
      <w:r w:rsidR="00E830F0" w:rsidRPr="00222F19">
        <w:rPr>
          <w:rFonts w:ascii="Arial" w:hAnsi="Arial" w:cs="Arial"/>
          <w:sz w:val="22"/>
        </w:rPr>
        <w:t>Makhmirzaeva et al., 2025</w:t>
      </w:r>
      <w:r w:rsidRPr="00222F19">
        <w:rPr>
          <w:rFonts w:ascii="Arial" w:hAnsi="Arial" w:cs="Arial"/>
          <w:sz w:val="22"/>
        </w:rPr>
        <w:t xml:space="preserve">). </w:t>
      </w:r>
    </w:p>
    <w:p w14:paraId="43A1CFE9" w14:textId="4154E255" w:rsidR="00B81F81" w:rsidRPr="00222F19" w:rsidRDefault="00216E09" w:rsidP="00222F19">
      <w:pPr>
        <w:spacing w:line="360" w:lineRule="auto"/>
        <w:jc w:val="both"/>
        <w:rPr>
          <w:rFonts w:ascii="Arial" w:hAnsi="Arial" w:cs="Arial"/>
          <w:sz w:val="22"/>
        </w:rPr>
      </w:pPr>
      <w:r w:rsidRPr="00222F19">
        <w:rPr>
          <w:rFonts w:ascii="Arial" w:hAnsi="Arial" w:cs="Arial"/>
          <w:sz w:val="22"/>
        </w:rPr>
        <w:lastRenderedPageBreak/>
        <w:t>In terms of treatment and rehabilitation, it is justified to combine pharmacological and psychological treatment with the development of digital solutions. There is evidence to support multimodal approaches involving the use of CBT, SSRIs, and guided digital therapies to reduce the number of symptoms and attain functional recovery (</w:t>
      </w:r>
      <w:r w:rsidR="000913CA" w:rsidRPr="00222F19">
        <w:rPr>
          <w:rFonts w:ascii="Arial" w:hAnsi="Arial" w:cs="Arial"/>
          <w:sz w:val="22"/>
        </w:rPr>
        <w:t>Biagianti et al., 2023</w:t>
      </w:r>
      <w:r w:rsidRPr="00222F19">
        <w:rPr>
          <w:rFonts w:ascii="Arial" w:hAnsi="Arial" w:cs="Arial"/>
          <w:sz w:val="22"/>
        </w:rPr>
        <w:t xml:space="preserve">). Social and occupational functioning can even be improved by community-based rehabilitation programmes and psychoeducation programmes. Research-wise, longitudinal studies in which neurobiological markers and patient-reported outcomes, and culturally mediated manifestations of panic, are studied are needed to optimise clinical practise and policy. Comprehensively, these recommendations will help enhance patient-centred care, inform health policy, and set the future agenda of research in the field, to subsequently ensure that panic disorder is managed using evidence-based, culturally sensitive, and sustainable measures. </w:t>
      </w:r>
    </w:p>
    <w:p w14:paraId="19E83012" w14:textId="69A89D1A" w:rsidR="007E771B" w:rsidRPr="00222F19" w:rsidRDefault="007E771B" w:rsidP="00222F19">
      <w:pPr>
        <w:spacing w:line="360" w:lineRule="auto"/>
        <w:jc w:val="both"/>
        <w:rPr>
          <w:rFonts w:ascii="Arial" w:hAnsi="Arial" w:cs="Arial"/>
          <w:sz w:val="22"/>
        </w:rPr>
      </w:pPr>
    </w:p>
    <w:p w14:paraId="06944372" w14:textId="20B0A79C" w:rsidR="00F97ECE" w:rsidRPr="00222F19" w:rsidRDefault="00216E09" w:rsidP="00222F19">
      <w:pPr>
        <w:pStyle w:val="Heading1"/>
        <w:spacing w:line="360" w:lineRule="auto"/>
        <w:jc w:val="both"/>
        <w:rPr>
          <w:rFonts w:ascii="Arial" w:hAnsi="Arial" w:cs="Arial"/>
          <w:sz w:val="22"/>
          <w:szCs w:val="22"/>
        </w:rPr>
      </w:pPr>
      <w:bookmarkStart w:id="6" w:name="_Toc222585710"/>
      <w:r w:rsidRPr="00222F19">
        <w:rPr>
          <w:rFonts w:ascii="Arial" w:hAnsi="Arial" w:cs="Arial"/>
          <w:sz w:val="22"/>
          <w:szCs w:val="22"/>
        </w:rPr>
        <w:t>Conclusion</w:t>
      </w:r>
      <w:bookmarkEnd w:id="6"/>
    </w:p>
    <w:p w14:paraId="6881A4CC" w14:textId="4F83B903" w:rsidR="00A46FF4" w:rsidRPr="00222F19" w:rsidRDefault="00216E09" w:rsidP="00222F19">
      <w:pPr>
        <w:spacing w:line="360" w:lineRule="auto"/>
        <w:jc w:val="both"/>
        <w:rPr>
          <w:rFonts w:ascii="Arial" w:hAnsi="Arial" w:cs="Arial"/>
          <w:sz w:val="22"/>
        </w:rPr>
      </w:pPr>
      <w:r w:rsidRPr="00222F19">
        <w:rPr>
          <w:rFonts w:ascii="Arial" w:hAnsi="Arial" w:cs="Arial"/>
          <w:sz w:val="22"/>
        </w:rPr>
        <w:t>Panic disorder is a complicated issue of anxiety whose classification, diagnosis, and treatment are still under development. ICD-11 offers more specifications and an operational focus, but controversies still exist on boundaries, dimensional or categorical application, and neurobiological or psychosocial perspective. Management requires the involvement of pharmacological, psychological, and rehabilitative approaches assisted by patient education and community resources. More importantly, person-centred, evidence-based strategies are crucial to support personal needs and comorbidities and promote long-term healing. In the future, the further development of diagnostic models, culturally competent testing, and new treatment options will play a central role in improving results and increasing the quality of life of patients with panic disorder.</w:t>
      </w:r>
    </w:p>
    <w:p w14:paraId="0CE4B160" w14:textId="3C755830" w:rsidR="00A46FF4" w:rsidRPr="00222F19" w:rsidRDefault="00216E09" w:rsidP="00222F19">
      <w:pPr>
        <w:spacing w:line="360" w:lineRule="auto"/>
        <w:jc w:val="both"/>
        <w:rPr>
          <w:rFonts w:ascii="Arial" w:hAnsi="Arial" w:cs="Arial"/>
          <w:sz w:val="22"/>
        </w:rPr>
      </w:pPr>
      <w:r w:rsidRPr="00222F19">
        <w:rPr>
          <w:rFonts w:ascii="Arial" w:hAnsi="Arial" w:cs="Arial"/>
          <w:sz w:val="22"/>
        </w:rPr>
        <w:br w:type="page"/>
      </w:r>
    </w:p>
    <w:p w14:paraId="7CC4F8A2" w14:textId="2657656F" w:rsidR="00A46FF4" w:rsidRPr="00222F19" w:rsidRDefault="00216E09" w:rsidP="00222F19">
      <w:pPr>
        <w:pStyle w:val="Heading1"/>
        <w:spacing w:line="360" w:lineRule="auto"/>
        <w:jc w:val="both"/>
        <w:rPr>
          <w:rFonts w:ascii="Arial" w:hAnsi="Arial" w:cs="Arial"/>
          <w:sz w:val="22"/>
          <w:szCs w:val="22"/>
        </w:rPr>
      </w:pPr>
      <w:bookmarkStart w:id="7" w:name="_Toc222585711"/>
      <w:r w:rsidRPr="00222F19">
        <w:rPr>
          <w:rFonts w:ascii="Arial" w:hAnsi="Arial" w:cs="Arial"/>
          <w:sz w:val="22"/>
          <w:szCs w:val="22"/>
        </w:rPr>
        <w:lastRenderedPageBreak/>
        <w:t>References</w:t>
      </w:r>
      <w:bookmarkEnd w:id="7"/>
    </w:p>
    <w:p w14:paraId="2180D70D" w14:textId="6A28A1C0"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Asmundson, G.J., Krakauer, R.L., Rachor, G.S., and Taylor, S., </w:t>
      </w:r>
      <w:r w:rsidR="0039018F" w:rsidRPr="00222F19">
        <w:rPr>
          <w:rFonts w:ascii="Arial" w:hAnsi="Arial" w:cs="Arial"/>
          <w:sz w:val="22"/>
        </w:rPr>
        <w:t>(</w:t>
      </w:r>
      <w:r w:rsidRPr="00222F19">
        <w:rPr>
          <w:rFonts w:ascii="Arial" w:hAnsi="Arial" w:cs="Arial"/>
          <w:sz w:val="22"/>
        </w:rPr>
        <w:t>2024</w:t>
      </w:r>
      <w:r w:rsidR="0039018F" w:rsidRPr="00222F19">
        <w:rPr>
          <w:rFonts w:ascii="Arial" w:hAnsi="Arial" w:cs="Arial"/>
          <w:sz w:val="22"/>
        </w:rPr>
        <w:t>)</w:t>
      </w:r>
      <w:r w:rsidRPr="00222F19">
        <w:rPr>
          <w:rFonts w:ascii="Arial" w:hAnsi="Arial" w:cs="Arial"/>
          <w:sz w:val="22"/>
        </w:rPr>
        <w:t>. Anxiety and Fear-Related Disorders: Panic Disorder and Agoraphobia. In </w:t>
      </w:r>
      <w:r w:rsidRPr="00222F19">
        <w:rPr>
          <w:rFonts w:ascii="Arial" w:hAnsi="Arial" w:cs="Arial"/>
          <w:i/>
          <w:iCs/>
          <w:sz w:val="22"/>
        </w:rPr>
        <w:t>Tasman’s Psychiatry</w:t>
      </w:r>
      <w:r w:rsidRPr="00222F19">
        <w:rPr>
          <w:rFonts w:ascii="Arial" w:hAnsi="Arial" w:cs="Arial"/>
          <w:sz w:val="22"/>
        </w:rPr>
        <w:t> (pp. 2031-2065). Cham: Springer International Publishing.</w:t>
      </w:r>
    </w:p>
    <w:p w14:paraId="66C6D74D" w14:textId="566E8AA9" w:rsidR="000913CA" w:rsidRPr="00AF77AC" w:rsidRDefault="00216E09" w:rsidP="00222F19">
      <w:pPr>
        <w:spacing w:line="360" w:lineRule="auto"/>
        <w:ind w:left="720" w:hanging="720"/>
        <w:jc w:val="both"/>
        <w:rPr>
          <w:rFonts w:ascii="Arial" w:hAnsi="Arial" w:cs="Arial"/>
          <w:sz w:val="22"/>
          <w:lang w:val="it-IT"/>
        </w:rPr>
      </w:pPr>
      <w:r w:rsidRPr="00222F19">
        <w:rPr>
          <w:rFonts w:ascii="Arial" w:hAnsi="Arial" w:cs="Arial"/>
          <w:sz w:val="22"/>
        </w:rPr>
        <w:t>Berk, M., Köhler</w:t>
      </w:r>
      <w:r w:rsidRPr="00222F19">
        <w:rPr>
          <w:rFonts w:ascii="Cambria Math" w:hAnsi="Cambria Math" w:cs="Cambria Math"/>
          <w:sz w:val="22"/>
        </w:rPr>
        <w:t>‐</w:t>
      </w:r>
      <w:r w:rsidRPr="00222F19">
        <w:rPr>
          <w:rFonts w:ascii="Arial" w:hAnsi="Arial" w:cs="Arial"/>
          <w:sz w:val="22"/>
        </w:rPr>
        <w:t>Forsberg, O., Turner, M., Penninx, B.W., Wrobel, A., Firth, J., Loughman, A., Reavley, N.J., Mcgrath, J.J., Momen, N.C. and Plana</w:t>
      </w:r>
      <w:r w:rsidRPr="00222F19">
        <w:rPr>
          <w:rFonts w:ascii="Cambria Math" w:hAnsi="Cambria Math" w:cs="Cambria Math"/>
          <w:sz w:val="22"/>
        </w:rPr>
        <w:t>‐</w:t>
      </w:r>
      <w:r w:rsidRPr="00222F19">
        <w:rPr>
          <w:rFonts w:ascii="Arial" w:hAnsi="Arial" w:cs="Arial"/>
          <w:sz w:val="22"/>
        </w:rPr>
        <w:t xml:space="preserve">Ripoll, O., </w:t>
      </w:r>
      <w:r w:rsidR="0039018F" w:rsidRPr="00222F19">
        <w:rPr>
          <w:rFonts w:ascii="Arial" w:hAnsi="Arial" w:cs="Arial"/>
          <w:sz w:val="22"/>
        </w:rPr>
        <w:t>(</w:t>
      </w:r>
      <w:r w:rsidRPr="00222F19">
        <w:rPr>
          <w:rFonts w:ascii="Arial" w:hAnsi="Arial" w:cs="Arial"/>
          <w:sz w:val="22"/>
        </w:rPr>
        <w:t>2023</w:t>
      </w:r>
      <w:r w:rsidR="0039018F" w:rsidRPr="00222F19">
        <w:rPr>
          <w:rFonts w:ascii="Arial" w:hAnsi="Arial" w:cs="Arial"/>
          <w:sz w:val="22"/>
        </w:rPr>
        <w:t>)</w:t>
      </w:r>
      <w:r w:rsidRPr="00222F19">
        <w:rPr>
          <w:rFonts w:ascii="Arial" w:hAnsi="Arial" w:cs="Arial"/>
          <w:sz w:val="22"/>
        </w:rPr>
        <w:t>. Comorbidity between major depressive disorder and physical diseases: a comprehensive review of epidemiology, mechanisms and management. </w:t>
      </w:r>
      <w:r w:rsidRPr="00AF77AC">
        <w:rPr>
          <w:rFonts w:ascii="Arial" w:hAnsi="Arial" w:cs="Arial"/>
          <w:i/>
          <w:iCs/>
          <w:sz w:val="22"/>
          <w:lang w:val="it-IT"/>
        </w:rPr>
        <w:t xml:space="preserve">World </w:t>
      </w:r>
      <w:proofErr w:type="spellStart"/>
      <w:r w:rsidRPr="00AF77AC">
        <w:rPr>
          <w:rFonts w:ascii="Arial" w:hAnsi="Arial" w:cs="Arial"/>
          <w:i/>
          <w:iCs/>
          <w:sz w:val="22"/>
          <w:lang w:val="it-IT"/>
        </w:rPr>
        <w:t>psychiatry</w:t>
      </w:r>
      <w:proofErr w:type="spellEnd"/>
      <w:r w:rsidRPr="00AF77AC">
        <w:rPr>
          <w:rFonts w:ascii="Arial" w:hAnsi="Arial" w:cs="Arial"/>
          <w:sz w:val="22"/>
          <w:lang w:val="it-IT"/>
        </w:rPr>
        <w:t>, </w:t>
      </w:r>
      <w:r w:rsidRPr="00AF77AC">
        <w:rPr>
          <w:rFonts w:ascii="Arial" w:hAnsi="Arial" w:cs="Arial"/>
          <w:i/>
          <w:iCs/>
          <w:sz w:val="22"/>
          <w:lang w:val="it-IT"/>
        </w:rPr>
        <w:t>22</w:t>
      </w:r>
      <w:r w:rsidRPr="00AF77AC">
        <w:rPr>
          <w:rFonts w:ascii="Arial" w:hAnsi="Arial" w:cs="Arial"/>
          <w:sz w:val="22"/>
          <w:lang w:val="it-IT"/>
        </w:rPr>
        <w:t>(3), pp.366-387.</w:t>
      </w:r>
    </w:p>
    <w:p w14:paraId="753E8D0C" w14:textId="69CA560D" w:rsidR="000913CA" w:rsidRPr="00222F19" w:rsidRDefault="00216E09" w:rsidP="00222F19">
      <w:pPr>
        <w:spacing w:line="360" w:lineRule="auto"/>
        <w:ind w:left="720" w:hanging="720"/>
        <w:jc w:val="both"/>
        <w:rPr>
          <w:rFonts w:ascii="Arial" w:hAnsi="Arial" w:cs="Arial"/>
          <w:sz w:val="22"/>
        </w:rPr>
      </w:pPr>
      <w:r w:rsidRPr="00AF77AC">
        <w:rPr>
          <w:rFonts w:ascii="Arial" w:hAnsi="Arial" w:cs="Arial"/>
          <w:sz w:val="22"/>
          <w:lang w:val="it-IT"/>
        </w:rPr>
        <w:t xml:space="preserve">Biagianti, B., Foti, G., Di Liberto, A., Bressi, C. and Brambilla, P., </w:t>
      </w:r>
      <w:r w:rsidR="0039018F" w:rsidRPr="00AF77AC">
        <w:rPr>
          <w:rFonts w:ascii="Arial" w:hAnsi="Arial" w:cs="Arial"/>
          <w:sz w:val="22"/>
          <w:lang w:val="it-IT"/>
        </w:rPr>
        <w:t>(</w:t>
      </w:r>
      <w:r w:rsidRPr="00AF77AC">
        <w:rPr>
          <w:rFonts w:ascii="Arial" w:hAnsi="Arial" w:cs="Arial"/>
          <w:sz w:val="22"/>
          <w:lang w:val="it-IT"/>
        </w:rPr>
        <w:t>2023</w:t>
      </w:r>
      <w:r w:rsidR="0039018F" w:rsidRPr="00AF77AC">
        <w:rPr>
          <w:rFonts w:ascii="Arial" w:hAnsi="Arial" w:cs="Arial"/>
          <w:sz w:val="22"/>
          <w:lang w:val="it-IT"/>
        </w:rPr>
        <w:t>)</w:t>
      </w:r>
      <w:r w:rsidRPr="00AF77AC">
        <w:rPr>
          <w:rFonts w:ascii="Arial" w:hAnsi="Arial" w:cs="Arial"/>
          <w:sz w:val="22"/>
          <w:lang w:val="it-IT"/>
        </w:rPr>
        <w:t xml:space="preserve">. </w:t>
      </w:r>
      <w:r w:rsidRPr="00222F19">
        <w:rPr>
          <w:rFonts w:ascii="Arial" w:hAnsi="Arial" w:cs="Arial"/>
          <w:sz w:val="22"/>
        </w:rPr>
        <w:t>CBT-informed psychological interventions for adult patients with anxiety and depression symptoms: A narrative review of digital treatment options. </w:t>
      </w:r>
      <w:r w:rsidRPr="00222F19">
        <w:rPr>
          <w:rFonts w:ascii="Arial" w:hAnsi="Arial" w:cs="Arial"/>
          <w:i/>
          <w:iCs/>
          <w:sz w:val="22"/>
        </w:rPr>
        <w:t>Journal of affective Disorders</w:t>
      </w:r>
      <w:r w:rsidRPr="00222F19">
        <w:rPr>
          <w:rFonts w:ascii="Arial" w:hAnsi="Arial" w:cs="Arial"/>
          <w:sz w:val="22"/>
        </w:rPr>
        <w:t>, </w:t>
      </w:r>
      <w:r w:rsidRPr="00222F19">
        <w:rPr>
          <w:rFonts w:ascii="Arial" w:hAnsi="Arial" w:cs="Arial"/>
          <w:i/>
          <w:iCs/>
          <w:sz w:val="22"/>
        </w:rPr>
        <w:t>325</w:t>
      </w:r>
      <w:r w:rsidRPr="00222F19">
        <w:rPr>
          <w:rFonts w:ascii="Arial" w:hAnsi="Arial" w:cs="Arial"/>
          <w:sz w:val="22"/>
        </w:rPr>
        <w:t>, pp.682-694.</w:t>
      </w:r>
    </w:p>
    <w:p w14:paraId="7BB5EAA9" w14:textId="125416B4"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Cuijpers, P., Miguel, C., Harrer, M., Ciharova, M. and Karyotaki, E., </w:t>
      </w:r>
      <w:r w:rsidR="0039018F" w:rsidRPr="00222F19">
        <w:rPr>
          <w:rFonts w:ascii="Arial" w:hAnsi="Arial" w:cs="Arial"/>
          <w:sz w:val="22"/>
        </w:rPr>
        <w:t>(</w:t>
      </w:r>
      <w:r w:rsidRPr="00222F19">
        <w:rPr>
          <w:rFonts w:ascii="Arial" w:hAnsi="Arial" w:cs="Arial"/>
          <w:sz w:val="22"/>
        </w:rPr>
        <w:t>2023</w:t>
      </w:r>
      <w:r w:rsidR="0039018F" w:rsidRPr="00222F19">
        <w:rPr>
          <w:rFonts w:ascii="Arial" w:hAnsi="Arial" w:cs="Arial"/>
          <w:sz w:val="22"/>
        </w:rPr>
        <w:t>)</w:t>
      </w:r>
      <w:r w:rsidRPr="00222F19">
        <w:rPr>
          <w:rFonts w:ascii="Arial" w:hAnsi="Arial" w:cs="Arial"/>
          <w:sz w:val="22"/>
        </w:rPr>
        <w:t>. Does the use of pharmacotherapy interact with the effects of psychotherapy? A meta-analytic review. </w:t>
      </w:r>
      <w:r w:rsidRPr="00222F19">
        <w:rPr>
          <w:rFonts w:ascii="Arial" w:hAnsi="Arial" w:cs="Arial"/>
          <w:i/>
          <w:iCs/>
          <w:sz w:val="22"/>
        </w:rPr>
        <w:t>European Psychiatry</w:t>
      </w:r>
      <w:r w:rsidRPr="00222F19">
        <w:rPr>
          <w:rFonts w:ascii="Arial" w:hAnsi="Arial" w:cs="Arial"/>
          <w:sz w:val="22"/>
        </w:rPr>
        <w:t>, </w:t>
      </w:r>
      <w:r w:rsidRPr="00222F19">
        <w:rPr>
          <w:rFonts w:ascii="Arial" w:hAnsi="Arial" w:cs="Arial"/>
          <w:i/>
          <w:iCs/>
          <w:sz w:val="22"/>
        </w:rPr>
        <w:t>66</w:t>
      </w:r>
      <w:r w:rsidRPr="00222F19">
        <w:rPr>
          <w:rFonts w:ascii="Arial" w:hAnsi="Arial" w:cs="Arial"/>
          <w:sz w:val="22"/>
        </w:rPr>
        <w:t>(1), p.e63.</w:t>
      </w:r>
    </w:p>
    <w:p w14:paraId="0CF8456A" w14:textId="3EF7B309"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Dawson, D.B., Tsao, C.G.J., Chen, P., Giardina, T.D. and Fletcher, T.L., </w:t>
      </w:r>
      <w:r w:rsidR="0039018F" w:rsidRPr="00222F19">
        <w:rPr>
          <w:rFonts w:ascii="Arial" w:hAnsi="Arial" w:cs="Arial"/>
          <w:sz w:val="22"/>
        </w:rPr>
        <w:t>(</w:t>
      </w:r>
      <w:r w:rsidRPr="00222F19">
        <w:rPr>
          <w:rFonts w:ascii="Arial" w:hAnsi="Arial" w:cs="Arial"/>
          <w:sz w:val="22"/>
        </w:rPr>
        <w:t>2023</w:t>
      </w:r>
      <w:r w:rsidR="0039018F" w:rsidRPr="00222F19">
        <w:rPr>
          <w:rFonts w:ascii="Arial" w:hAnsi="Arial" w:cs="Arial"/>
          <w:sz w:val="22"/>
        </w:rPr>
        <w:t>)</w:t>
      </w:r>
      <w:r w:rsidRPr="00222F19">
        <w:rPr>
          <w:rFonts w:ascii="Arial" w:hAnsi="Arial" w:cs="Arial"/>
          <w:sz w:val="22"/>
        </w:rPr>
        <w:t>. Providers’ perspectives on the impact of culture in the recognition and diagnosis of anxiety. </w:t>
      </w:r>
      <w:r w:rsidRPr="00222F19">
        <w:rPr>
          <w:rFonts w:ascii="Arial" w:hAnsi="Arial" w:cs="Arial"/>
          <w:i/>
          <w:iCs/>
          <w:sz w:val="22"/>
        </w:rPr>
        <w:t>Journal of Mood &amp; Anxiety Disorders</w:t>
      </w:r>
      <w:r w:rsidRPr="00222F19">
        <w:rPr>
          <w:rFonts w:ascii="Arial" w:hAnsi="Arial" w:cs="Arial"/>
          <w:sz w:val="22"/>
        </w:rPr>
        <w:t>, </w:t>
      </w:r>
      <w:r w:rsidRPr="00222F19">
        <w:rPr>
          <w:rFonts w:ascii="Arial" w:hAnsi="Arial" w:cs="Arial"/>
          <w:i/>
          <w:iCs/>
          <w:sz w:val="22"/>
        </w:rPr>
        <w:t>4</w:t>
      </w:r>
      <w:r w:rsidRPr="00222F19">
        <w:rPr>
          <w:rFonts w:ascii="Arial" w:hAnsi="Arial" w:cs="Arial"/>
          <w:sz w:val="22"/>
        </w:rPr>
        <w:t>, p.100030.</w:t>
      </w:r>
    </w:p>
    <w:p w14:paraId="2B8BBC44" w14:textId="3F9C2A39"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Domschke, K. and Zwanzger, P., </w:t>
      </w:r>
      <w:r w:rsidR="0039018F" w:rsidRPr="00222F19">
        <w:rPr>
          <w:rFonts w:ascii="Arial" w:hAnsi="Arial" w:cs="Arial"/>
          <w:sz w:val="22"/>
        </w:rPr>
        <w:t>(</w:t>
      </w:r>
      <w:r w:rsidRPr="00222F19">
        <w:rPr>
          <w:rFonts w:ascii="Arial" w:hAnsi="Arial" w:cs="Arial"/>
          <w:sz w:val="22"/>
        </w:rPr>
        <w:t>2025</w:t>
      </w:r>
      <w:r w:rsidR="0039018F" w:rsidRPr="00222F19">
        <w:rPr>
          <w:rFonts w:ascii="Arial" w:hAnsi="Arial" w:cs="Arial"/>
          <w:sz w:val="22"/>
        </w:rPr>
        <w:t>)</w:t>
      </w:r>
      <w:r w:rsidRPr="00222F19">
        <w:rPr>
          <w:rFonts w:ascii="Arial" w:hAnsi="Arial" w:cs="Arial"/>
          <w:sz w:val="22"/>
        </w:rPr>
        <w:t>. Taxonomy of anxiety disorders—a comparison of ICD</w:t>
      </w:r>
      <w:r w:rsidRPr="00222F19">
        <w:rPr>
          <w:rFonts w:ascii="Arial" w:hAnsi="Arial" w:cs="Arial"/>
          <w:sz w:val="22"/>
        </w:rPr>
        <w:noBreakHyphen/>
        <w:t>10 and ICD</w:t>
      </w:r>
      <w:r w:rsidRPr="00222F19">
        <w:rPr>
          <w:rFonts w:ascii="Arial" w:hAnsi="Arial" w:cs="Arial"/>
          <w:sz w:val="22"/>
        </w:rPr>
        <w:noBreakHyphen/>
        <w:t>11. </w:t>
      </w:r>
      <w:r w:rsidRPr="00222F19">
        <w:rPr>
          <w:rFonts w:ascii="Arial" w:hAnsi="Arial" w:cs="Arial"/>
          <w:i/>
          <w:iCs/>
          <w:sz w:val="22"/>
        </w:rPr>
        <w:t>Der Nervenarzt</w:t>
      </w:r>
      <w:r w:rsidRPr="00222F19">
        <w:rPr>
          <w:rFonts w:ascii="Arial" w:hAnsi="Arial" w:cs="Arial"/>
          <w:sz w:val="22"/>
        </w:rPr>
        <w:t>, </w:t>
      </w:r>
      <w:r w:rsidRPr="00222F19">
        <w:rPr>
          <w:rFonts w:ascii="Arial" w:hAnsi="Arial" w:cs="Arial"/>
          <w:i/>
          <w:iCs/>
          <w:sz w:val="22"/>
        </w:rPr>
        <w:t>96</w:t>
      </w:r>
      <w:r w:rsidRPr="00222F19">
        <w:rPr>
          <w:rFonts w:ascii="Arial" w:hAnsi="Arial" w:cs="Arial"/>
          <w:sz w:val="22"/>
        </w:rPr>
        <w:t>(Suppl 1), pp.1-5.</w:t>
      </w:r>
    </w:p>
    <w:p w14:paraId="2AC23E7E" w14:textId="650CB142" w:rsidR="000913CA" w:rsidRPr="00AF77AC" w:rsidRDefault="00216E09" w:rsidP="00222F19">
      <w:pPr>
        <w:spacing w:line="360" w:lineRule="auto"/>
        <w:ind w:left="720" w:hanging="720"/>
        <w:jc w:val="both"/>
        <w:rPr>
          <w:rFonts w:ascii="Arial" w:hAnsi="Arial" w:cs="Arial"/>
          <w:sz w:val="22"/>
          <w:lang w:val="it-IT"/>
        </w:rPr>
      </w:pPr>
      <w:r w:rsidRPr="00222F19">
        <w:rPr>
          <w:rFonts w:ascii="Arial" w:hAnsi="Arial" w:cs="Arial"/>
          <w:sz w:val="22"/>
        </w:rPr>
        <w:t xml:space="preserve">Donato, S. and Ray, L.A., </w:t>
      </w:r>
      <w:r w:rsidR="0039018F" w:rsidRPr="00222F19">
        <w:rPr>
          <w:rFonts w:ascii="Arial" w:hAnsi="Arial" w:cs="Arial"/>
          <w:sz w:val="22"/>
        </w:rPr>
        <w:t>(</w:t>
      </w:r>
      <w:r w:rsidRPr="00222F19">
        <w:rPr>
          <w:rFonts w:ascii="Arial" w:hAnsi="Arial" w:cs="Arial"/>
          <w:sz w:val="22"/>
        </w:rPr>
        <w:t>2023</w:t>
      </w:r>
      <w:r w:rsidR="0039018F" w:rsidRPr="00222F19">
        <w:rPr>
          <w:rFonts w:ascii="Arial" w:hAnsi="Arial" w:cs="Arial"/>
          <w:sz w:val="22"/>
        </w:rPr>
        <w:t>)</w:t>
      </w:r>
      <w:r w:rsidRPr="00222F19">
        <w:rPr>
          <w:rFonts w:ascii="Arial" w:hAnsi="Arial" w:cs="Arial"/>
          <w:sz w:val="22"/>
        </w:rPr>
        <w:t>. Neurobiology and the treatment of alcohol use disorder: a review of the evidence base. </w:t>
      </w:r>
      <w:proofErr w:type="spellStart"/>
      <w:r w:rsidRPr="00AF77AC">
        <w:rPr>
          <w:rFonts w:ascii="Arial" w:hAnsi="Arial" w:cs="Arial"/>
          <w:i/>
          <w:iCs/>
          <w:sz w:val="22"/>
          <w:lang w:val="it-IT"/>
        </w:rPr>
        <w:t>Substance</w:t>
      </w:r>
      <w:proofErr w:type="spellEnd"/>
      <w:r w:rsidRPr="00AF77AC">
        <w:rPr>
          <w:rFonts w:ascii="Arial" w:hAnsi="Arial" w:cs="Arial"/>
          <w:i/>
          <w:iCs/>
          <w:sz w:val="22"/>
          <w:lang w:val="it-IT"/>
        </w:rPr>
        <w:t xml:space="preserve"> Abuse and </w:t>
      </w:r>
      <w:proofErr w:type="spellStart"/>
      <w:r w:rsidRPr="00AF77AC">
        <w:rPr>
          <w:rFonts w:ascii="Arial" w:hAnsi="Arial" w:cs="Arial"/>
          <w:i/>
          <w:iCs/>
          <w:sz w:val="22"/>
          <w:lang w:val="it-IT"/>
        </w:rPr>
        <w:t>Rehabilitation</w:t>
      </w:r>
      <w:proofErr w:type="spellEnd"/>
      <w:r w:rsidRPr="00AF77AC">
        <w:rPr>
          <w:rFonts w:ascii="Arial" w:hAnsi="Arial" w:cs="Arial"/>
          <w:sz w:val="22"/>
          <w:lang w:val="it-IT"/>
        </w:rPr>
        <w:t>, pp.157-166.</w:t>
      </w:r>
    </w:p>
    <w:p w14:paraId="78E42DAE" w14:textId="32F9280A" w:rsidR="000913CA" w:rsidRPr="00222F19" w:rsidRDefault="00216E09" w:rsidP="00222F19">
      <w:pPr>
        <w:spacing w:line="360" w:lineRule="auto"/>
        <w:ind w:left="720" w:hanging="720"/>
        <w:jc w:val="both"/>
        <w:rPr>
          <w:rFonts w:ascii="Arial" w:hAnsi="Arial" w:cs="Arial"/>
          <w:sz w:val="22"/>
        </w:rPr>
      </w:pPr>
      <w:r w:rsidRPr="00AF77AC">
        <w:rPr>
          <w:rFonts w:ascii="Arial" w:hAnsi="Arial" w:cs="Arial"/>
          <w:sz w:val="22"/>
          <w:lang w:val="it-IT"/>
        </w:rPr>
        <w:t xml:space="preserve">Fanelli, G., Raschi, E., Hafez, G., Matura, S., </w:t>
      </w:r>
      <w:proofErr w:type="spellStart"/>
      <w:r w:rsidRPr="00AF77AC">
        <w:rPr>
          <w:rFonts w:ascii="Arial" w:hAnsi="Arial" w:cs="Arial"/>
          <w:sz w:val="22"/>
          <w:lang w:val="it-IT"/>
        </w:rPr>
        <w:t>Schiweck</w:t>
      </w:r>
      <w:proofErr w:type="spellEnd"/>
      <w:r w:rsidRPr="00AF77AC">
        <w:rPr>
          <w:rFonts w:ascii="Arial" w:hAnsi="Arial" w:cs="Arial"/>
          <w:sz w:val="22"/>
          <w:lang w:val="it-IT"/>
        </w:rPr>
        <w:t xml:space="preserve">, C., Poluzzi, E. and Lunghi, C., </w:t>
      </w:r>
      <w:r w:rsidR="0039018F" w:rsidRPr="00AF77AC">
        <w:rPr>
          <w:rFonts w:ascii="Arial" w:hAnsi="Arial" w:cs="Arial"/>
          <w:sz w:val="22"/>
          <w:lang w:val="it-IT"/>
        </w:rPr>
        <w:t>(</w:t>
      </w:r>
      <w:r w:rsidRPr="00AF77AC">
        <w:rPr>
          <w:rFonts w:ascii="Arial" w:hAnsi="Arial" w:cs="Arial"/>
          <w:sz w:val="22"/>
          <w:lang w:val="it-IT"/>
        </w:rPr>
        <w:t>2025</w:t>
      </w:r>
      <w:r w:rsidR="0039018F" w:rsidRPr="00AF77AC">
        <w:rPr>
          <w:rFonts w:ascii="Arial" w:hAnsi="Arial" w:cs="Arial"/>
          <w:sz w:val="22"/>
          <w:lang w:val="it-IT"/>
        </w:rPr>
        <w:t>)</w:t>
      </w:r>
      <w:r w:rsidRPr="00AF77AC">
        <w:rPr>
          <w:rFonts w:ascii="Arial" w:hAnsi="Arial" w:cs="Arial"/>
          <w:sz w:val="22"/>
          <w:lang w:val="it-IT"/>
        </w:rPr>
        <w:t xml:space="preserve">. </w:t>
      </w:r>
      <w:r w:rsidRPr="00222F19">
        <w:rPr>
          <w:rFonts w:ascii="Arial" w:hAnsi="Arial" w:cs="Arial"/>
          <w:sz w:val="22"/>
        </w:rPr>
        <w:t>The interface of depression and diabetes: treatment considerations. </w:t>
      </w:r>
      <w:r w:rsidRPr="00222F19">
        <w:rPr>
          <w:rFonts w:ascii="Arial" w:hAnsi="Arial" w:cs="Arial"/>
          <w:i/>
          <w:iCs/>
          <w:sz w:val="22"/>
        </w:rPr>
        <w:t>Translational Psychiatry</w:t>
      </w:r>
      <w:r w:rsidRPr="00222F19">
        <w:rPr>
          <w:rFonts w:ascii="Arial" w:hAnsi="Arial" w:cs="Arial"/>
          <w:sz w:val="22"/>
        </w:rPr>
        <w:t>, </w:t>
      </w:r>
      <w:r w:rsidRPr="00222F19">
        <w:rPr>
          <w:rFonts w:ascii="Arial" w:hAnsi="Arial" w:cs="Arial"/>
          <w:i/>
          <w:iCs/>
          <w:sz w:val="22"/>
        </w:rPr>
        <w:t>15</w:t>
      </w:r>
      <w:r w:rsidRPr="00222F19">
        <w:rPr>
          <w:rFonts w:ascii="Arial" w:hAnsi="Arial" w:cs="Arial"/>
          <w:sz w:val="22"/>
        </w:rPr>
        <w:t>(1), p.22.</w:t>
      </w:r>
    </w:p>
    <w:p w14:paraId="64B9581B" w14:textId="1B81D32A" w:rsidR="000913CA" w:rsidRPr="00222F19" w:rsidRDefault="00216E09" w:rsidP="00222F19">
      <w:pPr>
        <w:spacing w:line="360" w:lineRule="auto"/>
        <w:ind w:left="720" w:hanging="720"/>
        <w:jc w:val="both"/>
        <w:rPr>
          <w:rFonts w:ascii="Arial" w:hAnsi="Arial" w:cs="Arial"/>
          <w:sz w:val="22"/>
        </w:rPr>
      </w:pPr>
      <w:r w:rsidRPr="00AF77AC">
        <w:rPr>
          <w:rFonts w:ascii="Arial" w:hAnsi="Arial" w:cs="Arial"/>
          <w:sz w:val="22"/>
          <w:lang w:val="it-IT"/>
        </w:rPr>
        <w:t>Faro, A., Tejada, J. and Al-</w:t>
      </w:r>
      <w:proofErr w:type="spellStart"/>
      <w:r w:rsidRPr="00AF77AC">
        <w:rPr>
          <w:rFonts w:ascii="Arial" w:hAnsi="Arial" w:cs="Arial"/>
          <w:sz w:val="22"/>
          <w:lang w:val="it-IT"/>
        </w:rPr>
        <w:t>Delaimy</w:t>
      </w:r>
      <w:proofErr w:type="spellEnd"/>
      <w:r w:rsidRPr="00AF77AC">
        <w:rPr>
          <w:rFonts w:ascii="Arial" w:hAnsi="Arial" w:cs="Arial"/>
          <w:sz w:val="22"/>
          <w:lang w:val="it-IT"/>
        </w:rPr>
        <w:t xml:space="preserve">, W., </w:t>
      </w:r>
      <w:r w:rsidR="0039018F" w:rsidRPr="00AF77AC">
        <w:rPr>
          <w:rFonts w:ascii="Arial" w:hAnsi="Arial" w:cs="Arial"/>
          <w:sz w:val="22"/>
          <w:lang w:val="it-IT"/>
        </w:rPr>
        <w:t>(</w:t>
      </w:r>
      <w:r w:rsidRPr="00AF77AC">
        <w:rPr>
          <w:rFonts w:ascii="Arial" w:hAnsi="Arial" w:cs="Arial"/>
          <w:sz w:val="22"/>
          <w:lang w:val="it-IT"/>
        </w:rPr>
        <w:t>2025</w:t>
      </w:r>
      <w:r w:rsidR="0039018F" w:rsidRPr="00AF77AC">
        <w:rPr>
          <w:rFonts w:ascii="Arial" w:hAnsi="Arial" w:cs="Arial"/>
          <w:sz w:val="22"/>
          <w:lang w:val="it-IT"/>
        </w:rPr>
        <w:t>)</w:t>
      </w:r>
      <w:r w:rsidRPr="00AF77AC">
        <w:rPr>
          <w:rFonts w:ascii="Arial" w:hAnsi="Arial" w:cs="Arial"/>
          <w:sz w:val="22"/>
          <w:lang w:val="it-IT"/>
        </w:rPr>
        <w:t xml:space="preserve">. </w:t>
      </w:r>
      <w:r w:rsidRPr="00222F19">
        <w:rPr>
          <w:rFonts w:ascii="Arial" w:hAnsi="Arial" w:cs="Arial"/>
          <w:sz w:val="22"/>
        </w:rPr>
        <w:t>Severity Classification of Anxiety and Depression Using Generalized Anxiety Disorder Scale and Patient Health Questionnaire: National Cross-Sectional Study Applying Classification and Regression Tree Models. </w:t>
      </w:r>
      <w:r w:rsidRPr="00222F19">
        <w:rPr>
          <w:rFonts w:ascii="Arial" w:hAnsi="Arial" w:cs="Arial"/>
          <w:i/>
          <w:iCs/>
          <w:sz w:val="22"/>
        </w:rPr>
        <w:t>JMIR Public Health and Surveillance</w:t>
      </w:r>
      <w:r w:rsidRPr="00222F19">
        <w:rPr>
          <w:rFonts w:ascii="Arial" w:hAnsi="Arial" w:cs="Arial"/>
          <w:sz w:val="22"/>
        </w:rPr>
        <w:t>, </w:t>
      </w:r>
      <w:r w:rsidRPr="00222F19">
        <w:rPr>
          <w:rFonts w:ascii="Arial" w:hAnsi="Arial" w:cs="Arial"/>
          <w:i/>
          <w:iCs/>
          <w:sz w:val="22"/>
        </w:rPr>
        <w:t>11</w:t>
      </w:r>
      <w:r w:rsidRPr="00222F19">
        <w:rPr>
          <w:rFonts w:ascii="Arial" w:hAnsi="Arial" w:cs="Arial"/>
          <w:sz w:val="22"/>
        </w:rPr>
        <w:t>, p.e72591.</w:t>
      </w:r>
    </w:p>
    <w:p w14:paraId="3575F33A" w14:textId="5E8EA954"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lastRenderedPageBreak/>
        <w:t xml:space="preserve">Ghaffari, H.A., </w:t>
      </w:r>
      <w:r w:rsidR="0039018F" w:rsidRPr="00222F19">
        <w:rPr>
          <w:rFonts w:ascii="Arial" w:hAnsi="Arial" w:cs="Arial"/>
          <w:sz w:val="22"/>
        </w:rPr>
        <w:t>(</w:t>
      </w:r>
      <w:r w:rsidRPr="00222F19">
        <w:rPr>
          <w:rFonts w:ascii="Arial" w:hAnsi="Arial" w:cs="Arial"/>
          <w:sz w:val="22"/>
        </w:rPr>
        <w:t>2025</w:t>
      </w:r>
      <w:r w:rsidR="0039018F" w:rsidRPr="00222F19">
        <w:rPr>
          <w:rFonts w:ascii="Arial" w:hAnsi="Arial" w:cs="Arial"/>
          <w:sz w:val="22"/>
        </w:rPr>
        <w:t>)</w:t>
      </w:r>
      <w:r w:rsidRPr="00222F19">
        <w:rPr>
          <w:rFonts w:ascii="Arial" w:hAnsi="Arial" w:cs="Arial"/>
          <w:sz w:val="22"/>
        </w:rPr>
        <w:t>. The Role of Cognitive Behavioral Therapy in the Treatment of Anxiety Disorders. </w:t>
      </w:r>
      <w:r w:rsidRPr="00222F19">
        <w:rPr>
          <w:rFonts w:ascii="Arial" w:hAnsi="Arial" w:cs="Arial"/>
          <w:i/>
          <w:iCs/>
          <w:sz w:val="22"/>
        </w:rPr>
        <w:t>Advanced Journal of Management, Humanity and Social Science</w:t>
      </w:r>
      <w:r w:rsidRPr="00222F19">
        <w:rPr>
          <w:rFonts w:ascii="Arial" w:hAnsi="Arial" w:cs="Arial"/>
          <w:sz w:val="22"/>
        </w:rPr>
        <w:t>, </w:t>
      </w:r>
      <w:r w:rsidRPr="00222F19">
        <w:rPr>
          <w:rFonts w:ascii="Arial" w:hAnsi="Arial" w:cs="Arial"/>
          <w:i/>
          <w:iCs/>
          <w:sz w:val="22"/>
        </w:rPr>
        <w:t>1</w:t>
      </w:r>
      <w:r w:rsidRPr="00222F19">
        <w:rPr>
          <w:rFonts w:ascii="Arial" w:hAnsi="Arial" w:cs="Arial"/>
          <w:sz w:val="22"/>
        </w:rPr>
        <w:t>(1), pp.17-32.</w:t>
      </w:r>
    </w:p>
    <w:p w14:paraId="0900D5BC" w14:textId="2202E8C3"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Gosmann, N.P., de Abreu Costa, M., de Barros Jaeger, M., Frozi, J., Spanemberg, L., Manfro, G.G., Cortese, S., Cuijpers, P., Pine, D.S. and Salum, G.A.,</w:t>
      </w:r>
      <w:r w:rsidR="0039018F" w:rsidRPr="00222F19">
        <w:rPr>
          <w:rFonts w:ascii="Arial" w:hAnsi="Arial" w:cs="Arial"/>
          <w:sz w:val="22"/>
        </w:rPr>
        <w:t xml:space="preserve"> (</w:t>
      </w:r>
      <w:r w:rsidRPr="00222F19">
        <w:rPr>
          <w:rFonts w:ascii="Arial" w:hAnsi="Arial" w:cs="Arial"/>
          <w:sz w:val="22"/>
        </w:rPr>
        <w:t>2023</w:t>
      </w:r>
      <w:r w:rsidR="0039018F" w:rsidRPr="00222F19">
        <w:rPr>
          <w:rFonts w:ascii="Arial" w:hAnsi="Arial" w:cs="Arial"/>
          <w:sz w:val="22"/>
        </w:rPr>
        <w:t>)</w:t>
      </w:r>
      <w:r w:rsidRPr="00222F19">
        <w:rPr>
          <w:rFonts w:ascii="Arial" w:hAnsi="Arial" w:cs="Arial"/>
          <w:sz w:val="22"/>
        </w:rPr>
        <w:t>. Incidence of adverse events and comparative tolerability of selective serotonin reuptake inhibitors, and serotonin and norepinephrine reuptake inhibitors for the treatment of anxiety, obsessive-compulsive, and stress disorders: a systematic review and network meta-analysis. </w:t>
      </w:r>
      <w:r w:rsidRPr="00222F19">
        <w:rPr>
          <w:rFonts w:ascii="Arial" w:hAnsi="Arial" w:cs="Arial"/>
          <w:i/>
          <w:iCs/>
          <w:sz w:val="22"/>
        </w:rPr>
        <w:t>Psychological Medicine</w:t>
      </w:r>
      <w:r w:rsidRPr="00222F19">
        <w:rPr>
          <w:rFonts w:ascii="Arial" w:hAnsi="Arial" w:cs="Arial"/>
          <w:sz w:val="22"/>
        </w:rPr>
        <w:t>, </w:t>
      </w:r>
      <w:r w:rsidRPr="00222F19">
        <w:rPr>
          <w:rFonts w:ascii="Arial" w:hAnsi="Arial" w:cs="Arial"/>
          <w:i/>
          <w:iCs/>
          <w:sz w:val="22"/>
        </w:rPr>
        <w:t>53</w:t>
      </w:r>
      <w:r w:rsidRPr="00222F19">
        <w:rPr>
          <w:rFonts w:ascii="Arial" w:hAnsi="Arial" w:cs="Arial"/>
          <w:sz w:val="22"/>
        </w:rPr>
        <w:t>(9), pp.3783-3792.</w:t>
      </w:r>
    </w:p>
    <w:p w14:paraId="001442BA" w14:textId="64A8543C"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Grego, M., Grego, K., Stojak, Ł., Popiela, D., Urbańska, K., Kwiatkowski, F., Baczewski, M. and Czyż, W., </w:t>
      </w:r>
      <w:r w:rsidR="0039018F" w:rsidRPr="00222F19">
        <w:rPr>
          <w:rFonts w:ascii="Arial" w:hAnsi="Arial" w:cs="Arial"/>
          <w:sz w:val="22"/>
        </w:rPr>
        <w:t>(</w:t>
      </w:r>
      <w:r w:rsidRPr="00222F19">
        <w:rPr>
          <w:rFonts w:ascii="Arial" w:hAnsi="Arial" w:cs="Arial"/>
          <w:sz w:val="22"/>
        </w:rPr>
        <w:t>2025</w:t>
      </w:r>
      <w:r w:rsidR="0039018F" w:rsidRPr="00222F19">
        <w:rPr>
          <w:rFonts w:ascii="Arial" w:hAnsi="Arial" w:cs="Arial"/>
          <w:sz w:val="22"/>
        </w:rPr>
        <w:t>)</w:t>
      </w:r>
      <w:r w:rsidRPr="00222F19">
        <w:rPr>
          <w:rFonts w:ascii="Arial" w:hAnsi="Arial" w:cs="Arial"/>
          <w:sz w:val="22"/>
        </w:rPr>
        <w:t>. Differences between SSRI and SNRI in depression treatment. </w:t>
      </w:r>
      <w:r w:rsidRPr="00222F19">
        <w:rPr>
          <w:rFonts w:ascii="Arial" w:hAnsi="Arial" w:cs="Arial"/>
          <w:i/>
          <w:iCs/>
          <w:sz w:val="22"/>
        </w:rPr>
        <w:t>Quality in Sport</w:t>
      </w:r>
      <w:r w:rsidRPr="00222F19">
        <w:rPr>
          <w:rFonts w:ascii="Arial" w:hAnsi="Arial" w:cs="Arial"/>
          <w:sz w:val="22"/>
        </w:rPr>
        <w:t>, </w:t>
      </w:r>
      <w:r w:rsidRPr="00222F19">
        <w:rPr>
          <w:rFonts w:ascii="Arial" w:hAnsi="Arial" w:cs="Arial"/>
          <w:i/>
          <w:iCs/>
          <w:sz w:val="22"/>
        </w:rPr>
        <w:t>37</w:t>
      </w:r>
      <w:r w:rsidRPr="00222F19">
        <w:rPr>
          <w:rFonts w:ascii="Arial" w:hAnsi="Arial" w:cs="Arial"/>
          <w:sz w:val="22"/>
        </w:rPr>
        <w:t>, pp.57038-57038.</w:t>
      </w:r>
    </w:p>
    <w:p w14:paraId="24507A3E" w14:textId="28B46202" w:rsidR="000913CA" w:rsidRPr="00222F19" w:rsidRDefault="00216E09" w:rsidP="00222F19">
      <w:pPr>
        <w:spacing w:line="360" w:lineRule="auto"/>
        <w:ind w:left="720" w:hanging="720"/>
        <w:jc w:val="both"/>
        <w:rPr>
          <w:rFonts w:ascii="Arial" w:hAnsi="Arial" w:cs="Arial"/>
          <w:sz w:val="22"/>
        </w:rPr>
      </w:pPr>
      <w:r w:rsidRPr="00AF77AC">
        <w:rPr>
          <w:rFonts w:ascii="Arial" w:hAnsi="Arial" w:cs="Arial"/>
          <w:sz w:val="22"/>
          <w:lang w:val="de-DE"/>
        </w:rPr>
        <w:t xml:space="preserve">Grzech, P., </w:t>
      </w:r>
      <w:proofErr w:type="spellStart"/>
      <w:r w:rsidRPr="00AF77AC">
        <w:rPr>
          <w:rFonts w:ascii="Arial" w:hAnsi="Arial" w:cs="Arial"/>
          <w:sz w:val="22"/>
          <w:lang w:val="de-DE"/>
        </w:rPr>
        <w:t>Zubrzycka</w:t>
      </w:r>
      <w:proofErr w:type="spellEnd"/>
      <w:r w:rsidRPr="00AF77AC">
        <w:rPr>
          <w:rFonts w:ascii="Arial" w:hAnsi="Arial" w:cs="Arial"/>
          <w:sz w:val="22"/>
          <w:lang w:val="de-DE"/>
        </w:rPr>
        <w:t xml:space="preserve">, W. and </w:t>
      </w:r>
      <w:proofErr w:type="spellStart"/>
      <w:r w:rsidRPr="00AF77AC">
        <w:rPr>
          <w:rFonts w:ascii="Arial" w:hAnsi="Arial" w:cs="Arial"/>
          <w:sz w:val="22"/>
          <w:lang w:val="de-DE"/>
        </w:rPr>
        <w:t>Gmyz</w:t>
      </w:r>
      <w:proofErr w:type="spellEnd"/>
      <w:r w:rsidRPr="00AF77AC">
        <w:rPr>
          <w:rFonts w:ascii="Arial" w:hAnsi="Arial" w:cs="Arial"/>
          <w:sz w:val="22"/>
          <w:lang w:val="de-DE"/>
        </w:rPr>
        <w:t xml:space="preserve">, J., </w:t>
      </w:r>
      <w:r w:rsidR="0039018F" w:rsidRPr="00AF77AC">
        <w:rPr>
          <w:rFonts w:ascii="Arial" w:hAnsi="Arial" w:cs="Arial"/>
          <w:sz w:val="22"/>
          <w:lang w:val="de-DE"/>
        </w:rPr>
        <w:t>(</w:t>
      </w:r>
      <w:r w:rsidRPr="00AF77AC">
        <w:rPr>
          <w:rFonts w:ascii="Arial" w:hAnsi="Arial" w:cs="Arial"/>
          <w:sz w:val="22"/>
          <w:lang w:val="de-DE"/>
        </w:rPr>
        <w:t>2025</w:t>
      </w:r>
      <w:r w:rsidR="0039018F" w:rsidRPr="00AF77AC">
        <w:rPr>
          <w:rFonts w:ascii="Arial" w:hAnsi="Arial" w:cs="Arial"/>
          <w:sz w:val="22"/>
          <w:lang w:val="de-DE"/>
        </w:rPr>
        <w:t>)</w:t>
      </w:r>
      <w:r w:rsidRPr="00AF77AC">
        <w:rPr>
          <w:rFonts w:ascii="Arial" w:hAnsi="Arial" w:cs="Arial"/>
          <w:sz w:val="22"/>
          <w:lang w:val="de-DE"/>
        </w:rPr>
        <w:t xml:space="preserve">. </w:t>
      </w:r>
      <w:r w:rsidRPr="00222F19">
        <w:rPr>
          <w:rFonts w:ascii="Arial" w:hAnsi="Arial" w:cs="Arial"/>
          <w:sz w:val="22"/>
        </w:rPr>
        <w:t>Where does the panic attack come from...–characteristics and forms of therapy for anxiety disorders. </w:t>
      </w:r>
      <w:r w:rsidRPr="00222F19">
        <w:rPr>
          <w:rFonts w:ascii="Arial" w:hAnsi="Arial" w:cs="Arial"/>
          <w:i/>
          <w:iCs/>
          <w:sz w:val="22"/>
        </w:rPr>
        <w:t>Journal of Education, Health and Sport</w:t>
      </w:r>
      <w:r w:rsidRPr="00222F19">
        <w:rPr>
          <w:rFonts w:ascii="Arial" w:hAnsi="Arial" w:cs="Arial"/>
          <w:sz w:val="22"/>
        </w:rPr>
        <w:t>, </w:t>
      </w:r>
      <w:r w:rsidRPr="00222F19">
        <w:rPr>
          <w:rFonts w:ascii="Arial" w:hAnsi="Arial" w:cs="Arial"/>
          <w:i/>
          <w:iCs/>
          <w:sz w:val="22"/>
        </w:rPr>
        <w:t>77</w:t>
      </w:r>
      <w:r w:rsidRPr="00222F19">
        <w:rPr>
          <w:rFonts w:ascii="Arial" w:hAnsi="Arial" w:cs="Arial"/>
          <w:sz w:val="22"/>
        </w:rPr>
        <w:t>, pp.56897-56897.</w:t>
      </w:r>
    </w:p>
    <w:p w14:paraId="3E6E577E" w14:textId="2B20A2E5"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Javaid, S.F., Hashim, I.J., Hashim, M.J., Stip, E., Samad, M.A. and Ahbabi, A.A., </w:t>
      </w:r>
      <w:r w:rsidR="0039018F" w:rsidRPr="00222F19">
        <w:rPr>
          <w:rFonts w:ascii="Arial" w:hAnsi="Arial" w:cs="Arial"/>
          <w:sz w:val="22"/>
        </w:rPr>
        <w:t>(</w:t>
      </w:r>
      <w:r w:rsidRPr="00222F19">
        <w:rPr>
          <w:rFonts w:ascii="Arial" w:hAnsi="Arial" w:cs="Arial"/>
          <w:sz w:val="22"/>
        </w:rPr>
        <w:t>2023</w:t>
      </w:r>
      <w:r w:rsidR="0039018F" w:rsidRPr="00222F19">
        <w:rPr>
          <w:rFonts w:ascii="Arial" w:hAnsi="Arial" w:cs="Arial"/>
          <w:sz w:val="22"/>
        </w:rPr>
        <w:t>)</w:t>
      </w:r>
      <w:r w:rsidRPr="00222F19">
        <w:rPr>
          <w:rFonts w:ascii="Arial" w:hAnsi="Arial" w:cs="Arial"/>
          <w:sz w:val="22"/>
        </w:rPr>
        <w:t>. Epidemiology of anxiety disorders: global burden and sociodemographic associations. </w:t>
      </w:r>
      <w:r w:rsidRPr="00222F19">
        <w:rPr>
          <w:rFonts w:ascii="Arial" w:hAnsi="Arial" w:cs="Arial"/>
          <w:i/>
          <w:iCs/>
          <w:sz w:val="22"/>
        </w:rPr>
        <w:t>Middle East Current Psychiatry</w:t>
      </w:r>
      <w:r w:rsidRPr="00222F19">
        <w:rPr>
          <w:rFonts w:ascii="Arial" w:hAnsi="Arial" w:cs="Arial"/>
          <w:sz w:val="22"/>
        </w:rPr>
        <w:t>, </w:t>
      </w:r>
      <w:r w:rsidRPr="00222F19">
        <w:rPr>
          <w:rFonts w:ascii="Arial" w:hAnsi="Arial" w:cs="Arial"/>
          <w:i/>
          <w:iCs/>
          <w:sz w:val="22"/>
        </w:rPr>
        <w:t>30</w:t>
      </w:r>
      <w:r w:rsidRPr="00222F19">
        <w:rPr>
          <w:rFonts w:ascii="Arial" w:hAnsi="Arial" w:cs="Arial"/>
          <w:sz w:val="22"/>
        </w:rPr>
        <w:t>(1), p.44.</w:t>
      </w:r>
    </w:p>
    <w:p w14:paraId="2A1F6261" w14:textId="1E15FF90"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Kogan, C.S., Wong, C.W. and Emmelkamp, P.M., </w:t>
      </w:r>
      <w:r w:rsidR="0039018F" w:rsidRPr="00222F19">
        <w:rPr>
          <w:rFonts w:ascii="Arial" w:hAnsi="Arial" w:cs="Arial"/>
          <w:sz w:val="22"/>
        </w:rPr>
        <w:t>(</w:t>
      </w:r>
      <w:r w:rsidRPr="00222F19">
        <w:rPr>
          <w:rFonts w:ascii="Arial" w:hAnsi="Arial" w:cs="Arial"/>
          <w:sz w:val="22"/>
        </w:rPr>
        <w:t>2024</w:t>
      </w:r>
      <w:r w:rsidR="0039018F" w:rsidRPr="00222F19">
        <w:rPr>
          <w:rFonts w:ascii="Arial" w:hAnsi="Arial" w:cs="Arial"/>
          <w:sz w:val="22"/>
        </w:rPr>
        <w:t>)</w:t>
      </w:r>
      <w:r w:rsidRPr="00222F19">
        <w:rPr>
          <w:rFonts w:ascii="Arial" w:hAnsi="Arial" w:cs="Arial"/>
          <w:sz w:val="22"/>
        </w:rPr>
        <w:t>. Anxiety and fear-related disorders.</w:t>
      </w:r>
    </w:p>
    <w:p w14:paraId="110DE268" w14:textId="4CF9FF05"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Lam, B.Y. and Hsu, S.S., </w:t>
      </w:r>
      <w:r w:rsidR="0039018F" w:rsidRPr="00222F19">
        <w:rPr>
          <w:rFonts w:ascii="Arial" w:hAnsi="Arial" w:cs="Arial"/>
          <w:sz w:val="22"/>
        </w:rPr>
        <w:t>(</w:t>
      </w:r>
      <w:r w:rsidRPr="00222F19">
        <w:rPr>
          <w:rFonts w:ascii="Arial" w:hAnsi="Arial" w:cs="Arial"/>
          <w:sz w:val="22"/>
        </w:rPr>
        <w:t>2024</w:t>
      </w:r>
      <w:r w:rsidR="0039018F" w:rsidRPr="00222F19">
        <w:rPr>
          <w:rFonts w:ascii="Arial" w:hAnsi="Arial" w:cs="Arial"/>
          <w:sz w:val="22"/>
        </w:rPr>
        <w:t>)</w:t>
      </w:r>
      <w:r w:rsidRPr="00222F19">
        <w:rPr>
          <w:rFonts w:ascii="Arial" w:hAnsi="Arial" w:cs="Arial"/>
          <w:sz w:val="22"/>
        </w:rPr>
        <w:t>. Psychological disorders. In </w:t>
      </w:r>
      <w:r w:rsidRPr="00222F19">
        <w:rPr>
          <w:rFonts w:ascii="Arial" w:hAnsi="Arial" w:cs="Arial"/>
          <w:i/>
          <w:iCs/>
          <w:sz w:val="22"/>
        </w:rPr>
        <w:t>Psychology in Asia</w:t>
      </w:r>
      <w:r w:rsidRPr="00222F19">
        <w:rPr>
          <w:rFonts w:ascii="Arial" w:hAnsi="Arial" w:cs="Arial"/>
          <w:sz w:val="22"/>
        </w:rPr>
        <w:t> (pp. 359-415). Routledge.</w:t>
      </w:r>
    </w:p>
    <w:p w14:paraId="5CB367FA" w14:textId="2DB93623"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Levy, H.C., Stevens, K.T. and Tolin, D.F., </w:t>
      </w:r>
      <w:r w:rsidR="0039018F" w:rsidRPr="00222F19">
        <w:rPr>
          <w:rFonts w:ascii="Arial" w:hAnsi="Arial" w:cs="Arial"/>
          <w:sz w:val="22"/>
        </w:rPr>
        <w:t>(</w:t>
      </w:r>
      <w:r w:rsidRPr="00222F19">
        <w:rPr>
          <w:rFonts w:ascii="Arial" w:hAnsi="Arial" w:cs="Arial"/>
          <w:sz w:val="22"/>
        </w:rPr>
        <w:t>2022</w:t>
      </w:r>
      <w:r w:rsidR="0039018F" w:rsidRPr="00222F19">
        <w:rPr>
          <w:rFonts w:ascii="Arial" w:hAnsi="Arial" w:cs="Arial"/>
          <w:sz w:val="22"/>
        </w:rPr>
        <w:t>)</w:t>
      </w:r>
      <w:r w:rsidRPr="00222F19">
        <w:rPr>
          <w:rFonts w:ascii="Arial" w:hAnsi="Arial" w:cs="Arial"/>
          <w:sz w:val="22"/>
        </w:rPr>
        <w:t>. Research Review: A meta</w:t>
      </w:r>
      <w:r w:rsidRPr="00222F19">
        <w:rPr>
          <w:rFonts w:ascii="Cambria Math" w:hAnsi="Cambria Math" w:cs="Cambria Math"/>
          <w:sz w:val="22"/>
        </w:rPr>
        <w:t>‐</w:t>
      </w:r>
      <w:r w:rsidRPr="00222F19">
        <w:rPr>
          <w:rFonts w:ascii="Arial" w:hAnsi="Arial" w:cs="Arial"/>
          <w:sz w:val="22"/>
        </w:rPr>
        <w:t>analysis of relapse rates in cognitive behavioral therapy for anxiety and related disorders in youth. </w:t>
      </w:r>
      <w:r w:rsidRPr="00222F19">
        <w:rPr>
          <w:rFonts w:ascii="Arial" w:hAnsi="Arial" w:cs="Arial"/>
          <w:i/>
          <w:iCs/>
          <w:sz w:val="22"/>
        </w:rPr>
        <w:t>Journal of Child Psychology and Psychiatry</w:t>
      </w:r>
      <w:r w:rsidRPr="00222F19">
        <w:rPr>
          <w:rFonts w:ascii="Arial" w:hAnsi="Arial" w:cs="Arial"/>
          <w:sz w:val="22"/>
        </w:rPr>
        <w:t>, </w:t>
      </w:r>
      <w:r w:rsidRPr="00222F19">
        <w:rPr>
          <w:rFonts w:ascii="Arial" w:hAnsi="Arial" w:cs="Arial"/>
          <w:i/>
          <w:iCs/>
          <w:sz w:val="22"/>
        </w:rPr>
        <w:t>63</w:t>
      </w:r>
      <w:r w:rsidRPr="00222F19">
        <w:rPr>
          <w:rFonts w:ascii="Arial" w:hAnsi="Arial" w:cs="Arial"/>
          <w:sz w:val="22"/>
        </w:rPr>
        <w:t>(3), pp.252-260.</w:t>
      </w:r>
    </w:p>
    <w:p w14:paraId="69A8C480" w14:textId="355EB5F5"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Maged, H., </w:t>
      </w:r>
      <w:r w:rsidR="0039018F" w:rsidRPr="00222F19">
        <w:rPr>
          <w:rFonts w:ascii="Arial" w:hAnsi="Arial" w:cs="Arial"/>
          <w:sz w:val="22"/>
        </w:rPr>
        <w:t>(</w:t>
      </w:r>
      <w:r w:rsidRPr="00222F19">
        <w:rPr>
          <w:rFonts w:ascii="Arial" w:hAnsi="Arial" w:cs="Arial"/>
          <w:sz w:val="22"/>
        </w:rPr>
        <w:t>2025</w:t>
      </w:r>
      <w:r w:rsidR="0039018F" w:rsidRPr="00222F19">
        <w:rPr>
          <w:rFonts w:ascii="Arial" w:hAnsi="Arial" w:cs="Arial"/>
          <w:sz w:val="22"/>
        </w:rPr>
        <w:t>)</w:t>
      </w:r>
      <w:r w:rsidRPr="00222F19">
        <w:rPr>
          <w:rFonts w:ascii="Arial" w:hAnsi="Arial" w:cs="Arial"/>
          <w:sz w:val="22"/>
        </w:rPr>
        <w:t>. Core Dimensions of Anxiety Disorder. </w:t>
      </w:r>
      <w:r w:rsidRPr="00222F19">
        <w:rPr>
          <w:rFonts w:ascii="Arial" w:hAnsi="Arial" w:cs="Arial"/>
          <w:i/>
          <w:iCs/>
          <w:sz w:val="22"/>
        </w:rPr>
        <w:t>Available at SSRN 5832562</w:t>
      </w:r>
      <w:r w:rsidRPr="00222F19">
        <w:rPr>
          <w:rFonts w:ascii="Arial" w:hAnsi="Arial" w:cs="Arial"/>
          <w:sz w:val="22"/>
        </w:rPr>
        <w:t>.</w:t>
      </w:r>
    </w:p>
    <w:p w14:paraId="0A8744CF" w14:textId="0D77384C"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Makhmirzaeva, G.G., Golubkina, E.S., Airapetyan, A.D., Root, V.A., Uran-oolovich, O.K., Kuzhuget, A.A. and Aliyeva, K.M., </w:t>
      </w:r>
      <w:r w:rsidR="0039018F" w:rsidRPr="00222F19">
        <w:rPr>
          <w:rFonts w:ascii="Arial" w:hAnsi="Arial" w:cs="Arial"/>
          <w:sz w:val="22"/>
        </w:rPr>
        <w:t>(</w:t>
      </w:r>
      <w:r w:rsidRPr="00222F19">
        <w:rPr>
          <w:rFonts w:ascii="Arial" w:hAnsi="Arial" w:cs="Arial"/>
          <w:sz w:val="22"/>
        </w:rPr>
        <w:t>2025</w:t>
      </w:r>
      <w:r w:rsidR="0039018F" w:rsidRPr="00222F19">
        <w:rPr>
          <w:rFonts w:ascii="Arial" w:hAnsi="Arial" w:cs="Arial"/>
          <w:sz w:val="22"/>
        </w:rPr>
        <w:t>)</w:t>
      </w:r>
      <w:r w:rsidRPr="00222F19">
        <w:rPr>
          <w:rFonts w:ascii="Arial" w:hAnsi="Arial" w:cs="Arial"/>
          <w:sz w:val="22"/>
        </w:rPr>
        <w:t>. The importance of early screening in preventing chronic diseases. </w:t>
      </w:r>
      <w:r w:rsidRPr="00222F19">
        <w:rPr>
          <w:rFonts w:ascii="Arial" w:hAnsi="Arial" w:cs="Arial"/>
          <w:i/>
          <w:iCs/>
          <w:sz w:val="22"/>
        </w:rPr>
        <w:t>Revista Latinoamericana de Hipertension</w:t>
      </w:r>
      <w:r w:rsidRPr="00222F19">
        <w:rPr>
          <w:rFonts w:ascii="Arial" w:hAnsi="Arial" w:cs="Arial"/>
          <w:sz w:val="22"/>
        </w:rPr>
        <w:t>, (1).</w:t>
      </w:r>
    </w:p>
    <w:p w14:paraId="026778AB" w14:textId="35CB1251"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Martínez, M.D.L.L.C., </w:t>
      </w:r>
      <w:r w:rsidR="0039018F" w:rsidRPr="00222F19">
        <w:rPr>
          <w:rFonts w:ascii="Arial" w:hAnsi="Arial" w:cs="Arial"/>
          <w:sz w:val="22"/>
        </w:rPr>
        <w:t>(</w:t>
      </w:r>
      <w:r w:rsidRPr="00222F19">
        <w:rPr>
          <w:rFonts w:ascii="Arial" w:hAnsi="Arial" w:cs="Arial"/>
          <w:sz w:val="22"/>
        </w:rPr>
        <w:t>2023</w:t>
      </w:r>
      <w:r w:rsidR="0039018F" w:rsidRPr="00222F19">
        <w:rPr>
          <w:rFonts w:ascii="Arial" w:hAnsi="Arial" w:cs="Arial"/>
          <w:sz w:val="22"/>
        </w:rPr>
        <w:t>)</w:t>
      </w:r>
      <w:r w:rsidRPr="00222F19">
        <w:rPr>
          <w:rFonts w:ascii="Arial" w:hAnsi="Arial" w:cs="Arial"/>
          <w:sz w:val="22"/>
        </w:rPr>
        <w:t>. The medicali</w:t>
      </w:r>
      <w:r w:rsidR="00CB7603" w:rsidRPr="00222F19">
        <w:rPr>
          <w:rFonts w:ascii="Arial" w:hAnsi="Arial" w:cs="Arial"/>
          <w:sz w:val="22"/>
        </w:rPr>
        <w:t>s</w:t>
      </w:r>
      <w:r w:rsidRPr="00222F19">
        <w:rPr>
          <w:rFonts w:ascii="Arial" w:hAnsi="Arial" w:cs="Arial"/>
          <w:sz w:val="22"/>
        </w:rPr>
        <w:t>ation of life: an interdisciplinary approach. </w:t>
      </w:r>
      <w:r w:rsidRPr="00222F19">
        <w:rPr>
          <w:rFonts w:ascii="Arial" w:hAnsi="Arial" w:cs="Arial"/>
          <w:i/>
          <w:iCs/>
          <w:sz w:val="22"/>
        </w:rPr>
        <w:t>Heliyon</w:t>
      </w:r>
      <w:r w:rsidRPr="00222F19">
        <w:rPr>
          <w:rFonts w:ascii="Arial" w:hAnsi="Arial" w:cs="Arial"/>
          <w:sz w:val="22"/>
        </w:rPr>
        <w:t>, </w:t>
      </w:r>
      <w:r w:rsidRPr="00222F19">
        <w:rPr>
          <w:rFonts w:ascii="Arial" w:hAnsi="Arial" w:cs="Arial"/>
          <w:i/>
          <w:iCs/>
          <w:sz w:val="22"/>
        </w:rPr>
        <w:t>9</w:t>
      </w:r>
      <w:r w:rsidRPr="00222F19">
        <w:rPr>
          <w:rFonts w:ascii="Arial" w:hAnsi="Arial" w:cs="Arial"/>
          <w:sz w:val="22"/>
        </w:rPr>
        <w:t>(6).</w:t>
      </w:r>
    </w:p>
    <w:p w14:paraId="568CE5D4" w14:textId="2E9227E5"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lastRenderedPageBreak/>
        <w:t xml:space="preserve">Mbiydzenyuy, N.E. and Qulu, L.A., </w:t>
      </w:r>
      <w:r w:rsidR="0039018F" w:rsidRPr="00222F19">
        <w:rPr>
          <w:rFonts w:ascii="Arial" w:hAnsi="Arial" w:cs="Arial"/>
          <w:sz w:val="22"/>
        </w:rPr>
        <w:t>(</w:t>
      </w:r>
      <w:r w:rsidRPr="00222F19">
        <w:rPr>
          <w:rFonts w:ascii="Arial" w:hAnsi="Arial" w:cs="Arial"/>
          <w:sz w:val="22"/>
        </w:rPr>
        <w:t>2024</w:t>
      </w:r>
      <w:r w:rsidR="002E09C1" w:rsidRPr="00222F19">
        <w:rPr>
          <w:rFonts w:ascii="Arial" w:hAnsi="Arial" w:cs="Arial"/>
          <w:sz w:val="22"/>
        </w:rPr>
        <w:t>)</w:t>
      </w:r>
      <w:r w:rsidRPr="00222F19">
        <w:rPr>
          <w:rFonts w:ascii="Arial" w:hAnsi="Arial" w:cs="Arial"/>
          <w:sz w:val="22"/>
        </w:rPr>
        <w:t>. Stress, hypothalamic-pituitary-adrenal axis, hypothalamic-pituitary-gonadal axis, and aggression. </w:t>
      </w:r>
      <w:r w:rsidRPr="00222F19">
        <w:rPr>
          <w:rFonts w:ascii="Arial" w:hAnsi="Arial" w:cs="Arial"/>
          <w:i/>
          <w:iCs/>
          <w:sz w:val="22"/>
        </w:rPr>
        <w:t>Metabolic brain disease</w:t>
      </w:r>
      <w:r w:rsidRPr="00222F19">
        <w:rPr>
          <w:rFonts w:ascii="Arial" w:hAnsi="Arial" w:cs="Arial"/>
          <w:sz w:val="22"/>
        </w:rPr>
        <w:t>, </w:t>
      </w:r>
      <w:r w:rsidRPr="00222F19">
        <w:rPr>
          <w:rFonts w:ascii="Arial" w:hAnsi="Arial" w:cs="Arial"/>
          <w:i/>
          <w:iCs/>
          <w:sz w:val="22"/>
        </w:rPr>
        <w:t>39</w:t>
      </w:r>
      <w:r w:rsidRPr="00222F19">
        <w:rPr>
          <w:rFonts w:ascii="Arial" w:hAnsi="Arial" w:cs="Arial"/>
          <w:sz w:val="22"/>
        </w:rPr>
        <w:t>(8), pp.1613-1636.</w:t>
      </w:r>
    </w:p>
    <w:p w14:paraId="7659C836" w14:textId="3F31F05A"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McCoy, R.E., </w:t>
      </w:r>
      <w:r w:rsidR="0039018F" w:rsidRPr="00222F19">
        <w:rPr>
          <w:rFonts w:ascii="Arial" w:hAnsi="Arial" w:cs="Arial"/>
          <w:sz w:val="22"/>
        </w:rPr>
        <w:t>(</w:t>
      </w:r>
      <w:r w:rsidRPr="00222F19">
        <w:rPr>
          <w:rFonts w:ascii="Arial" w:hAnsi="Arial" w:cs="Arial"/>
          <w:sz w:val="22"/>
        </w:rPr>
        <w:t>2023</w:t>
      </w:r>
      <w:r w:rsidR="002E09C1" w:rsidRPr="00222F19">
        <w:rPr>
          <w:rFonts w:ascii="Arial" w:hAnsi="Arial" w:cs="Arial"/>
          <w:sz w:val="22"/>
        </w:rPr>
        <w:t>)</w:t>
      </w:r>
      <w:r w:rsidRPr="00222F19">
        <w:rPr>
          <w:rFonts w:ascii="Arial" w:hAnsi="Arial" w:cs="Arial"/>
          <w:sz w:val="22"/>
        </w:rPr>
        <w:t>. </w:t>
      </w:r>
      <w:r w:rsidRPr="00222F19">
        <w:rPr>
          <w:rFonts w:ascii="Arial" w:hAnsi="Arial" w:cs="Arial"/>
          <w:i/>
          <w:iCs/>
          <w:sz w:val="22"/>
        </w:rPr>
        <w:t>Generali</w:t>
      </w:r>
      <w:r w:rsidR="00CB7603" w:rsidRPr="00222F19">
        <w:rPr>
          <w:rFonts w:ascii="Arial" w:hAnsi="Arial" w:cs="Arial"/>
          <w:i/>
          <w:iCs/>
          <w:sz w:val="22"/>
        </w:rPr>
        <w:t>s</w:t>
      </w:r>
      <w:r w:rsidRPr="00222F19">
        <w:rPr>
          <w:rFonts w:ascii="Arial" w:hAnsi="Arial" w:cs="Arial"/>
          <w:i/>
          <w:iCs/>
          <w:sz w:val="22"/>
        </w:rPr>
        <w:t>ed Anxiety Disorder Symptoms Stratified by Age in Primary Care</w:t>
      </w:r>
      <w:r w:rsidRPr="00222F19">
        <w:rPr>
          <w:rFonts w:ascii="Arial" w:hAnsi="Arial" w:cs="Arial"/>
          <w:sz w:val="22"/>
        </w:rPr>
        <w:t>. Walden University.</w:t>
      </w:r>
    </w:p>
    <w:p w14:paraId="6D62BA6C" w14:textId="38115462"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Milano, B.A., Moutoussis, M. and Convertino, L., </w:t>
      </w:r>
      <w:r w:rsidR="0039018F" w:rsidRPr="00222F19">
        <w:rPr>
          <w:rFonts w:ascii="Arial" w:hAnsi="Arial" w:cs="Arial"/>
          <w:sz w:val="22"/>
        </w:rPr>
        <w:t>(</w:t>
      </w:r>
      <w:r w:rsidRPr="00222F19">
        <w:rPr>
          <w:rFonts w:ascii="Arial" w:hAnsi="Arial" w:cs="Arial"/>
          <w:sz w:val="22"/>
        </w:rPr>
        <w:t>2023</w:t>
      </w:r>
      <w:r w:rsidR="002E09C1" w:rsidRPr="00222F19">
        <w:rPr>
          <w:rFonts w:ascii="Arial" w:hAnsi="Arial" w:cs="Arial"/>
          <w:sz w:val="22"/>
        </w:rPr>
        <w:t>)</w:t>
      </w:r>
      <w:r w:rsidRPr="00222F19">
        <w:rPr>
          <w:rFonts w:ascii="Arial" w:hAnsi="Arial" w:cs="Arial"/>
          <w:sz w:val="22"/>
        </w:rPr>
        <w:t>. The neurobiology of functional neurological disorders characterised by impaired awareness. </w:t>
      </w:r>
      <w:r w:rsidRPr="00222F19">
        <w:rPr>
          <w:rFonts w:ascii="Arial" w:hAnsi="Arial" w:cs="Arial"/>
          <w:i/>
          <w:iCs/>
          <w:sz w:val="22"/>
        </w:rPr>
        <w:t>Frontiers in psychiatry</w:t>
      </w:r>
      <w:r w:rsidRPr="00222F19">
        <w:rPr>
          <w:rFonts w:ascii="Arial" w:hAnsi="Arial" w:cs="Arial"/>
          <w:sz w:val="22"/>
        </w:rPr>
        <w:t>, </w:t>
      </w:r>
      <w:r w:rsidRPr="00222F19">
        <w:rPr>
          <w:rFonts w:ascii="Arial" w:hAnsi="Arial" w:cs="Arial"/>
          <w:i/>
          <w:iCs/>
          <w:sz w:val="22"/>
        </w:rPr>
        <w:t>14</w:t>
      </w:r>
      <w:r w:rsidRPr="00222F19">
        <w:rPr>
          <w:rFonts w:ascii="Arial" w:hAnsi="Arial" w:cs="Arial"/>
          <w:sz w:val="22"/>
        </w:rPr>
        <w:t>, p.1122865.</w:t>
      </w:r>
    </w:p>
    <w:p w14:paraId="7F96B658" w14:textId="0BDF056D"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Miskowiak, K.W., Yalin, N., Seeberg, I., Burdick, K.E., Balanzá</w:t>
      </w:r>
      <w:r w:rsidRPr="00222F19">
        <w:rPr>
          <w:rFonts w:ascii="Cambria Math" w:hAnsi="Cambria Math" w:cs="Cambria Math"/>
          <w:sz w:val="22"/>
        </w:rPr>
        <w:t>‐</w:t>
      </w:r>
      <w:r w:rsidRPr="00222F19">
        <w:rPr>
          <w:rFonts w:ascii="Arial" w:hAnsi="Arial" w:cs="Arial"/>
          <w:sz w:val="22"/>
        </w:rPr>
        <w:t xml:space="preserve">Martínez, V., Bonnin, C.D.M., Bowie, C.R., Carvalho, A.F., Dols, A., Douglas, K. and Gallagher, P., </w:t>
      </w:r>
      <w:r w:rsidR="0039018F" w:rsidRPr="00222F19">
        <w:rPr>
          <w:rFonts w:ascii="Arial" w:hAnsi="Arial" w:cs="Arial"/>
          <w:sz w:val="22"/>
        </w:rPr>
        <w:t>(</w:t>
      </w:r>
      <w:r w:rsidRPr="00222F19">
        <w:rPr>
          <w:rFonts w:ascii="Arial" w:hAnsi="Arial" w:cs="Arial"/>
          <w:sz w:val="22"/>
        </w:rPr>
        <w:t>2022</w:t>
      </w:r>
      <w:r w:rsidR="002E09C1" w:rsidRPr="00222F19">
        <w:rPr>
          <w:rFonts w:ascii="Arial" w:hAnsi="Arial" w:cs="Arial"/>
          <w:sz w:val="22"/>
        </w:rPr>
        <w:t>)</w:t>
      </w:r>
      <w:r w:rsidRPr="00222F19">
        <w:rPr>
          <w:rFonts w:ascii="Arial" w:hAnsi="Arial" w:cs="Arial"/>
          <w:sz w:val="22"/>
        </w:rPr>
        <w:t>. Can magnetic resonance imaging enhance the assessment of potential new treatments for cognitive impairment in mood disorders? A systematic review and position paper by the International Society for Bipolar Disorders Targeting Cognition Task Force. </w:t>
      </w:r>
      <w:r w:rsidRPr="00222F19">
        <w:rPr>
          <w:rFonts w:ascii="Arial" w:hAnsi="Arial" w:cs="Arial"/>
          <w:i/>
          <w:iCs/>
          <w:sz w:val="22"/>
        </w:rPr>
        <w:t>Bipolar disorders</w:t>
      </w:r>
      <w:r w:rsidRPr="00222F19">
        <w:rPr>
          <w:rFonts w:ascii="Arial" w:hAnsi="Arial" w:cs="Arial"/>
          <w:sz w:val="22"/>
        </w:rPr>
        <w:t>, </w:t>
      </w:r>
      <w:r w:rsidRPr="00222F19">
        <w:rPr>
          <w:rFonts w:ascii="Arial" w:hAnsi="Arial" w:cs="Arial"/>
          <w:i/>
          <w:iCs/>
          <w:sz w:val="22"/>
        </w:rPr>
        <w:t>24</w:t>
      </w:r>
      <w:r w:rsidRPr="00222F19">
        <w:rPr>
          <w:rFonts w:ascii="Arial" w:hAnsi="Arial" w:cs="Arial"/>
          <w:sz w:val="22"/>
        </w:rPr>
        <w:t>(6), pp.615-636.</w:t>
      </w:r>
    </w:p>
    <w:p w14:paraId="53DE4A93" w14:textId="05DFE790"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Moreland-Capuia, A.R., Vahabzadeh, A., Gillespie, C.F. and Ressler, K.J., </w:t>
      </w:r>
      <w:r w:rsidR="0039018F" w:rsidRPr="00222F19">
        <w:rPr>
          <w:rFonts w:ascii="Arial" w:hAnsi="Arial" w:cs="Arial"/>
          <w:sz w:val="22"/>
        </w:rPr>
        <w:t>(</w:t>
      </w:r>
      <w:r w:rsidRPr="00222F19">
        <w:rPr>
          <w:rFonts w:ascii="Arial" w:hAnsi="Arial" w:cs="Arial"/>
          <w:sz w:val="22"/>
        </w:rPr>
        <w:t>2023</w:t>
      </w:r>
      <w:r w:rsidR="002E09C1" w:rsidRPr="00222F19">
        <w:rPr>
          <w:rFonts w:ascii="Arial" w:hAnsi="Arial" w:cs="Arial"/>
          <w:sz w:val="22"/>
        </w:rPr>
        <w:t>)</w:t>
      </w:r>
      <w:r w:rsidRPr="00222F19">
        <w:rPr>
          <w:rFonts w:ascii="Arial" w:hAnsi="Arial" w:cs="Arial"/>
          <w:sz w:val="22"/>
        </w:rPr>
        <w:t>. Fear-related anxiety disorders and posttraumatic stress disorder. Neurobiology of brain disorders, pp.811-824.</w:t>
      </w:r>
    </w:p>
    <w:p w14:paraId="11DFC5F1" w14:textId="103C137B"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Pan, B. and Wang, W., </w:t>
      </w:r>
      <w:r w:rsidR="0039018F" w:rsidRPr="00222F19">
        <w:rPr>
          <w:rFonts w:ascii="Arial" w:hAnsi="Arial" w:cs="Arial"/>
          <w:sz w:val="22"/>
        </w:rPr>
        <w:t>(</w:t>
      </w:r>
      <w:r w:rsidRPr="00222F19">
        <w:rPr>
          <w:rFonts w:ascii="Arial" w:hAnsi="Arial" w:cs="Arial"/>
          <w:sz w:val="22"/>
        </w:rPr>
        <w:t>2024</w:t>
      </w:r>
      <w:r w:rsidR="0039018F" w:rsidRPr="00222F19">
        <w:rPr>
          <w:rFonts w:ascii="Arial" w:hAnsi="Arial" w:cs="Arial"/>
          <w:sz w:val="22"/>
        </w:rPr>
        <w:t>)</w:t>
      </w:r>
      <w:r w:rsidRPr="00222F19">
        <w:rPr>
          <w:rFonts w:ascii="Arial" w:hAnsi="Arial" w:cs="Arial"/>
          <w:sz w:val="22"/>
        </w:rPr>
        <w:t>. Practical implications of ICD-11 personality disorder classifications. BMC psychiatry, 24(1), p.191.</w:t>
      </w:r>
    </w:p>
    <w:p w14:paraId="50B96E8A" w14:textId="1DF748F0"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Pfeiffer, S. and In-Albon, T., </w:t>
      </w:r>
      <w:r w:rsidR="00310392" w:rsidRPr="00222F19">
        <w:rPr>
          <w:rFonts w:ascii="Arial" w:hAnsi="Arial" w:cs="Arial"/>
          <w:sz w:val="22"/>
        </w:rPr>
        <w:t>(</w:t>
      </w:r>
      <w:r w:rsidRPr="00222F19">
        <w:rPr>
          <w:rFonts w:ascii="Arial" w:hAnsi="Arial" w:cs="Arial"/>
          <w:sz w:val="22"/>
        </w:rPr>
        <w:t>2022</w:t>
      </w:r>
      <w:r w:rsidR="00310392" w:rsidRPr="00222F19">
        <w:rPr>
          <w:rFonts w:ascii="Arial" w:hAnsi="Arial" w:cs="Arial"/>
          <w:sz w:val="22"/>
        </w:rPr>
        <w:t>)</w:t>
      </w:r>
      <w:r w:rsidRPr="00222F19">
        <w:rPr>
          <w:rFonts w:ascii="Arial" w:hAnsi="Arial" w:cs="Arial"/>
          <w:sz w:val="22"/>
        </w:rPr>
        <w:t>. Barriers to seeking psychotherapy for mental health problems in adolescents: A mixed method study. </w:t>
      </w:r>
      <w:r w:rsidRPr="00222F19">
        <w:rPr>
          <w:rFonts w:ascii="Arial" w:hAnsi="Arial" w:cs="Arial"/>
          <w:i/>
          <w:iCs/>
          <w:sz w:val="22"/>
        </w:rPr>
        <w:t>Journal of Child and Family Studies</w:t>
      </w:r>
      <w:r w:rsidRPr="00222F19">
        <w:rPr>
          <w:rFonts w:ascii="Arial" w:hAnsi="Arial" w:cs="Arial"/>
          <w:sz w:val="22"/>
        </w:rPr>
        <w:t>, </w:t>
      </w:r>
      <w:r w:rsidRPr="00222F19">
        <w:rPr>
          <w:rFonts w:ascii="Arial" w:hAnsi="Arial" w:cs="Arial"/>
          <w:i/>
          <w:iCs/>
          <w:sz w:val="22"/>
        </w:rPr>
        <w:t>31</w:t>
      </w:r>
      <w:r w:rsidRPr="00222F19">
        <w:rPr>
          <w:rFonts w:ascii="Arial" w:hAnsi="Arial" w:cs="Arial"/>
          <w:sz w:val="22"/>
        </w:rPr>
        <w:t>(9), pp.2571-2581.</w:t>
      </w:r>
    </w:p>
    <w:p w14:paraId="74D2829D" w14:textId="67C06673"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Pittig, A., Heinig, I., Arolt, V., Bartnick, C., Dannlowski, U., Deckert, J., Domschke, K., Fydrich, T., Goerigk, S., Hamm, A.O. and Hollandt, M., </w:t>
      </w:r>
      <w:r w:rsidR="0083486D" w:rsidRPr="00222F19">
        <w:rPr>
          <w:rFonts w:ascii="Arial" w:hAnsi="Arial" w:cs="Arial"/>
          <w:sz w:val="22"/>
        </w:rPr>
        <w:t>(</w:t>
      </w:r>
      <w:r w:rsidRPr="00222F19">
        <w:rPr>
          <w:rFonts w:ascii="Arial" w:hAnsi="Arial" w:cs="Arial"/>
          <w:sz w:val="22"/>
        </w:rPr>
        <w:t>2025</w:t>
      </w:r>
      <w:r w:rsidR="0083486D" w:rsidRPr="00222F19">
        <w:rPr>
          <w:rFonts w:ascii="Arial" w:hAnsi="Arial" w:cs="Arial"/>
          <w:sz w:val="22"/>
        </w:rPr>
        <w:t>)</w:t>
      </w:r>
      <w:r w:rsidRPr="00222F19">
        <w:rPr>
          <w:rFonts w:ascii="Arial" w:hAnsi="Arial" w:cs="Arial"/>
          <w:sz w:val="22"/>
        </w:rPr>
        <w:t>. Sustainability of Treatment Success 5 Years after Exposure-Based Cognitive-Behavioral Therapy for Anxiety Disorders. </w:t>
      </w:r>
      <w:r w:rsidRPr="00222F19">
        <w:rPr>
          <w:rFonts w:ascii="Arial" w:hAnsi="Arial" w:cs="Arial"/>
          <w:i/>
          <w:iCs/>
          <w:sz w:val="22"/>
        </w:rPr>
        <w:t>Psychotherapy and Psychosomatics</w:t>
      </w:r>
      <w:r w:rsidRPr="00222F19">
        <w:rPr>
          <w:rFonts w:ascii="Arial" w:hAnsi="Arial" w:cs="Arial"/>
          <w:sz w:val="22"/>
        </w:rPr>
        <w:t>.</w:t>
      </w:r>
    </w:p>
    <w:p w14:paraId="4AE9C31C" w14:textId="680F3A49"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Rego, S.A., </w:t>
      </w:r>
      <w:r w:rsidR="00BB1841" w:rsidRPr="00222F19">
        <w:rPr>
          <w:rFonts w:ascii="Arial" w:hAnsi="Arial" w:cs="Arial"/>
          <w:sz w:val="22"/>
        </w:rPr>
        <w:t>(</w:t>
      </w:r>
      <w:r w:rsidRPr="00222F19">
        <w:rPr>
          <w:rFonts w:ascii="Arial" w:hAnsi="Arial" w:cs="Arial"/>
          <w:sz w:val="22"/>
        </w:rPr>
        <w:t>2025</w:t>
      </w:r>
      <w:r w:rsidR="00BB1841" w:rsidRPr="00222F19">
        <w:rPr>
          <w:rFonts w:ascii="Arial" w:hAnsi="Arial" w:cs="Arial"/>
          <w:sz w:val="22"/>
        </w:rPr>
        <w:t>)</w:t>
      </w:r>
      <w:r w:rsidRPr="00222F19">
        <w:rPr>
          <w:rFonts w:ascii="Arial" w:hAnsi="Arial" w:cs="Arial"/>
          <w:sz w:val="22"/>
        </w:rPr>
        <w:t>. </w:t>
      </w:r>
      <w:r w:rsidRPr="00222F19">
        <w:rPr>
          <w:rFonts w:ascii="Arial" w:hAnsi="Arial" w:cs="Arial"/>
          <w:i/>
          <w:iCs/>
          <w:sz w:val="22"/>
        </w:rPr>
        <w:t>Panic Disorder and Agoraphobia</w:t>
      </w:r>
      <w:r w:rsidRPr="00222F19">
        <w:rPr>
          <w:rFonts w:ascii="Arial" w:hAnsi="Arial" w:cs="Arial"/>
          <w:sz w:val="22"/>
        </w:rPr>
        <w:t> (Vol. 55). Hogrefe Publishing.</w:t>
      </w:r>
    </w:p>
    <w:p w14:paraId="04EEEF9A" w14:textId="2D2BEE49"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Sarier, M., Demir, M., Emek, M., Özgen, A., Turgut, H. and Özdemir, C., </w:t>
      </w:r>
      <w:r w:rsidR="0083486D" w:rsidRPr="00222F19">
        <w:rPr>
          <w:rFonts w:ascii="Arial" w:hAnsi="Arial" w:cs="Arial"/>
          <w:sz w:val="22"/>
        </w:rPr>
        <w:t>(</w:t>
      </w:r>
      <w:r w:rsidRPr="00222F19">
        <w:rPr>
          <w:rFonts w:ascii="Arial" w:hAnsi="Arial" w:cs="Arial"/>
          <w:sz w:val="22"/>
        </w:rPr>
        <w:t>2023</w:t>
      </w:r>
      <w:r w:rsidR="0083486D" w:rsidRPr="00222F19">
        <w:rPr>
          <w:rFonts w:ascii="Arial" w:hAnsi="Arial" w:cs="Arial"/>
          <w:sz w:val="22"/>
        </w:rPr>
        <w:t>)</w:t>
      </w:r>
      <w:r w:rsidRPr="00222F19">
        <w:rPr>
          <w:rFonts w:ascii="Arial" w:hAnsi="Arial" w:cs="Arial"/>
          <w:sz w:val="22"/>
        </w:rPr>
        <w:t>. Association between selective serotonin and serotonin–noradrenaline reuptake inhibitor therapy and hematuria. Nordic Journal of Psychiatry, 77(1), pp.31-35.m</w:t>
      </w:r>
    </w:p>
    <w:p w14:paraId="5D6AA609" w14:textId="2A2EC419"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lastRenderedPageBreak/>
        <w:t xml:space="preserve">Scala, J.J., Ganz, A.B. and Snyder, M.P., </w:t>
      </w:r>
      <w:r w:rsidR="002B4E01" w:rsidRPr="00222F19">
        <w:rPr>
          <w:rFonts w:ascii="Arial" w:hAnsi="Arial" w:cs="Arial"/>
          <w:sz w:val="22"/>
        </w:rPr>
        <w:t>(</w:t>
      </w:r>
      <w:r w:rsidRPr="00222F19">
        <w:rPr>
          <w:rFonts w:ascii="Arial" w:hAnsi="Arial" w:cs="Arial"/>
          <w:sz w:val="22"/>
        </w:rPr>
        <w:t>2023</w:t>
      </w:r>
      <w:r w:rsidR="002B4E01" w:rsidRPr="00222F19">
        <w:rPr>
          <w:rFonts w:ascii="Arial" w:hAnsi="Arial" w:cs="Arial"/>
          <w:sz w:val="22"/>
        </w:rPr>
        <w:t>)</w:t>
      </w:r>
      <w:r w:rsidRPr="00222F19">
        <w:rPr>
          <w:rFonts w:ascii="Arial" w:hAnsi="Arial" w:cs="Arial"/>
          <w:sz w:val="22"/>
        </w:rPr>
        <w:t>. Precision medicine approaches to mental health care. </w:t>
      </w:r>
      <w:r w:rsidRPr="00222F19">
        <w:rPr>
          <w:rFonts w:ascii="Arial" w:hAnsi="Arial" w:cs="Arial"/>
          <w:i/>
          <w:iCs/>
          <w:sz w:val="22"/>
        </w:rPr>
        <w:t>Physiology</w:t>
      </w:r>
      <w:r w:rsidRPr="00222F19">
        <w:rPr>
          <w:rFonts w:ascii="Arial" w:hAnsi="Arial" w:cs="Arial"/>
          <w:sz w:val="22"/>
        </w:rPr>
        <w:t>, </w:t>
      </w:r>
      <w:r w:rsidRPr="00222F19">
        <w:rPr>
          <w:rFonts w:ascii="Arial" w:hAnsi="Arial" w:cs="Arial"/>
          <w:i/>
          <w:iCs/>
          <w:sz w:val="22"/>
        </w:rPr>
        <w:t>38</w:t>
      </w:r>
      <w:r w:rsidRPr="00222F19">
        <w:rPr>
          <w:rFonts w:ascii="Arial" w:hAnsi="Arial" w:cs="Arial"/>
          <w:sz w:val="22"/>
        </w:rPr>
        <w:t>(2), pp.82-98.</w:t>
      </w:r>
    </w:p>
    <w:p w14:paraId="5F707EDC" w14:textId="62E08222"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 xml:space="preserve">Szuhany, K.L. and Simon, N.M., </w:t>
      </w:r>
      <w:r w:rsidR="005D1992" w:rsidRPr="00222F19">
        <w:rPr>
          <w:rFonts w:ascii="Arial" w:hAnsi="Arial" w:cs="Arial"/>
          <w:sz w:val="22"/>
        </w:rPr>
        <w:t>(</w:t>
      </w:r>
      <w:r w:rsidRPr="00222F19">
        <w:rPr>
          <w:rFonts w:ascii="Arial" w:hAnsi="Arial" w:cs="Arial"/>
          <w:sz w:val="22"/>
        </w:rPr>
        <w:t>2022</w:t>
      </w:r>
      <w:r w:rsidR="005D1992" w:rsidRPr="00222F19">
        <w:rPr>
          <w:rFonts w:ascii="Arial" w:hAnsi="Arial" w:cs="Arial"/>
          <w:sz w:val="22"/>
        </w:rPr>
        <w:t>)</w:t>
      </w:r>
      <w:r w:rsidRPr="00222F19">
        <w:rPr>
          <w:rFonts w:ascii="Arial" w:hAnsi="Arial" w:cs="Arial"/>
          <w:sz w:val="22"/>
        </w:rPr>
        <w:t>. Anxiety disorders: a review. </w:t>
      </w:r>
      <w:r w:rsidRPr="00222F19">
        <w:rPr>
          <w:rFonts w:ascii="Arial" w:hAnsi="Arial" w:cs="Arial"/>
          <w:i/>
          <w:iCs/>
          <w:sz w:val="22"/>
        </w:rPr>
        <w:t>Jama</w:t>
      </w:r>
      <w:r w:rsidRPr="00222F19">
        <w:rPr>
          <w:rFonts w:ascii="Arial" w:hAnsi="Arial" w:cs="Arial"/>
          <w:sz w:val="22"/>
        </w:rPr>
        <w:t>, </w:t>
      </w:r>
      <w:r w:rsidRPr="00222F19">
        <w:rPr>
          <w:rFonts w:ascii="Arial" w:hAnsi="Arial" w:cs="Arial"/>
          <w:i/>
          <w:iCs/>
          <w:sz w:val="22"/>
        </w:rPr>
        <w:t>328</w:t>
      </w:r>
      <w:r w:rsidRPr="00222F19">
        <w:rPr>
          <w:rFonts w:ascii="Arial" w:hAnsi="Arial" w:cs="Arial"/>
          <w:sz w:val="22"/>
        </w:rPr>
        <w:t>(24), pp.2431-2445.</w:t>
      </w:r>
    </w:p>
    <w:p w14:paraId="79BFA4B8" w14:textId="77777777"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Tunnell, N.C., Corner, S.E., Roque, A.D., Kroll, J.L., Ritz, T. and Meuret, A.E., 2024. Biobehavioral approach to distinguishing panic symptoms from medical illness. </w:t>
      </w:r>
      <w:r w:rsidRPr="00222F19">
        <w:rPr>
          <w:rFonts w:ascii="Arial" w:hAnsi="Arial" w:cs="Arial"/>
          <w:i/>
          <w:iCs/>
          <w:sz w:val="22"/>
        </w:rPr>
        <w:t>Frontiers in psychiatry</w:t>
      </w:r>
      <w:r w:rsidRPr="00222F19">
        <w:rPr>
          <w:rFonts w:ascii="Arial" w:hAnsi="Arial" w:cs="Arial"/>
          <w:sz w:val="22"/>
        </w:rPr>
        <w:t>, </w:t>
      </w:r>
      <w:r w:rsidRPr="00222F19">
        <w:rPr>
          <w:rFonts w:ascii="Arial" w:hAnsi="Arial" w:cs="Arial"/>
          <w:i/>
          <w:iCs/>
          <w:sz w:val="22"/>
        </w:rPr>
        <w:t>15</w:t>
      </w:r>
      <w:r w:rsidRPr="00222F19">
        <w:rPr>
          <w:rFonts w:ascii="Arial" w:hAnsi="Arial" w:cs="Arial"/>
          <w:sz w:val="22"/>
        </w:rPr>
        <w:t>, p.1296569.</w:t>
      </w:r>
    </w:p>
    <w:p w14:paraId="6F603B23" w14:textId="4DFBFBFB" w:rsidR="000913CA" w:rsidRPr="00222F19" w:rsidRDefault="00216E09" w:rsidP="00222F19">
      <w:pPr>
        <w:spacing w:line="360" w:lineRule="auto"/>
        <w:ind w:left="720" w:hanging="720"/>
        <w:jc w:val="both"/>
        <w:rPr>
          <w:rFonts w:ascii="Arial" w:hAnsi="Arial" w:cs="Arial"/>
          <w:sz w:val="22"/>
        </w:rPr>
      </w:pPr>
      <w:r w:rsidRPr="00222F19">
        <w:rPr>
          <w:rFonts w:ascii="Arial" w:hAnsi="Arial" w:cs="Arial"/>
          <w:sz w:val="22"/>
        </w:rPr>
        <w:t>World Health Organi</w:t>
      </w:r>
      <w:r w:rsidR="00CB7603" w:rsidRPr="00222F19">
        <w:rPr>
          <w:rFonts w:ascii="Arial" w:hAnsi="Arial" w:cs="Arial"/>
          <w:sz w:val="22"/>
        </w:rPr>
        <w:t>s</w:t>
      </w:r>
      <w:r w:rsidRPr="00222F19">
        <w:rPr>
          <w:rFonts w:ascii="Arial" w:hAnsi="Arial" w:cs="Arial"/>
          <w:sz w:val="22"/>
        </w:rPr>
        <w:t xml:space="preserve">ation, </w:t>
      </w:r>
      <w:r w:rsidR="00A2730D" w:rsidRPr="00222F19">
        <w:rPr>
          <w:rFonts w:ascii="Arial" w:hAnsi="Arial" w:cs="Arial"/>
          <w:sz w:val="22"/>
        </w:rPr>
        <w:t>(</w:t>
      </w:r>
      <w:r w:rsidRPr="00222F19">
        <w:rPr>
          <w:rFonts w:ascii="Arial" w:hAnsi="Arial" w:cs="Arial"/>
          <w:sz w:val="22"/>
        </w:rPr>
        <w:t>2024</w:t>
      </w:r>
      <w:r w:rsidR="00A2730D" w:rsidRPr="00222F19">
        <w:rPr>
          <w:rFonts w:ascii="Arial" w:hAnsi="Arial" w:cs="Arial"/>
          <w:sz w:val="22"/>
        </w:rPr>
        <w:t>)</w:t>
      </w:r>
      <w:r w:rsidRPr="00222F19">
        <w:rPr>
          <w:rFonts w:ascii="Arial" w:hAnsi="Arial" w:cs="Arial"/>
          <w:sz w:val="22"/>
        </w:rPr>
        <w:t>. </w:t>
      </w:r>
      <w:r w:rsidRPr="00222F19">
        <w:rPr>
          <w:rFonts w:ascii="Arial" w:hAnsi="Arial" w:cs="Arial"/>
          <w:i/>
          <w:iCs/>
          <w:sz w:val="22"/>
        </w:rPr>
        <w:t>Clinical descriptions and diagnostic requirements for ICD-11 mental, behavioural and neurodevelopmental disorders</w:t>
      </w:r>
      <w:r w:rsidRPr="00222F19">
        <w:rPr>
          <w:rFonts w:ascii="Arial" w:hAnsi="Arial" w:cs="Arial"/>
          <w:sz w:val="22"/>
        </w:rPr>
        <w:t>. World Health Organi</w:t>
      </w:r>
      <w:r w:rsidR="00CB7603" w:rsidRPr="00222F19">
        <w:rPr>
          <w:rFonts w:ascii="Arial" w:hAnsi="Arial" w:cs="Arial"/>
          <w:sz w:val="22"/>
        </w:rPr>
        <w:t>s</w:t>
      </w:r>
      <w:r w:rsidRPr="00222F19">
        <w:rPr>
          <w:rFonts w:ascii="Arial" w:hAnsi="Arial" w:cs="Arial"/>
          <w:sz w:val="22"/>
        </w:rPr>
        <w:t>ation.</w:t>
      </w:r>
    </w:p>
    <w:p w14:paraId="59C99D5B" w14:textId="4AA5A4DA" w:rsidR="000913CA" w:rsidRPr="00222F19" w:rsidRDefault="00216E09" w:rsidP="00222F19">
      <w:pPr>
        <w:spacing w:line="360" w:lineRule="auto"/>
        <w:ind w:left="720" w:hanging="720"/>
        <w:jc w:val="both"/>
        <w:rPr>
          <w:rFonts w:ascii="Arial" w:hAnsi="Arial" w:cs="Arial"/>
          <w:sz w:val="22"/>
          <w:lang w:val="en-US"/>
        </w:rPr>
      </w:pPr>
      <w:r w:rsidRPr="00222F19">
        <w:rPr>
          <w:rFonts w:ascii="Arial" w:hAnsi="Arial" w:cs="Arial"/>
          <w:sz w:val="22"/>
          <w:lang w:val="en-US"/>
        </w:rPr>
        <w:t>World Health Organi</w:t>
      </w:r>
      <w:r w:rsidR="00CB7603" w:rsidRPr="00222F19">
        <w:rPr>
          <w:rFonts w:ascii="Arial" w:hAnsi="Arial" w:cs="Arial"/>
          <w:sz w:val="22"/>
          <w:lang w:val="en-US"/>
        </w:rPr>
        <w:t>s</w:t>
      </w:r>
      <w:r w:rsidRPr="00222F19">
        <w:rPr>
          <w:rFonts w:ascii="Arial" w:hAnsi="Arial" w:cs="Arial"/>
          <w:sz w:val="22"/>
          <w:lang w:val="en-US"/>
        </w:rPr>
        <w:t>ation. (2026). World Health Organi</w:t>
      </w:r>
      <w:r w:rsidR="00CB7603" w:rsidRPr="00222F19">
        <w:rPr>
          <w:rFonts w:ascii="Arial" w:hAnsi="Arial" w:cs="Arial"/>
          <w:sz w:val="22"/>
          <w:lang w:val="en-US"/>
        </w:rPr>
        <w:t>s</w:t>
      </w:r>
      <w:r w:rsidRPr="00222F19">
        <w:rPr>
          <w:rFonts w:ascii="Arial" w:hAnsi="Arial" w:cs="Arial"/>
          <w:sz w:val="22"/>
          <w:lang w:val="en-US"/>
        </w:rPr>
        <w:t xml:space="preserve">ation. </w:t>
      </w:r>
      <w:hyperlink r:id="rId8" w:history="1">
        <w:r w:rsidRPr="00222F19">
          <w:rPr>
            <w:rStyle w:val="Hyperlink"/>
            <w:rFonts w:ascii="Arial" w:hAnsi="Arial" w:cs="Arial"/>
            <w:sz w:val="22"/>
            <w:lang w:val="en-US"/>
          </w:rPr>
          <w:t>https://icd.who.int/en</w:t>
        </w:r>
      </w:hyperlink>
      <w:r w:rsidRPr="00222F19">
        <w:rPr>
          <w:rFonts w:ascii="Arial" w:hAnsi="Arial" w:cs="Arial"/>
          <w:sz w:val="22"/>
          <w:lang w:val="en-US"/>
        </w:rPr>
        <w:t xml:space="preserve"> </w:t>
      </w:r>
    </w:p>
    <w:p w14:paraId="55D610D7" w14:textId="5D7D1BEF" w:rsidR="000A2A7A" w:rsidRPr="00222F19" w:rsidRDefault="00216E09" w:rsidP="00222F19">
      <w:pPr>
        <w:spacing w:line="360" w:lineRule="auto"/>
        <w:ind w:left="720" w:hanging="720"/>
        <w:jc w:val="both"/>
        <w:rPr>
          <w:rFonts w:ascii="Arial" w:hAnsi="Arial" w:cs="Arial"/>
          <w:sz w:val="22"/>
        </w:rPr>
      </w:pPr>
      <w:r w:rsidRPr="00AF77AC">
        <w:rPr>
          <w:rFonts w:ascii="Arial" w:hAnsi="Arial" w:cs="Arial"/>
          <w:sz w:val="22"/>
          <w:lang w:val="it-IT"/>
        </w:rPr>
        <w:t xml:space="preserve">Yazdani, S., Parsa, M. and </w:t>
      </w:r>
      <w:proofErr w:type="spellStart"/>
      <w:r w:rsidRPr="00AF77AC">
        <w:rPr>
          <w:rFonts w:ascii="Arial" w:hAnsi="Arial" w:cs="Arial"/>
          <w:sz w:val="22"/>
          <w:lang w:val="it-IT"/>
        </w:rPr>
        <w:t>Hajihosseinlou</w:t>
      </w:r>
      <w:proofErr w:type="spellEnd"/>
      <w:r w:rsidRPr="00AF77AC">
        <w:rPr>
          <w:rFonts w:ascii="Arial" w:hAnsi="Arial" w:cs="Arial"/>
          <w:sz w:val="22"/>
          <w:lang w:val="it-IT"/>
        </w:rPr>
        <w:t xml:space="preserve">, F., 2025. </w:t>
      </w:r>
      <w:r w:rsidRPr="00222F19">
        <w:rPr>
          <w:rFonts w:ascii="Arial" w:hAnsi="Arial" w:cs="Arial"/>
          <w:sz w:val="22"/>
        </w:rPr>
        <w:t>Health Psychology and Stress Management in Chronic Illness.</w:t>
      </w:r>
    </w:p>
    <w:sectPr w:rsidR="000A2A7A" w:rsidRPr="00222F1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98D48" w14:textId="77777777" w:rsidR="00993CE4" w:rsidRDefault="00993CE4">
      <w:pPr>
        <w:spacing w:after="0" w:line="240" w:lineRule="auto"/>
      </w:pPr>
      <w:r>
        <w:separator/>
      </w:r>
    </w:p>
  </w:endnote>
  <w:endnote w:type="continuationSeparator" w:id="0">
    <w:p w14:paraId="4BC59F5B" w14:textId="77777777" w:rsidR="00993CE4" w:rsidRDefault="00993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C5D63" w14:textId="77777777" w:rsidR="00993CE4" w:rsidRDefault="00993CE4">
      <w:pPr>
        <w:spacing w:after="0" w:line="240" w:lineRule="auto"/>
      </w:pPr>
      <w:r>
        <w:separator/>
      </w:r>
    </w:p>
  </w:footnote>
  <w:footnote w:type="continuationSeparator" w:id="0">
    <w:p w14:paraId="3C3FAF1B" w14:textId="77777777" w:rsidR="00993CE4" w:rsidRDefault="00993C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216E0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3238F10C">
      <w:start w:val="1"/>
      <w:numFmt w:val="bullet"/>
      <w:lvlText w:val=""/>
      <w:lvlJc w:val="left"/>
      <w:pPr>
        <w:ind w:left="720" w:hanging="360"/>
      </w:pPr>
      <w:rPr>
        <w:rFonts w:ascii="Symbol" w:hAnsi="Symbol" w:hint="default"/>
      </w:rPr>
    </w:lvl>
    <w:lvl w:ilvl="1" w:tplc="050C0436" w:tentative="1">
      <w:start w:val="1"/>
      <w:numFmt w:val="bullet"/>
      <w:lvlText w:val="o"/>
      <w:lvlJc w:val="left"/>
      <w:pPr>
        <w:ind w:left="1440" w:hanging="360"/>
      </w:pPr>
      <w:rPr>
        <w:rFonts w:ascii="Courier New" w:hAnsi="Courier New" w:cs="Courier New" w:hint="default"/>
      </w:rPr>
    </w:lvl>
    <w:lvl w:ilvl="2" w:tplc="C66483EC" w:tentative="1">
      <w:start w:val="1"/>
      <w:numFmt w:val="bullet"/>
      <w:lvlText w:val=""/>
      <w:lvlJc w:val="left"/>
      <w:pPr>
        <w:ind w:left="2160" w:hanging="360"/>
      </w:pPr>
      <w:rPr>
        <w:rFonts w:ascii="Wingdings" w:hAnsi="Wingdings" w:hint="default"/>
      </w:rPr>
    </w:lvl>
    <w:lvl w:ilvl="3" w:tplc="7348F76E" w:tentative="1">
      <w:start w:val="1"/>
      <w:numFmt w:val="bullet"/>
      <w:lvlText w:val=""/>
      <w:lvlJc w:val="left"/>
      <w:pPr>
        <w:ind w:left="2880" w:hanging="360"/>
      </w:pPr>
      <w:rPr>
        <w:rFonts w:ascii="Symbol" w:hAnsi="Symbol" w:hint="default"/>
      </w:rPr>
    </w:lvl>
    <w:lvl w:ilvl="4" w:tplc="E9B096E0" w:tentative="1">
      <w:start w:val="1"/>
      <w:numFmt w:val="bullet"/>
      <w:lvlText w:val="o"/>
      <w:lvlJc w:val="left"/>
      <w:pPr>
        <w:ind w:left="3600" w:hanging="360"/>
      </w:pPr>
      <w:rPr>
        <w:rFonts w:ascii="Courier New" w:hAnsi="Courier New" w:cs="Courier New" w:hint="default"/>
      </w:rPr>
    </w:lvl>
    <w:lvl w:ilvl="5" w:tplc="B63CC516" w:tentative="1">
      <w:start w:val="1"/>
      <w:numFmt w:val="bullet"/>
      <w:lvlText w:val=""/>
      <w:lvlJc w:val="left"/>
      <w:pPr>
        <w:ind w:left="4320" w:hanging="360"/>
      </w:pPr>
      <w:rPr>
        <w:rFonts w:ascii="Wingdings" w:hAnsi="Wingdings" w:hint="default"/>
      </w:rPr>
    </w:lvl>
    <w:lvl w:ilvl="6" w:tplc="97E6E2D2" w:tentative="1">
      <w:start w:val="1"/>
      <w:numFmt w:val="bullet"/>
      <w:lvlText w:val=""/>
      <w:lvlJc w:val="left"/>
      <w:pPr>
        <w:ind w:left="5040" w:hanging="360"/>
      </w:pPr>
      <w:rPr>
        <w:rFonts w:ascii="Symbol" w:hAnsi="Symbol" w:hint="default"/>
      </w:rPr>
    </w:lvl>
    <w:lvl w:ilvl="7" w:tplc="1FDC88AA" w:tentative="1">
      <w:start w:val="1"/>
      <w:numFmt w:val="bullet"/>
      <w:lvlText w:val="o"/>
      <w:lvlJc w:val="left"/>
      <w:pPr>
        <w:ind w:left="5760" w:hanging="360"/>
      </w:pPr>
      <w:rPr>
        <w:rFonts w:ascii="Courier New" w:hAnsi="Courier New" w:cs="Courier New" w:hint="default"/>
      </w:rPr>
    </w:lvl>
    <w:lvl w:ilvl="8" w:tplc="7E7AB316" w:tentative="1">
      <w:start w:val="1"/>
      <w:numFmt w:val="bullet"/>
      <w:lvlText w:val=""/>
      <w:lvlJc w:val="left"/>
      <w:pPr>
        <w:ind w:left="6480" w:hanging="360"/>
      </w:pPr>
      <w:rPr>
        <w:rFonts w:ascii="Wingdings" w:hAnsi="Wingdings" w:hint="default"/>
      </w:rPr>
    </w:lvl>
  </w:abstractNum>
  <w:abstractNum w:abstractNumId="1" w15:restartNumberingAfterBreak="0">
    <w:nsid w:val="0E3F2F12"/>
    <w:multiLevelType w:val="multilevel"/>
    <w:tmpl w:val="FFC48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86BF2"/>
    <w:multiLevelType w:val="hybridMultilevel"/>
    <w:tmpl w:val="E5C8BE4E"/>
    <w:lvl w:ilvl="0" w:tplc="645C8D00">
      <w:start w:val="1"/>
      <w:numFmt w:val="bullet"/>
      <w:lvlText w:val=""/>
      <w:lvlJc w:val="left"/>
      <w:pPr>
        <w:ind w:left="720" w:hanging="360"/>
      </w:pPr>
      <w:rPr>
        <w:rFonts w:ascii="Symbol" w:hAnsi="Symbol" w:hint="default"/>
      </w:rPr>
    </w:lvl>
    <w:lvl w:ilvl="1" w:tplc="BB5A1850" w:tentative="1">
      <w:start w:val="1"/>
      <w:numFmt w:val="bullet"/>
      <w:lvlText w:val="o"/>
      <w:lvlJc w:val="left"/>
      <w:pPr>
        <w:ind w:left="1440" w:hanging="360"/>
      </w:pPr>
      <w:rPr>
        <w:rFonts w:ascii="Courier New" w:hAnsi="Courier New" w:cs="Courier New" w:hint="default"/>
      </w:rPr>
    </w:lvl>
    <w:lvl w:ilvl="2" w:tplc="31BA202A" w:tentative="1">
      <w:start w:val="1"/>
      <w:numFmt w:val="bullet"/>
      <w:lvlText w:val=""/>
      <w:lvlJc w:val="left"/>
      <w:pPr>
        <w:ind w:left="2160" w:hanging="360"/>
      </w:pPr>
      <w:rPr>
        <w:rFonts w:ascii="Wingdings" w:hAnsi="Wingdings" w:hint="default"/>
      </w:rPr>
    </w:lvl>
    <w:lvl w:ilvl="3" w:tplc="37982C60" w:tentative="1">
      <w:start w:val="1"/>
      <w:numFmt w:val="bullet"/>
      <w:lvlText w:val=""/>
      <w:lvlJc w:val="left"/>
      <w:pPr>
        <w:ind w:left="2880" w:hanging="360"/>
      </w:pPr>
      <w:rPr>
        <w:rFonts w:ascii="Symbol" w:hAnsi="Symbol" w:hint="default"/>
      </w:rPr>
    </w:lvl>
    <w:lvl w:ilvl="4" w:tplc="A8DA5B22" w:tentative="1">
      <w:start w:val="1"/>
      <w:numFmt w:val="bullet"/>
      <w:lvlText w:val="o"/>
      <w:lvlJc w:val="left"/>
      <w:pPr>
        <w:ind w:left="3600" w:hanging="360"/>
      </w:pPr>
      <w:rPr>
        <w:rFonts w:ascii="Courier New" w:hAnsi="Courier New" w:cs="Courier New" w:hint="default"/>
      </w:rPr>
    </w:lvl>
    <w:lvl w:ilvl="5" w:tplc="A030D4EE" w:tentative="1">
      <w:start w:val="1"/>
      <w:numFmt w:val="bullet"/>
      <w:lvlText w:val=""/>
      <w:lvlJc w:val="left"/>
      <w:pPr>
        <w:ind w:left="4320" w:hanging="360"/>
      </w:pPr>
      <w:rPr>
        <w:rFonts w:ascii="Wingdings" w:hAnsi="Wingdings" w:hint="default"/>
      </w:rPr>
    </w:lvl>
    <w:lvl w:ilvl="6" w:tplc="2B220F44" w:tentative="1">
      <w:start w:val="1"/>
      <w:numFmt w:val="bullet"/>
      <w:lvlText w:val=""/>
      <w:lvlJc w:val="left"/>
      <w:pPr>
        <w:ind w:left="5040" w:hanging="360"/>
      </w:pPr>
      <w:rPr>
        <w:rFonts w:ascii="Symbol" w:hAnsi="Symbol" w:hint="default"/>
      </w:rPr>
    </w:lvl>
    <w:lvl w:ilvl="7" w:tplc="E81C0176" w:tentative="1">
      <w:start w:val="1"/>
      <w:numFmt w:val="bullet"/>
      <w:lvlText w:val="o"/>
      <w:lvlJc w:val="left"/>
      <w:pPr>
        <w:ind w:left="5760" w:hanging="360"/>
      </w:pPr>
      <w:rPr>
        <w:rFonts w:ascii="Courier New" w:hAnsi="Courier New" w:cs="Courier New" w:hint="default"/>
      </w:rPr>
    </w:lvl>
    <w:lvl w:ilvl="8" w:tplc="677C7770" w:tentative="1">
      <w:start w:val="1"/>
      <w:numFmt w:val="bullet"/>
      <w:lvlText w:val=""/>
      <w:lvlJc w:val="left"/>
      <w:pPr>
        <w:ind w:left="6480" w:hanging="360"/>
      </w:pPr>
      <w:rPr>
        <w:rFonts w:ascii="Wingdings" w:hAnsi="Wingdings" w:hint="default"/>
      </w:rPr>
    </w:lvl>
  </w:abstractNum>
  <w:abstractNum w:abstractNumId="3" w15:restartNumberingAfterBreak="0">
    <w:nsid w:val="3B5729BA"/>
    <w:multiLevelType w:val="multilevel"/>
    <w:tmpl w:val="DB862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E00A7F"/>
    <w:multiLevelType w:val="multilevel"/>
    <w:tmpl w:val="C8CE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B55CF9"/>
    <w:multiLevelType w:val="multilevel"/>
    <w:tmpl w:val="2F065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671407"/>
    <w:multiLevelType w:val="hybridMultilevel"/>
    <w:tmpl w:val="274E4772"/>
    <w:lvl w:ilvl="0" w:tplc="9CFC15A6">
      <w:start w:val="1"/>
      <w:numFmt w:val="decimal"/>
      <w:lvlText w:val="%1."/>
      <w:lvlJc w:val="left"/>
      <w:pPr>
        <w:ind w:left="720" w:hanging="360"/>
      </w:pPr>
    </w:lvl>
    <w:lvl w:ilvl="1" w:tplc="F092CA2A" w:tentative="1">
      <w:start w:val="1"/>
      <w:numFmt w:val="lowerLetter"/>
      <w:lvlText w:val="%2."/>
      <w:lvlJc w:val="left"/>
      <w:pPr>
        <w:ind w:left="1440" w:hanging="360"/>
      </w:pPr>
    </w:lvl>
    <w:lvl w:ilvl="2" w:tplc="5144F81C" w:tentative="1">
      <w:start w:val="1"/>
      <w:numFmt w:val="lowerRoman"/>
      <w:lvlText w:val="%3."/>
      <w:lvlJc w:val="right"/>
      <w:pPr>
        <w:ind w:left="2160" w:hanging="180"/>
      </w:pPr>
    </w:lvl>
    <w:lvl w:ilvl="3" w:tplc="CC86CC38" w:tentative="1">
      <w:start w:val="1"/>
      <w:numFmt w:val="decimal"/>
      <w:lvlText w:val="%4."/>
      <w:lvlJc w:val="left"/>
      <w:pPr>
        <w:ind w:left="2880" w:hanging="360"/>
      </w:pPr>
    </w:lvl>
    <w:lvl w:ilvl="4" w:tplc="F8F20870" w:tentative="1">
      <w:start w:val="1"/>
      <w:numFmt w:val="lowerLetter"/>
      <w:lvlText w:val="%5."/>
      <w:lvlJc w:val="left"/>
      <w:pPr>
        <w:ind w:left="3600" w:hanging="360"/>
      </w:pPr>
    </w:lvl>
    <w:lvl w:ilvl="5" w:tplc="18CA4E70" w:tentative="1">
      <w:start w:val="1"/>
      <w:numFmt w:val="lowerRoman"/>
      <w:lvlText w:val="%6."/>
      <w:lvlJc w:val="right"/>
      <w:pPr>
        <w:ind w:left="4320" w:hanging="180"/>
      </w:pPr>
    </w:lvl>
    <w:lvl w:ilvl="6" w:tplc="859C5772" w:tentative="1">
      <w:start w:val="1"/>
      <w:numFmt w:val="decimal"/>
      <w:lvlText w:val="%7."/>
      <w:lvlJc w:val="left"/>
      <w:pPr>
        <w:ind w:left="5040" w:hanging="360"/>
      </w:pPr>
    </w:lvl>
    <w:lvl w:ilvl="7" w:tplc="3B5CA462" w:tentative="1">
      <w:start w:val="1"/>
      <w:numFmt w:val="lowerLetter"/>
      <w:lvlText w:val="%8."/>
      <w:lvlJc w:val="left"/>
      <w:pPr>
        <w:ind w:left="5760" w:hanging="360"/>
      </w:pPr>
    </w:lvl>
    <w:lvl w:ilvl="8" w:tplc="F3D6D9EA" w:tentative="1">
      <w:start w:val="1"/>
      <w:numFmt w:val="lowerRoman"/>
      <w:lvlText w:val="%9."/>
      <w:lvlJc w:val="right"/>
      <w:pPr>
        <w:ind w:left="6480" w:hanging="180"/>
      </w:pPr>
    </w:lvl>
  </w:abstractNum>
  <w:abstractNum w:abstractNumId="7" w15:restartNumberingAfterBreak="0">
    <w:nsid w:val="60DF222A"/>
    <w:multiLevelType w:val="multilevel"/>
    <w:tmpl w:val="BFD83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4E3464"/>
    <w:multiLevelType w:val="multilevel"/>
    <w:tmpl w:val="20FCC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2154A3"/>
    <w:multiLevelType w:val="multilevel"/>
    <w:tmpl w:val="5BA6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1115974">
    <w:abstractNumId w:val="0"/>
  </w:num>
  <w:num w:numId="2" w16cid:durableId="1391072088">
    <w:abstractNumId w:val="2"/>
  </w:num>
  <w:num w:numId="3" w16cid:durableId="908730155">
    <w:abstractNumId w:val="6"/>
  </w:num>
  <w:num w:numId="4" w16cid:durableId="1335957868">
    <w:abstractNumId w:val="7"/>
  </w:num>
  <w:num w:numId="5" w16cid:durableId="1461722891">
    <w:abstractNumId w:val="4"/>
  </w:num>
  <w:num w:numId="6" w16cid:durableId="372117060">
    <w:abstractNumId w:val="9"/>
  </w:num>
  <w:num w:numId="7" w16cid:durableId="1750232789">
    <w:abstractNumId w:val="1"/>
  </w:num>
  <w:num w:numId="8" w16cid:durableId="1124159815">
    <w:abstractNumId w:val="5"/>
  </w:num>
  <w:num w:numId="9" w16cid:durableId="1932011459">
    <w:abstractNumId w:val="8"/>
  </w:num>
  <w:num w:numId="10" w16cid:durableId="4468964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1DB0"/>
    <w:rsid w:val="000023DB"/>
    <w:rsid w:val="00010D2E"/>
    <w:rsid w:val="00017183"/>
    <w:rsid w:val="00022609"/>
    <w:rsid w:val="00022E88"/>
    <w:rsid w:val="00034E85"/>
    <w:rsid w:val="000402F3"/>
    <w:rsid w:val="000403DC"/>
    <w:rsid w:val="00040DA7"/>
    <w:rsid w:val="00043794"/>
    <w:rsid w:val="00047DF0"/>
    <w:rsid w:val="00050773"/>
    <w:rsid w:val="0005113C"/>
    <w:rsid w:val="00051E03"/>
    <w:rsid w:val="000528D5"/>
    <w:rsid w:val="000627D1"/>
    <w:rsid w:val="0006684D"/>
    <w:rsid w:val="00071CEB"/>
    <w:rsid w:val="0007412D"/>
    <w:rsid w:val="0008149D"/>
    <w:rsid w:val="00081F82"/>
    <w:rsid w:val="000913CA"/>
    <w:rsid w:val="00093C6D"/>
    <w:rsid w:val="000A2A7A"/>
    <w:rsid w:val="000A31C2"/>
    <w:rsid w:val="000B07C6"/>
    <w:rsid w:val="000B2B02"/>
    <w:rsid w:val="000B780C"/>
    <w:rsid w:val="000C0C51"/>
    <w:rsid w:val="000C286D"/>
    <w:rsid w:val="000C7279"/>
    <w:rsid w:val="000D4E89"/>
    <w:rsid w:val="000D56EF"/>
    <w:rsid w:val="000E4057"/>
    <w:rsid w:val="000F0C31"/>
    <w:rsid w:val="000F39FB"/>
    <w:rsid w:val="00102444"/>
    <w:rsid w:val="00102B34"/>
    <w:rsid w:val="00104C71"/>
    <w:rsid w:val="00107498"/>
    <w:rsid w:val="00110846"/>
    <w:rsid w:val="00114C74"/>
    <w:rsid w:val="00124993"/>
    <w:rsid w:val="00130EA5"/>
    <w:rsid w:val="001404DD"/>
    <w:rsid w:val="0014349C"/>
    <w:rsid w:val="00144F69"/>
    <w:rsid w:val="00145914"/>
    <w:rsid w:val="00145C7E"/>
    <w:rsid w:val="001574FE"/>
    <w:rsid w:val="00160724"/>
    <w:rsid w:val="001732CE"/>
    <w:rsid w:val="00180A15"/>
    <w:rsid w:val="001817CB"/>
    <w:rsid w:val="0018235D"/>
    <w:rsid w:val="0018545A"/>
    <w:rsid w:val="001863CD"/>
    <w:rsid w:val="00191971"/>
    <w:rsid w:val="00192B0D"/>
    <w:rsid w:val="001A3032"/>
    <w:rsid w:val="001A4B59"/>
    <w:rsid w:val="001B0942"/>
    <w:rsid w:val="001C159B"/>
    <w:rsid w:val="001D5C06"/>
    <w:rsid w:val="001D6A38"/>
    <w:rsid w:val="001D7C27"/>
    <w:rsid w:val="001F35C8"/>
    <w:rsid w:val="001F47B9"/>
    <w:rsid w:val="001F4D1F"/>
    <w:rsid w:val="001F691D"/>
    <w:rsid w:val="00202087"/>
    <w:rsid w:val="00205C21"/>
    <w:rsid w:val="00205FBC"/>
    <w:rsid w:val="00216E09"/>
    <w:rsid w:val="0022050C"/>
    <w:rsid w:val="00222F19"/>
    <w:rsid w:val="00232BC1"/>
    <w:rsid w:val="00247448"/>
    <w:rsid w:val="00250BAF"/>
    <w:rsid w:val="00252656"/>
    <w:rsid w:val="002528D0"/>
    <w:rsid w:val="00256E5C"/>
    <w:rsid w:val="00257C58"/>
    <w:rsid w:val="00264278"/>
    <w:rsid w:val="00271376"/>
    <w:rsid w:val="00287DEB"/>
    <w:rsid w:val="002917D3"/>
    <w:rsid w:val="002B3D92"/>
    <w:rsid w:val="002B4E01"/>
    <w:rsid w:val="002D03E9"/>
    <w:rsid w:val="002D45C2"/>
    <w:rsid w:val="002D4E24"/>
    <w:rsid w:val="002D591B"/>
    <w:rsid w:val="002D7E4F"/>
    <w:rsid w:val="002E09C1"/>
    <w:rsid w:val="002F31F6"/>
    <w:rsid w:val="00307E34"/>
    <w:rsid w:val="00310392"/>
    <w:rsid w:val="00324C80"/>
    <w:rsid w:val="00342A77"/>
    <w:rsid w:val="00350909"/>
    <w:rsid w:val="00351397"/>
    <w:rsid w:val="00354E9B"/>
    <w:rsid w:val="003551DA"/>
    <w:rsid w:val="00362F8E"/>
    <w:rsid w:val="00381AFE"/>
    <w:rsid w:val="0039018F"/>
    <w:rsid w:val="00392165"/>
    <w:rsid w:val="00394899"/>
    <w:rsid w:val="003966CB"/>
    <w:rsid w:val="00397A12"/>
    <w:rsid w:val="003B2E32"/>
    <w:rsid w:val="003B6220"/>
    <w:rsid w:val="003B6D98"/>
    <w:rsid w:val="003D3815"/>
    <w:rsid w:val="003F0F03"/>
    <w:rsid w:val="003F1E6B"/>
    <w:rsid w:val="003F2565"/>
    <w:rsid w:val="003F3465"/>
    <w:rsid w:val="00407E47"/>
    <w:rsid w:val="00440D8C"/>
    <w:rsid w:val="004439A8"/>
    <w:rsid w:val="00451285"/>
    <w:rsid w:val="00454DC2"/>
    <w:rsid w:val="00455C16"/>
    <w:rsid w:val="00463A29"/>
    <w:rsid w:val="0046442B"/>
    <w:rsid w:val="00466567"/>
    <w:rsid w:val="00466B61"/>
    <w:rsid w:val="00466B91"/>
    <w:rsid w:val="004714C0"/>
    <w:rsid w:val="004768E0"/>
    <w:rsid w:val="00486402"/>
    <w:rsid w:val="004913D5"/>
    <w:rsid w:val="004959F3"/>
    <w:rsid w:val="0049655F"/>
    <w:rsid w:val="00496A07"/>
    <w:rsid w:val="004A02E4"/>
    <w:rsid w:val="004A351B"/>
    <w:rsid w:val="004B0727"/>
    <w:rsid w:val="004C085F"/>
    <w:rsid w:val="004C0D17"/>
    <w:rsid w:val="004C30B1"/>
    <w:rsid w:val="004C5212"/>
    <w:rsid w:val="004D1F75"/>
    <w:rsid w:val="004D3C7B"/>
    <w:rsid w:val="004E62D0"/>
    <w:rsid w:val="00506815"/>
    <w:rsid w:val="0050698C"/>
    <w:rsid w:val="00521BE3"/>
    <w:rsid w:val="005236E9"/>
    <w:rsid w:val="00532E4D"/>
    <w:rsid w:val="00535B21"/>
    <w:rsid w:val="0054023C"/>
    <w:rsid w:val="005406D1"/>
    <w:rsid w:val="00540916"/>
    <w:rsid w:val="00540FF6"/>
    <w:rsid w:val="005475A8"/>
    <w:rsid w:val="005549A2"/>
    <w:rsid w:val="00557BCB"/>
    <w:rsid w:val="00561DCD"/>
    <w:rsid w:val="00571075"/>
    <w:rsid w:val="00572A27"/>
    <w:rsid w:val="00587E1C"/>
    <w:rsid w:val="005964B2"/>
    <w:rsid w:val="005A0FCA"/>
    <w:rsid w:val="005A69B5"/>
    <w:rsid w:val="005A6D79"/>
    <w:rsid w:val="005B2A8C"/>
    <w:rsid w:val="005B61EA"/>
    <w:rsid w:val="005C0391"/>
    <w:rsid w:val="005C1D9B"/>
    <w:rsid w:val="005D1992"/>
    <w:rsid w:val="005D392B"/>
    <w:rsid w:val="005E1D3B"/>
    <w:rsid w:val="005F1FBF"/>
    <w:rsid w:val="0060528A"/>
    <w:rsid w:val="00610D34"/>
    <w:rsid w:val="00630039"/>
    <w:rsid w:val="00632FB5"/>
    <w:rsid w:val="006468C0"/>
    <w:rsid w:val="006475B8"/>
    <w:rsid w:val="00647D24"/>
    <w:rsid w:val="0065581E"/>
    <w:rsid w:val="00657DD4"/>
    <w:rsid w:val="00693C5D"/>
    <w:rsid w:val="006A1D81"/>
    <w:rsid w:val="006A3C3F"/>
    <w:rsid w:val="006B571C"/>
    <w:rsid w:val="006D5D1F"/>
    <w:rsid w:val="006D7BF8"/>
    <w:rsid w:val="006E4C6E"/>
    <w:rsid w:val="006E6917"/>
    <w:rsid w:val="006E7D34"/>
    <w:rsid w:val="006F5378"/>
    <w:rsid w:val="006F789B"/>
    <w:rsid w:val="007029F9"/>
    <w:rsid w:val="00713C96"/>
    <w:rsid w:val="007224ED"/>
    <w:rsid w:val="00727075"/>
    <w:rsid w:val="00727303"/>
    <w:rsid w:val="00730027"/>
    <w:rsid w:val="00742BA4"/>
    <w:rsid w:val="00745758"/>
    <w:rsid w:val="00745E18"/>
    <w:rsid w:val="007521CF"/>
    <w:rsid w:val="00760596"/>
    <w:rsid w:val="0076260C"/>
    <w:rsid w:val="00771F28"/>
    <w:rsid w:val="00776B53"/>
    <w:rsid w:val="00791442"/>
    <w:rsid w:val="00794537"/>
    <w:rsid w:val="007978B8"/>
    <w:rsid w:val="007A2C72"/>
    <w:rsid w:val="007A39C2"/>
    <w:rsid w:val="007A3A32"/>
    <w:rsid w:val="007B120B"/>
    <w:rsid w:val="007B21A0"/>
    <w:rsid w:val="007B3780"/>
    <w:rsid w:val="007C1D00"/>
    <w:rsid w:val="007C5313"/>
    <w:rsid w:val="007E07BB"/>
    <w:rsid w:val="007E69F0"/>
    <w:rsid w:val="007E74A7"/>
    <w:rsid w:val="007E771B"/>
    <w:rsid w:val="007F31E8"/>
    <w:rsid w:val="007F54F4"/>
    <w:rsid w:val="008006A9"/>
    <w:rsid w:val="00823052"/>
    <w:rsid w:val="00826590"/>
    <w:rsid w:val="0083486D"/>
    <w:rsid w:val="00840E87"/>
    <w:rsid w:val="00843E71"/>
    <w:rsid w:val="00853131"/>
    <w:rsid w:val="00854362"/>
    <w:rsid w:val="0087002C"/>
    <w:rsid w:val="008718F9"/>
    <w:rsid w:val="0088274F"/>
    <w:rsid w:val="008B3E1A"/>
    <w:rsid w:val="008B6A69"/>
    <w:rsid w:val="008D0AE8"/>
    <w:rsid w:val="008D27B5"/>
    <w:rsid w:val="008D404B"/>
    <w:rsid w:val="008D608B"/>
    <w:rsid w:val="008E78C9"/>
    <w:rsid w:val="008F38F0"/>
    <w:rsid w:val="00904653"/>
    <w:rsid w:val="0091483F"/>
    <w:rsid w:val="0091704F"/>
    <w:rsid w:val="00917F2B"/>
    <w:rsid w:val="00921602"/>
    <w:rsid w:val="00924F79"/>
    <w:rsid w:val="0092632C"/>
    <w:rsid w:val="00927825"/>
    <w:rsid w:val="00930600"/>
    <w:rsid w:val="00930BDB"/>
    <w:rsid w:val="0093241E"/>
    <w:rsid w:val="00935075"/>
    <w:rsid w:val="00937C07"/>
    <w:rsid w:val="00937C4B"/>
    <w:rsid w:val="0094411A"/>
    <w:rsid w:val="00944D3C"/>
    <w:rsid w:val="00955871"/>
    <w:rsid w:val="00967D60"/>
    <w:rsid w:val="009721F0"/>
    <w:rsid w:val="009830BE"/>
    <w:rsid w:val="00983947"/>
    <w:rsid w:val="00986132"/>
    <w:rsid w:val="00991F89"/>
    <w:rsid w:val="0099341C"/>
    <w:rsid w:val="00993CE4"/>
    <w:rsid w:val="00993DE1"/>
    <w:rsid w:val="009953C5"/>
    <w:rsid w:val="009A4EAD"/>
    <w:rsid w:val="009A5B17"/>
    <w:rsid w:val="009A5F09"/>
    <w:rsid w:val="009B0D71"/>
    <w:rsid w:val="009B6724"/>
    <w:rsid w:val="009B6AFE"/>
    <w:rsid w:val="009C60F1"/>
    <w:rsid w:val="009C7448"/>
    <w:rsid w:val="009C76E0"/>
    <w:rsid w:val="009D5909"/>
    <w:rsid w:val="009F6BDF"/>
    <w:rsid w:val="00A02984"/>
    <w:rsid w:val="00A030FF"/>
    <w:rsid w:val="00A05A71"/>
    <w:rsid w:val="00A0768B"/>
    <w:rsid w:val="00A105DC"/>
    <w:rsid w:val="00A163AC"/>
    <w:rsid w:val="00A23CB4"/>
    <w:rsid w:val="00A2730D"/>
    <w:rsid w:val="00A4172F"/>
    <w:rsid w:val="00A46FF4"/>
    <w:rsid w:val="00A478DB"/>
    <w:rsid w:val="00A53E0A"/>
    <w:rsid w:val="00A5538C"/>
    <w:rsid w:val="00A56384"/>
    <w:rsid w:val="00A610B5"/>
    <w:rsid w:val="00A67CE4"/>
    <w:rsid w:val="00A723F4"/>
    <w:rsid w:val="00A731A5"/>
    <w:rsid w:val="00A74605"/>
    <w:rsid w:val="00A81F90"/>
    <w:rsid w:val="00A85BE5"/>
    <w:rsid w:val="00A87576"/>
    <w:rsid w:val="00A87622"/>
    <w:rsid w:val="00A920DD"/>
    <w:rsid w:val="00A94AE9"/>
    <w:rsid w:val="00A974C8"/>
    <w:rsid w:val="00AA20C1"/>
    <w:rsid w:val="00AB1F5D"/>
    <w:rsid w:val="00AB270C"/>
    <w:rsid w:val="00AD16E8"/>
    <w:rsid w:val="00AD3547"/>
    <w:rsid w:val="00AD4684"/>
    <w:rsid w:val="00AD5B39"/>
    <w:rsid w:val="00AF01F3"/>
    <w:rsid w:val="00AF1065"/>
    <w:rsid w:val="00AF77AC"/>
    <w:rsid w:val="00B04C54"/>
    <w:rsid w:val="00B12550"/>
    <w:rsid w:val="00B204B6"/>
    <w:rsid w:val="00B214DE"/>
    <w:rsid w:val="00B37BFE"/>
    <w:rsid w:val="00B44CA7"/>
    <w:rsid w:val="00B45FD2"/>
    <w:rsid w:val="00B46044"/>
    <w:rsid w:val="00B46594"/>
    <w:rsid w:val="00B46769"/>
    <w:rsid w:val="00B47BEB"/>
    <w:rsid w:val="00B55170"/>
    <w:rsid w:val="00B7325D"/>
    <w:rsid w:val="00B81F81"/>
    <w:rsid w:val="00B83D0E"/>
    <w:rsid w:val="00B86611"/>
    <w:rsid w:val="00BA4BE3"/>
    <w:rsid w:val="00BA5040"/>
    <w:rsid w:val="00BB1841"/>
    <w:rsid w:val="00BB7F9F"/>
    <w:rsid w:val="00BC6237"/>
    <w:rsid w:val="00BE1926"/>
    <w:rsid w:val="00C003A5"/>
    <w:rsid w:val="00C019D3"/>
    <w:rsid w:val="00C07098"/>
    <w:rsid w:val="00C23CE5"/>
    <w:rsid w:val="00C2574F"/>
    <w:rsid w:val="00C268C6"/>
    <w:rsid w:val="00C33318"/>
    <w:rsid w:val="00C404C2"/>
    <w:rsid w:val="00C40DF5"/>
    <w:rsid w:val="00C41157"/>
    <w:rsid w:val="00C4185F"/>
    <w:rsid w:val="00C47385"/>
    <w:rsid w:val="00C579D7"/>
    <w:rsid w:val="00C60C92"/>
    <w:rsid w:val="00C62FFF"/>
    <w:rsid w:val="00C631B5"/>
    <w:rsid w:val="00C67B6F"/>
    <w:rsid w:val="00C71C6A"/>
    <w:rsid w:val="00C76260"/>
    <w:rsid w:val="00C77974"/>
    <w:rsid w:val="00C809C2"/>
    <w:rsid w:val="00C87318"/>
    <w:rsid w:val="00C91D4B"/>
    <w:rsid w:val="00C934AD"/>
    <w:rsid w:val="00C9395F"/>
    <w:rsid w:val="00C93A96"/>
    <w:rsid w:val="00CA0925"/>
    <w:rsid w:val="00CA4D05"/>
    <w:rsid w:val="00CB4CFD"/>
    <w:rsid w:val="00CB59D0"/>
    <w:rsid w:val="00CB7603"/>
    <w:rsid w:val="00CC1DF8"/>
    <w:rsid w:val="00CC6206"/>
    <w:rsid w:val="00CC72C1"/>
    <w:rsid w:val="00CD6506"/>
    <w:rsid w:val="00CE149A"/>
    <w:rsid w:val="00CE20FE"/>
    <w:rsid w:val="00CF40DB"/>
    <w:rsid w:val="00D07945"/>
    <w:rsid w:val="00D150D6"/>
    <w:rsid w:val="00D165ED"/>
    <w:rsid w:val="00D20698"/>
    <w:rsid w:val="00D24FCB"/>
    <w:rsid w:val="00D27BFD"/>
    <w:rsid w:val="00D33EED"/>
    <w:rsid w:val="00D35459"/>
    <w:rsid w:val="00D410CC"/>
    <w:rsid w:val="00D42FC5"/>
    <w:rsid w:val="00D44E23"/>
    <w:rsid w:val="00D454A3"/>
    <w:rsid w:val="00D51288"/>
    <w:rsid w:val="00D52DA3"/>
    <w:rsid w:val="00D52F9F"/>
    <w:rsid w:val="00D54A32"/>
    <w:rsid w:val="00D60C89"/>
    <w:rsid w:val="00D64EA9"/>
    <w:rsid w:val="00D70BC6"/>
    <w:rsid w:val="00D810D8"/>
    <w:rsid w:val="00D82749"/>
    <w:rsid w:val="00D82995"/>
    <w:rsid w:val="00DA3A61"/>
    <w:rsid w:val="00DA4BDD"/>
    <w:rsid w:val="00DA791E"/>
    <w:rsid w:val="00DB35BB"/>
    <w:rsid w:val="00DB6CEB"/>
    <w:rsid w:val="00DD5E48"/>
    <w:rsid w:val="00DD6690"/>
    <w:rsid w:val="00DE1178"/>
    <w:rsid w:val="00DE1E73"/>
    <w:rsid w:val="00E0706D"/>
    <w:rsid w:val="00E07B33"/>
    <w:rsid w:val="00E13095"/>
    <w:rsid w:val="00E13BAC"/>
    <w:rsid w:val="00E30880"/>
    <w:rsid w:val="00E412E1"/>
    <w:rsid w:val="00E47C7D"/>
    <w:rsid w:val="00E56D9A"/>
    <w:rsid w:val="00E7014C"/>
    <w:rsid w:val="00E7731F"/>
    <w:rsid w:val="00E830F0"/>
    <w:rsid w:val="00E967D5"/>
    <w:rsid w:val="00EA1DAE"/>
    <w:rsid w:val="00EB09DE"/>
    <w:rsid w:val="00EB191A"/>
    <w:rsid w:val="00EB5E21"/>
    <w:rsid w:val="00EB6749"/>
    <w:rsid w:val="00EB776A"/>
    <w:rsid w:val="00ED3152"/>
    <w:rsid w:val="00ED63A9"/>
    <w:rsid w:val="00EF6D1E"/>
    <w:rsid w:val="00EF7B52"/>
    <w:rsid w:val="00EF7BDD"/>
    <w:rsid w:val="00F01B92"/>
    <w:rsid w:val="00F04923"/>
    <w:rsid w:val="00F1212A"/>
    <w:rsid w:val="00F150A3"/>
    <w:rsid w:val="00F20586"/>
    <w:rsid w:val="00F307B6"/>
    <w:rsid w:val="00F3521B"/>
    <w:rsid w:val="00F3599C"/>
    <w:rsid w:val="00F42366"/>
    <w:rsid w:val="00F42650"/>
    <w:rsid w:val="00F47358"/>
    <w:rsid w:val="00F47FFB"/>
    <w:rsid w:val="00F6148B"/>
    <w:rsid w:val="00F66F3F"/>
    <w:rsid w:val="00F720F0"/>
    <w:rsid w:val="00F72B85"/>
    <w:rsid w:val="00F73E73"/>
    <w:rsid w:val="00F764B1"/>
    <w:rsid w:val="00F76964"/>
    <w:rsid w:val="00F859EC"/>
    <w:rsid w:val="00F9239F"/>
    <w:rsid w:val="00F9787E"/>
    <w:rsid w:val="00F97ECE"/>
    <w:rsid w:val="00FA18EA"/>
    <w:rsid w:val="00FC32D4"/>
    <w:rsid w:val="00FC46A5"/>
    <w:rsid w:val="00FC501E"/>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110846"/>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11084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d.who.int/en"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A484D-7627-43AA-ADDD-C2444DB69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3481</Words>
  <Characters>19846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Sehrish Bibi (2322746)</cp:lastModifiedBy>
  <cp:revision>2</cp:revision>
  <dcterms:created xsi:type="dcterms:W3CDTF">2026-03-27T11:39:00Z</dcterms:created>
  <dcterms:modified xsi:type="dcterms:W3CDTF">2026-03-27T11:39:00Z</dcterms:modified>
</cp:coreProperties>
</file>