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13BC316" wp14:paraId="0BF4E578" wp14:textId="7584D64A">
      <w:pPr>
        <w:spacing w:before="0" w:beforeAutospacing="off" w:after="120" w:afterAutospacing="off"/>
      </w:pPr>
      <w:r w:rsidRPr="713BC316" w:rsidR="0F88F051">
        <w:rPr>
          <w:rFonts w:ascii="Arial" w:hAnsi="Arial" w:eastAsia="Arial" w:cs="Arial"/>
          <w:noProof w:val="0"/>
          <w:color w:val="000000" w:themeColor="text1" w:themeTint="FF" w:themeShade="FF"/>
          <w:sz w:val="27"/>
          <w:szCs w:val="27"/>
          <w:lang w:val="en-GB"/>
        </w:rPr>
        <w:t>Nathan Barlow</w:t>
      </w:r>
    </w:p>
    <w:p xmlns:wp14="http://schemas.microsoft.com/office/word/2010/wordml" w:rsidP="713BC316" wp14:paraId="76E9DA61" wp14:textId="36C69374">
      <w:pPr>
        <w:spacing w:before="0" w:beforeAutospacing="off" w:after="120" w:afterAutospacing="off"/>
        <w:jc w:val="right"/>
      </w:pPr>
      <w:r w:rsidRPr="713BC316" w:rsidR="0F88F051">
        <w:rPr>
          <w:rFonts w:ascii="Arial" w:hAnsi="Arial" w:eastAsia="Arial" w:cs="Arial"/>
          <w:b w:val="1"/>
          <w:bCs w:val="1"/>
          <w:noProof w:val="0"/>
          <w:color w:val="000000" w:themeColor="text1" w:themeTint="FF" w:themeShade="FF"/>
          <w:sz w:val="21"/>
          <w:szCs w:val="21"/>
          <w:lang w:val="en-GB"/>
        </w:rPr>
        <w:t xml:space="preserve">2318300 </w:t>
      </w:r>
    </w:p>
    <w:p xmlns:wp14="http://schemas.microsoft.com/office/word/2010/wordml" w:rsidP="713BC316" wp14:paraId="372C0831" wp14:textId="3FC15AFA">
      <w:pPr>
        <w:spacing w:before="0" w:beforeAutospacing="off" w:after="120" w:afterAutospacing="off"/>
        <w:jc w:val="center"/>
      </w:pPr>
      <w:r w:rsidRPr="713BC316" w:rsidR="0F88F051">
        <w:rPr>
          <w:rFonts w:ascii="Arial" w:hAnsi="Arial" w:eastAsia="Arial" w:cs="Arial"/>
          <w:b w:val="1"/>
          <w:bCs w:val="1"/>
          <w:noProof w:val="0"/>
          <w:color w:val="000000" w:themeColor="text1" w:themeTint="FF" w:themeShade="FF"/>
          <w:sz w:val="32"/>
          <w:szCs w:val="32"/>
          <w:lang w:val="en-GB"/>
        </w:rPr>
        <w:t>Module: Global Ethics</w:t>
      </w:r>
    </w:p>
    <w:p xmlns:wp14="http://schemas.microsoft.com/office/word/2010/wordml" w:rsidP="713BC316" wp14:paraId="7D7DB85C" wp14:textId="420594D2">
      <w:pPr>
        <w:spacing w:before="0" w:beforeAutospacing="off" w:after="120" w:afterAutospacing="off"/>
      </w:pPr>
      <w:r w:rsidRPr="713BC316" w:rsidR="0F88F051">
        <w:rPr>
          <w:rFonts w:ascii="Arial" w:hAnsi="Arial" w:eastAsia="Arial" w:cs="Arial"/>
          <w:noProof w:val="0"/>
          <w:color w:val="000000" w:themeColor="text1" w:themeTint="FF" w:themeShade="FF"/>
          <w:sz w:val="27"/>
          <w:szCs w:val="27"/>
          <w:lang w:val="en-GB"/>
        </w:rPr>
        <w:t xml:space="preserve"> </w:t>
      </w:r>
    </w:p>
    <w:p xmlns:wp14="http://schemas.microsoft.com/office/word/2010/wordml" w:rsidP="713BC316" wp14:paraId="622065CF" wp14:textId="74DCAFA0">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7"/>
          <w:szCs w:val="27"/>
          <w:lang w:val="en-GB"/>
        </w:rPr>
        <w:t xml:space="preserve"> </w:t>
      </w:r>
    </w:p>
    <w:p xmlns:wp14="http://schemas.microsoft.com/office/word/2010/wordml" wp14:paraId="73B6ECA6" wp14:textId="4E856C94"/>
    <w:p xmlns:wp14="http://schemas.microsoft.com/office/word/2010/wordml" w:rsidP="713BC316" wp14:paraId="4B4C8E3A" wp14:textId="4B0CEE72">
      <w:pPr>
        <w:spacing w:before="0" w:beforeAutospacing="off" w:after="120" w:afterAutospacing="off"/>
        <w:jc w:val="center"/>
      </w:pPr>
      <w:r w:rsidRPr="713BC316" w:rsidR="0F88F051">
        <w:rPr>
          <w:rFonts w:ascii="Arial" w:hAnsi="Arial" w:eastAsia="Arial" w:cs="Arial"/>
          <w:b w:val="1"/>
          <w:bCs w:val="1"/>
          <w:noProof w:val="0"/>
          <w:color w:val="000000" w:themeColor="text1" w:themeTint="FF" w:themeShade="FF"/>
          <w:sz w:val="34"/>
          <w:szCs w:val="34"/>
          <w:lang w:val="en-GB"/>
        </w:rPr>
        <w:t xml:space="preserve">Science claims human activities are polluting the planet and created a climate emergency. </w:t>
      </w:r>
    </w:p>
    <w:p xmlns:wp14="http://schemas.microsoft.com/office/word/2010/wordml" w:rsidP="713BC316" wp14:paraId="767F8EF0" wp14:textId="23735F7D">
      <w:pPr>
        <w:spacing w:before="0" w:beforeAutospacing="off" w:after="120" w:afterAutospacing="off"/>
        <w:jc w:val="center"/>
      </w:pPr>
      <w:r w:rsidRPr="713BC316" w:rsidR="0F88F051">
        <w:rPr>
          <w:rFonts w:ascii="Arial" w:hAnsi="Arial" w:eastAsia="Arial" w:cs="Arial"/>
          <w:b w:val="1"/>
          <w:bCs w:val="1"/>
          <w:noProof w:val="0"/>
          <w:color w:val="000000" w:themeColor="text1" w:themeTint="FF" w:themeShade="FF"/>
          <w:sz w:val="34"/>
          <w:szCs w:val="34"/>
          <w:lang w:val="en-GB"/>
        </w:rPr>
        <w:t xml:space="preserve">Should businesses care? </w:t>
      </w:r>
    </w:p>
    <w:p xmlns:wp14="http://schemas.microsoft.com/office/word/2010/wordml" w:rsidP="713BC316" wp14:paraId="2434318E" wp14:textId="4C9EAC53">
      <w:pPr>
        <w:spacing w:before="0" w:beforeAutospacing="off" w:after="120" w:afterAutospacing="off"/>
        <w:jc w:val="center"/>
      </w:pPr>
      <w:r w:rsidRPr="713BC316" w:rsidR="0F88F051">
        <w:rPr>
          <w:rFonts w:ascii="Arial" w:hAnsi="Arial" w:eastAsia="Arial" w:cs="Arial"/>
          <w:b w:val="1"/>
          <w:bCs w:val="1"/>
          <w:noProof w:val="0"/>
          <w:color w:val="000000" w:themeColor="text1" w:themeTint="FF" w:themeShade="FF"/>
          <w:sz w:val="34"/>
          <w:szCs w:val="34"/>
          <w:lang w:val="en-GB"/>
        </w:rPr>
        <w:t>A critical evaluation using international comparisons.</w:t>
      </w:r>
    </w:p>
    <w:p xmlns:wp14="http://schemas.microsoft.com/office/word/2010/wordml" wp14:paraId="46871484" wp14:textId="3138A29E"/>
    <w:p xmlns:wp14="http://schemas.microsoft.com/office/word/2010/wordml" wp14:paraId="44EE7526" wp14:textId="3724C4A2"/>
    <w:p xmlns:wp14="http://schemas.microsoft.com/office/word/2010/wordml" wp14:paraId="7F25D9BE" wp14:textId="0378EC12"/>
    <w:p xmlns:wp14="http://schemas.microsoft.com/office/word/2010/wordml" wp14:paraId="3EA3D695" wp14:textId="26F6AF50"/>
    <w:p xmlns:wp14="http://schemas.microsoft.com/office/word/2010/wordml" wp14:paraId="3C2997AC" wp14:textId="3CD0E249"/>
    <w:p xmlns:wp14="http://schemas.microsoft.com/office/word/2010/wordml" wp14:paraId="524C1150" wp14:textId="66D9C26F"/>
    <w:p xmlns:wp14="http://schemas.microsoft.com/office/word/2010/wordml" wp14:paraId="0EB6D161" wp14:textId="7C6142E7"/>
    <w:p xmlns:wp14="http://schemas.microsoft.com/office/word/2010/wordml" wp14:paraId="39CEECC6" wp14:textId="7AD1D71C"/>
    <w:p xmlns:wp14="http://schemas.microsoft.com/office/word/2010/wordml" wp14:paraId="6BB35084" wp14:textId="1F2B1A1F"/>
    <w:p xmlns:wp14="http://schemas.microsoft.com/office/word/2010/wordml" wp14:paraId="617BC228" wp14:textId="16E29621"/>
    <w:p xmlns:wp14="http://schemas.microsoft.com/office/word/2010/wordml" wp14:paraId="4BB42F70" wp14:textId="1AD5263F"/>
    <w:p xmlns:wp14="http://schemas.microsoft.com/office/word/2010/wordml" wp14:paraId="0B570ACF" wp14:textId="147D5A6B"/>
    <w:p xmlns:wp14="http://schemas.microsoft.com/office/word/2010/wordml" wp14:paraId="3AAA8F05" wp14:textId="555238E7"/>
    <w:p xmlns:wp14="http://schemas.microsoft.com/office/word/2010/wordml" wp14:paraId="6C53260B" wp14:textId="4FA8CA33"/>
    <w:p xmlns:wp14="http://schemas.microsoft.com/office/word/2010/wordml" w:rsidP="713BC316" wp14:paraId="6C3D0BA0" wp14:textId="534AE068">
      <w:pPr>
        <w:spacing w:before="0" w:beforeAutospacing="off" w:after="120" w:afterAutospacing="off"/>
        <w:rPr>
          <w:rFonts w:ascii="Arial" w:hAnsi="Arial" w:eastAsia="Arial" w:cs="Arial"/>
          <w:b w:val="1"/>
          <w:bCs w:val="1"/>
          <w:strike w:val="0"/>
          <w:dstrike w:val="0"/>
          <w:noProof w:val="0"/>
          <w:color w:val="000000" w:themeColor="text1" w:themeTint="FF" w:themeShade="FF"/>
          <w:sz w:val="43"/>
          <w:szCs w:val="43"/>
          <w:u w:val="single"/>
          <w:lang w:val="en-GB"/>
        </w:rPr>
      </w:pPr>
    </w:p>
    <w:p xmlns:wp14="http://schemas.microsoft.com/office/word/2010/wordml" w:rsidP="713BC316" wp14:paraId="52C4B34B" wp14:textId="021D596D">
      <w:pPr>
        <w:spacing w:before="0" w:beforeAutospacing="off" w:after="120" w:afterAutospacing="off"/>
        <w:rPr>
          <w:rFonts w:ascii="Arial" w:hAnsi="Arial" w:eastAsia="Arial" w:cs="Arial"/>
          <w:b w:val="1"/>
          <w:bCs w:val="1"/>
          <w:strike w:val="0"/>
          <w:dstrike w:val="0"/>
          <w:noProof w:val="0"/>
          <w:color w:val="000000" w:themeColor="text1" w:themeTint="FF" w:themeShade="FF"/>
          <w:sz w:val="43"/>
          <w:szCs w:val="43"/>
          <w:u w:val="single"/>
          <w:lang w:val="en-GB"/>
        </w:rPr>
      </w:pPr>
    </w:p>
    <w:p xmlns:wp14="http://schemas.microsoft.com/office/word/2010/wordml" w:rsidP="713BC316" wp14:paraId="57BFCF11" wp14:textId="5F75A613">
      <w:pPr>
        <w:spacing w:before="0" w:beforeAutospacing="off" w:after="120" w:afterAutospacing="off"/>
        <w:rPr>
          <w:rFonts w:ascii="Arial" w:hAnsi="Arial" w:eastAsia="Arial" w:cs="Arial"/>
          <w:b w:val="1"/>
          <w:bCs w:val="1"/>
          <w:strike w:val="0"/>
          <w:dstrike w:val="0"/>
          <w:noProof w:val="0"/>
          <w:color w:val="000000" w:themeColor="text1" w:themeTint="FF" w:themeShade="FF"/>
          <w:sz w:val="43"/>
          <w:szCs w:val="43"/>
          <w:u w:val="single"/>
          <w:lang w:val="en-GB"/>
        </w:rPr>
      </w:pPr>
    </w:p>
    <w:p xmlns:wp14="http://schemas.microsoft.com/office/word/2010/wordml" w:rsidP="713BC316" wp14:paraId="1BEFC536" wp14:textId="0425AA7F">
      <w:pPr>
        <w:spacing w:before="0" w:beforeAutospacing="off" w:after="120" w:afterAutospacing="off"/>
      </w:pPr>
      <w:r w:rsidRPr="713BC316" w:rsidR="0F88F051">
        <w:rPr>
          <w:rFonts w:ascii="Arial" w:hAnsi="Arial" w:eastAsia="Arial" w:cs="Arial"/>
          <w:b w:val="1"/>
          <w:bCs w:val="1"/>
          <w:strike w:val="0"/>
          <w:dstrike w:val="0"/>
          <w:noProof w:val="0"/>
          <w:color w:val="000000" w:themeColor="text1" w:themeTint="FF" w:themeShade="FF"/>
          <w:sz w:val="43"/>
          <w:szCs w:val="43"/>
          <w:u w:val="single"/>
          <w:lang w:val="en-GB"/>
        </w:rPr>
        <w:t>Contents page</w:t>
      </w:r>
    </w:p>
    <w:p xmlns:wp14="http://schemas.microsoft.com/office/word/2010/wordml" wp14:paraId="4D940E48" wp14:textId="0F2525C6"/>
    <w:p xmlns:wp14="http://schemas.microsoft.com/office/word/2010/wordml" w:rsidP="713BC316" wp14:paraId="2FBE7F7E" wp14:textId="029B0B93">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 xml:space="preserve">    Abstract</w:t>
      </w:r>
    </w:p>
    <w:p xmlns:wp14="http://schemas.microsoft.com/office/word/2010/wordml" w:rsidP="713BC316" wp14:paraId="0085619F" wp14:textId="42FCAC27">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 xml:space="preserve">    Introduction</w:t>
      </w:r>
    </w:p>
    <w:p xmlns:wp14="http://schemas.microsoft.com/office/word/2010/wordml" w:rsidP="713BC316" wp14:paraId="52EF08A8" wp14:textId="05AD883A">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1. Theoretical Perspectives on Business Responsibility</w:t>
      </w:r>
    </w:p>
    <w:p xmlns:wp14="http://schemas.microsoft.com/office/word/2010/wordml" w:rsidP="713BC316" wp14:paraId="6B91DA3C" wp14:textId="7A0DB301">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2. The Scientific and Normative Case for business Climate Action</w:t>
      </w:r>
    </w:p>
    <w:p xmlns:wp14="http://schemas.microsoft.com/office/word/2010/wordml" w:rsidP="713BC316" wp14:paraId="695F7F60" wp14:textId="1861D4CB">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3. International Comparisons of Corporate Responses</w:t>
      </w:r>
    </w:p>
    <w:p xmlns:wp14="http://schemas.microsoft.com/office/word/2010/wordml" w:rsidP="713BC316" wp14:paraId="648B2430" wp14:textId="7245F307">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3.1 European Union and the United Kingdom</w:t>
      </w:r>
    </w:p>
    <w:p xmlns:wp14="http://schemas.microsoft.com/office/word/2010/wordml" w:rsidP="713BC316" wp14:paraId="0529D659" wp14:textId="443EFF9C">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3.2 People’s Republic of China</w:t>
      </w:r>
    </w:p>
    <w:p xmlns:wp14="http://schemas.microsoft.com/office/word/2010/wordml" w:rsidP="713BC316" wp14:paraId="2794E50A" wp14:textId="400CA1A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3.3 United States of America</w:t>
      </w:r>
    </w:p>
    <w:p xmlns:wp14="http://schemas.microsoft.com/office/word/2010/wordml" w:rsidP="713BC316" wp14:paraId="06864E3F" wp14:textId="39CA4ABB">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3.4 Japan</w:t>
      </w:r>
    </w:p>
    <w:p xmlns:wp14="http://schemas.microsoft.com/office/word/2010/wordml" w:rsidP="713BC316" wp14:paraId="5B13201A" wp14:textId="0D81DF67">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3.5 Summary</w:t>
      </w:r>
    </w:p>
    <w:p xmlns:wp14="http://schemas.microsoft.com/office/word/2010/wordml" w:rsidP="713BC316" wp14:paraId="11A1D048" wp14:textId="1F9B3D28">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4.  Challenges and Barriers to overcome</w:t>
      </w:r>
    </w:p>
    <w:p xmlns:wp14="http://schemas.microsoft.com/office/word/2010/wordml" w:rsidP="713BC316" wp14:paraId="2A4EEA01" wp14:textId="7FE4EE32">
      <w:pPr>
        <w:shd w:val="clear" w:color="auto" w:fill="FFFFFF" w:themeFill="background1"/>
        <w:spacing w:before="0" w:beforeAutospacing="off" w:after="0" w:afterAutospacing="off"/>
      </w:pPr>
      <w:r w:rsidRPr="713BC316" w:rsidR="0F88F051">
        <w:rPr>
          <w:rFonts w:ascii="Arial" w:hAnsi="Arial" w:eastAsia="Arial" w:cs="Arial"/>
          <w:noProof w:val="0"/>
          <w:color w:val="242424"/>
          <w:sz w:val="24"/>
          <w:szCs w:val="24"/>
          <w:lang w:val="en-GB"/>
        </w:rPr>
        <w:t>i)  Corruption Risks in Climate Finance</w:t>
      </w:r>
    </w:p>
    <w:p xmlns:wp14="http://schemas.microsoft.com/office/word/2010/wordml" w:rsidP="713BC316" wp14:paraId="73459BCD" wp14:textId="6BFA51E5">
      <w:pPr>
        <w:shd w:val="clear" w:color="auto" w:fill="FFFFFF" w:themeFill="background1"/>
        <w:spacing w:before="0" w:beforeAutospacing="off" w:after="0" w:afterAutospacing="off"/>
      </w:pPr>
      <w:r w:rsidRPr="713BC316" w:rsidR="0F88F051">
        <w:rPr>
          <w:rFonts w:ascii="Arial" w:hAnsi="Arial" w:eastAsia="Arial" w:cs="Arial"/>
          <w:noProof w:val="0"/>
          <w:color w:val="242424"/>
          <w:sz w:val="24"/>
          <w:szCs w:val="24"/>
          <w:lang w:val="en-GB"/>
        </w:rPr>
        <w:t>ii) Carbon Credit Fraud and Misuse</w:t>
      </w:r>
    </w:p>
    <w:p xmlns:wp14="http://schemas.microsoft.com/office/word/2010/wordml" w:rsidP="713BC316" wp14:paraId="5F47AB55" wp14:textId="54C8D649">
      <w:pPr>
        <w:shd w:val="clear" w:color="auto" w:fill="FFFFFF" w:themeFill="background1"/>
        <w:spacing w:before="0" w:beforeAutospacing="off" w:after="0" w:afterAutospacing="off"/>
      </w:pPr>
      <w:r w:rsidRPr="713BC316" w:rsidR="0F88F051">
        <w:rPr>
          <w:rFonts w:ascii="Arial" w:hAnsi="Arial" w:eastAsia="Arial" w:cs="Arial"/>
          <w:noProof w:val="0"/>
          <w:color w:val="242424"/>
          <w:sz w:val="24"/>
          <w:szCs w:val="24"/>
          <w:lang w:val="en-GB"/>
        </w:rPr>
        <w:t>iii) Greenwashing and False Claims</w:t>
      </w:r>
    </w:p>
    <w:p xmlns:wp14="http://schemas.microsoft.com/office/word/2010/wordml" w:rsidP="713BC316" wp14:paraId="3C257346" wp14:textId="03AFFF67">
      <w:pPr>
        <w:shd w:val="clear" w:color="auto" w:fill="FFFFFF" w:themeFill="background1"/>
        <w:spacing w:before="0" w:beforeAutospacing="off" w:after="0" w:afterAutospacing="off"/>
      </w:pPr>
      <w:r w:rsidRPr="713BC316" w:rsidR="0F88F051">
        <w:rPr>
          <w:rFonts w:ascii="Arial" w:hAnsi="Arial" w:eastAsia="Arial" w:cs="Arial"/>
          <w:noProof w:val="0"/>
          <w:color w:val="242424"/>
          <w:sz w:val="24"/>
          <w:szCs w:val="24"/>
          <w:lang w:val="en-GB"/>
        </w:rPr>
        <w:t>iv) Misuse of Government Subsidies</w:t>
      </w:r>
    </w:p>
    <w:p xmlns:wp14="http://schemas.microsoft.com/office/word/2010/wordml" w:rsidP="713BC316" wp14:paraId="77BE0C30" wp14:textId="0CE908FB">
      <w:pPr>
        <w:shd w:val="clear" w:color="auto" w:fill="FFFFFF" w:themeFill="background1"/>
        <w:spacing w:before="0" w:beforeAutospacing="off" w:after="0" w:afterAutospacing="off"/>
      </w:pPr>
      <w:r w:rsidRPr="713BC316" w:rsidR="0F88F051">
        <w:rPr>
          <w:rFonts w:ascii="Arial" w:hAnsi="Arial" w:eastAsia="Arial" w:cs="Arial"/>
          <w:noProof w:val="0"/>
          <w:color w:val="242424"/>
          <w:sz w:val="24"/>
          <w:szCs w:val="24"/>
          <w:lang w:val="en-GB"/>
        </w:rPr>
        <w:t>v) Carbon Market Integrity Challenges</w:t>
      </w:r>
    </w:p>
    <w:p xmlns:wp14="http://schemas.microsoft.com/office/word/2010/wordml" wp14:paraId="76FE366C" wp14:textId="02C6A1C0"/>
    <w:p xmlns:wp14="http://schemas.microsoft.com/office/word/2010/wordml" w:rsidP="713BC316" wp14:paraId="2B45A059" wp14:textId="0E712422">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5. Consequences to business of Ignoring versus Engaging the Climate Emergency</w:t>
      </w:r>
    </w:p>
    <w:p xmlns:wp14="http://schemas.microsoft.com/office/word/2010/wordml" w:rsidP="713BC316" wp14:paraId="2B0607AF" wp14:textId="6DFCD030">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5.1 Capital markets and cost of capital. </w:t>
      </w:r>
    </w:p>
    <w:p xmlns:wp14="http://schemas.microsoft.com/office/word/2010/wordml" w:rsidP="713BC316" wp14:paraId="6159DC7E" wp14:textId="4E3B2B93">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5.2 Litigation and legal duty. </w:t>
      </w:r>
    </w:p>
    <w:p xmlns:wp14="http://schemas.microsoft.com/office/word/2010/wordml" w:rsidP="713BC316" wp14:paraId="34308572" wp14:textId="1AF4F454">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5.3 Disclosure and regulatory risk. </w:t>
      </w:r>
    </w:p>
    <w:p xmlns:wp14="http://schemas.microsoft.com/office/word/2010/wordml" w:rsidP="713BC316" wp14:paraId="65E656DE" wp14:textId="7149BCE5">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5.4 Reputational and market access.</w:t>
      </w:r>
      <w:r w:rsidRPr="713BC316" w:rsidR="0F88F051">
        <w:rPr>
          <w:rFonts w:ascii="Arial" w:hAnsi="Arial" w:eastAsia="Arial" w:cs="Arial"/>
          <w:strike w:val="0"/>
          <w:dstrike w:val="0"/>
          <w:noProof w:val="0"/>
          <w:color w:val="000000" w:themeColor="text1" w:themeTint="FF" w:themeShade="FF"/>
          <w:sz w:val="24"/>
          <w:szCs w:val="24"/>
          <w:u w:val="single"/>
          <w:lang w:val="en-GB"/>
        </w:rPr>
        <w:t xml:space="preserve"> </w:t>
      </w:r>
    </w:p>
    <w:p xmlns:wp14="http://schemas.microsoft.com/office/word/2010/wordml" w:rsidP="713BC316" wp14:paraId="171C91B5" wp14:textId="1261E927">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6. Conclusion - Why businesses should care and how</w:t>
      </w:r>
    </w:p>
    <w:p xmlns:wp14="http://schemas.microsoft.com/office/word/2010/wordml" wp14:paraId="027B9671" wp14:textId="04146ED5"/>
    <w:p xmlns:wp14="http://schemas.microsoft.com/office/word/2010/wordml" wp14:paraId="2C1A243E" wp14:textId="72E6C877"/>
    <w:p xmlns:wp14="http://schemas.microsoft.com/office/word/2010/wordml" wp14:paraId="3FBE8860" wp14:textId="3A760630"/>
    <w:p xmlns:wp14="http://schemas.microsoft.com/office/word/2010/wordml" w:rsidP="713BC316" wp14:paraId="51567170" wp14:textId="00FD3F57">
      <w:pPr>
        <w:spacing w:before="0" w:beforeAutospacing="off" w:after="0" w:afterAutospacing="off"/>
        <w:rPr>
          <w:rFonts w:ascii="Arial" w:hAnsi="Arial" w:eastAsia="Arial" w:cs="Arial"/>
          <w:b w:val="1"/>
          <w:bCs w:val="1"/>
          <w:i w:val="1"/>
          <w:iCs w:val="1"/>
          <w:noProof w:val="0"/>
          <w:color w:val="242424"/>
          <w:sz w:val="28"/>
          <w:szCs w:val="28"/>
          <w:lang w:val="en-GB"/>
        </w:rPr>
      </w:pPr>
    </w:p>
    <w:p xmlns:wp14="http://schemas.microsoft.com/office/word/2010/wordml" w:rsidP="713BC316" wp14:paraId="59914CD7" wp14:textId="051FEB01">
      <w:pPr>
        <w:spacing w:before="0" w:beforeAutospacing="off" w:after="0" w:afterAutospacing="off"/>
        <w:rPr>
          <w:rFonts w:ascii="Arial" w:hAnsi="Arial" w:eastAsia="Arial" w:cs="Arial"/>
          <w:b w:val="1"/>
          <w:bCs w:val="1"/>
          <w:i w:val="1"/>
          <w:iCs w:val="1"/>
          <w:noProof w:val="0"/>
          <w:color w:val="242424"/>
          <w:sz w:val="28"/>
          <w:szCs w:val="28"/>
          <w:lang w:val="en-GB"/>
        </w:rPr>
      </w:pPr>
    </w:p>
    <w:p xmlns:wp14="http://schemas.microsoft.com/office/word/2010/wordml" w:rsidP="713BC316" wp14:paraId="1AA096BE" wp14:textId="1A10C594">
      <w:pPr>
        <w:spacing w:before="0" w:beforeAutospacing="off" w:after="0" w:afterAutospacing="off"/>
        <w:rPr>
          <w:rFonts w:ascii="Arial" w:hAnsi="Arial" w:eastAsia="Arial" w:cs="Arial"/>
          <w:b w:val="1"/>
          <w:bCs w:val="1"/>
          <w:i w:val="1"/>
          <w:iCs w:val="1"/>
          <w:noProof w:val="0"/>
          <w:color w:val="242424"/>
          <w:sz w:val="28"/>
          <w:szCs w:val="28"/>
          <w:lang w:val="en-GB"/>
        </w:rPr>
      </w:pPr>
    </w:p>
    <w:p xmlns:wp14="http://schemas.microsoft.com/office/word/2010/wordml" w:rsidP="713BC316" wp14:paraId="770CC64C" wp14:textId="3292EBE4">
      <w:pPr>
        <w:spacing w:before="0" w:beforeAutospacing="off" w:after="0" w:afterAutospacing="off"/>
        <w:rPr>
          <w:rFonts w:ascii="Arial" w:hAnsi="Arial" w:eastAsia="Arial" w:cs="Arial"/>
          <w:b w:val="1"/>
          <w:bCs w:val="1"/>
          <w:i w:val="1"/>
          <w:iCs w:val="1"/>
          <w:noProof w:val="0"/>
          <w:color w:val="242424"/>
          <w:sz w:val="28"/>
          <w:szCs w:val="28"/>
          <w:lang w:val="en-GB"/>
        </w:rPr>
      </w:pPr>
    </w:p>
    <w:p xmlns:wp14="http://schemas.microsoft.com/office/word/2010/wordml" w:rsidP="713BC316" wp14:paraId="1A3D499D" wp14:textId="201533D6">
      <w:pPr>
        <w:spacing w:before="0" w:beforeAutospacing="off" w:after="0" w:afterAutospacing="off"/>
        <w:rPr>
          <w:rFonts w:ascii="Arial" w:hAnsi="Arial" w:eastAsia="Arial" w:cs="Arial"/>
          <w:b w:val="1"/>
          <w:bCs w:val="1"/>
          <w:i w:val="1"/>
          <w:iCs w:val="1"/>
          <w:noProof w:val="0"/>
          <w:color w:val="242424"/>
          <w:sz w:val="28"/>
          <w:szCs w:val="28"/>
          <w:lang w:val="en-GB"/>
        </w:rPr>
      </w:pPr>
    </w:p>
    <w:p xmlns:wp14="http://schemas.microsoft.com/office/word/2010/wordml" w:rsidP="713BC316" wp14:paraId="67F35B8D" wp14:textId="0E059C0F">
      <w:pPr>
        <w:spacing w:before="0" w:beforeAutospacing="off" w:after="0" w:afterAutospacing="off"/>
      </w:pPr>
      <w:r w:rsidRPr="713BC316" w:rsidR="0F88F051">
        <w:rPr>
          <w:rFonts w:ascii="Arial" w:hAnsi="Arial" w:eastAsia="Arial" w:cs="Arial"/>
          <w:b w:val="1"/>
          <w:bCs w:val="1"/>
          <w:i w:val="1"/>
          <w:iCs w:val="1"/>
          <w:noProof w:val="0"/>
          <w:color w:val="242424"/>
          <w:sz w:val="28"/>
          <w:szCs w:val="28"/>
          <w:lang w:val="en-GB"/>
        </w:rPr>
        <w:t>Abstract:</w:t>
      </w:r>
    </w:p>
    <w:p xmlns:wp14="http://schemas.microsoft.com/office/word/2010/wordml" wp14:paraId="5B735BE7" wp14:textId="18DEEF28"/>
    <w:p xmlns:wp14="http://schemas.microsoft.com/office/word/2010/wordml" w:rsidP="713BC316" wp14:paraId="3D4FECD0" wp14:textId="7BDD58BD">
      <w:pPr>
        <w:spacing w:before="0" w:beforeAutospacing="off" w:after="120" w:afterAutospacing="off"/>
      </w:pPr>
      <w:r w:rsidRPr="713BC316" w:rsidR="0F88F051">
        <w:rPr>
          <w:rFonts w:ascii="Arial" w:hAnsi="Arial" w:eastAsia="Arial" w:cs="Arial"/>
          <w:noProof w:val="0"/>
          <w:color w:val="242424"/>
          <w:sz w:val="24"/>
          <w:szCs w:val="24"/>
          <w:lang w:val="en-GB"/>
        </w:rPr>
        <w:t>This essay argues that climate responsibility is ethically and strategically essential for businesses. It analyses shareholder-primacy, supports stakeholder and sustainable value frameworks. Using scientific evidence, normative ethics, and global regulatory trends, the analysis shows that failing to act on climate change exposes businesses to substantial legal, financial, reputational, and consumer risks, whereas proactive engagement strengthens resilience and creates competitive advantage. The essay concludes that managing climate risk is not optional and is essential for long-term benefit.</w:t>
      </w:r>
    </w:p>
    <w:p xmlns:wp14="http://schemas.microsoft.com/office/word/2010/wordml" wp14:paraId="22FF3DD0" wp14:textId="4837D6CD"/>
    <w:p xmlns:wp14="http://schemas.microsoft.com/office/word/2010/wordml" w:rsidP="713BC316" wp14:paraId="5FA5CD63" wp14:textId="4E11062C">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0063C2F5" wp14:textId="2E18ADCC">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204F3135" wp14:textId="5CEA914A">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25E5088A" wp14:textId="38518B86">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349C5396" wp14:textId="3333E4EA">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3A746340" wp14:textId="664C693B">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2721AB93" wp14:textId="38D1B529">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2964B56A" wp14:textId="5952EF6D">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0138B6FF" wp14:textId="37290648">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1AC7D484" wp14:textId="0A940579">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4198CCB0" wp14:textId="4E493A7C">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7CC211B7" wp14:textId="2487441A">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4A28CFDF" wp14:textId="3DEE3433">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43D97998" wp14:textId="5676926A">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4089BB2B" wp14:textId="0872BB76">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1B64C2B3" wp14:textId="1A9475C0">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4D389058" wp14:textId="7DC449B2">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290AA593" wp14:textId="282907B5">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3A3CD703" wp14:textId="5D1F6992">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0CEBE7CD" wp14:textId="27C69309">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2652E071" wp14:textId="5587BDEC">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5E4F14BE" wp14:textId="3C02BF9F">
      <w:pPr>
        <w:pStyle w:val="Normal"/>
        <w:rPr>
          <w:rFonts w:ascii="Arial" w:hAnsi="Arial" w:eastAsia="Arial" w:cs="Arial"/>
          <w:b w:val="1"/>
          <w:bCs w:val="1"/>
          <w:noProof w:val="0"/>
          <w:color w:val="000000" w:themeColor="text1" w:themeTint="FF" w:themeShade="FF"/>
          <w:sz w:val="24"/>
          <w:szCs w:val="24"/>
          <w:lang w:val="en-GB"/>
        </w:rPr>
      </w:pPr>
    </w:p>
    <w:p xmlns:wp14="http://schemas.microsoft.com/office/word/2010/wordml" w:rsidP="713BC316" wp14:paraId="7DEC3604" wp14:textId="672CDB65">
      <w:pPr>
        <w:pStyle w:val="Normal"/>
        <w:rPr>
          <w:rFonts w:ascii="Arial" w:hAnsi="Arial" w:eastAsia="Arial" w:cs="Arial"/>
          <w:b w:val="1"/>
          <w:bCs w:val="1"/>
          <w:noProof w:val="0"/>
          <w:color w:val="000000" w:themeColor="text1" w:themeTint="FF" w:themeShade="FF"/>
          <w:sz w:val="24"/>
          <w:szCs w:val="24"/>
          <w:lang w:val="en-GB"/>
        </w:rPr>
      </w:pPr>
      <w:r w:rsidRPr="713BC316" w:rsidR="0F88F051">
        <w:rPr>
          <w:rFonts w:ascii="Arial" w:hAnsi="Arial" w:eastAsia="Arial" w:cs="Arial"/>
          <w:b w:val="1"/>
          <w:bCs w:val="1"/>
          <w:noProof w:val="0"/>
          <w:color w:val="000000" w:themeColor="text1" w:themeTint="FF" w:themeShade="FF"/>
          <w:sz w:val="24"/>
          <w:szCs w:val="24"/>
          <w:lang w:val="en-GB"/>
        </w:rPr>
        <w:t>Introduction</w:t>
      </w:r>
    </w:p>
    <w:p xmlns:wp14="http://schemas.microsoft.com/office/word/2010/wordml" w:rsidP="713BC316" wp14:paraId="530EEDAD" wp14:textId="22A4BA21">
      <w:pPr>
        <w:spacing w:before="0" w:beforeAutospacing="off" w:after="120" w:afterAutospacing="off"/>
      </w:pPr>
      <w:r w:rsidRPr="713BC316" w:rsidR="0F88F051">
        <w:rPr>
          <w:rFonts w:ascii="Arial" w:hAnsi="Arial" w:eastAsia="Arial" w:cs="Arial"/>
          <w:noProof w:val="0"/>
          <w:color w:val="242424"/>
          <w:sz w:val="24"/>
          <w:szCs w:val="24"/>
          <w:lang w:val="en-GB"/>
        </w:rPr>
        <w:t>Changes in climate are evident to people all across the world, with flooding, droughts, heatwaves and hurricanes becoming more intense and frequent.  As an essential part of communities across the world, businesses are fully aware of the climate change they witness and the science explaining the reasons for and risks from climate change. Therefore, like individuals, societies and governments, every business has an ethical question to answer, should the Climate Emergency be accepted as a serious risk and if the answer is “YES” it means it is essential to take all necessary steps to mitigate the risk or might business legitimately prioritise taking maximum profit whilst abiding by legal regulation relevant to the country(s) they operate in? This question is now a leading subject in global business ethics</w:t>
      </w:r>
    </w:p>
    <w:p xmlns:wp14="http://schemas.microsoft.com/office/word/2010/wordml" w:rsidP="713BC316" wp14:paraId="70C432D5" wp14:textId="1E52F8D2">
      <w:pPr>
        <w:spacing w:before="0" w:beforeAutospacing="off" w:after="120" w:afterAutospacing="off"/>
      </w:pPr>
      <w:r w:rsidRPr="713BC316" w:rsidR="0F88F051">
        <w:rPr>
          <w:rFonts w:ascii="Arial" w:hAnsi="Arial" w:eastAsia="Arial" w:cs="Arial"/>
          <w:noProof w:val="0"/>
          <w:color w:val="242424"/>
          <w:sz w:val="24"/>
          <w:szCs w:val="24"/>
          <w:lang w:val="en-GB"/>
        </w:rPr>
        <w:t xml:space="preserve">This essay is written from the perspective that despite arguments that business is only about profit or shareholder-primacy as suggested by (Friedman., 1970), in the period 2020-2025 it shows a strategic focus only on profit, ignoring the climate emergency, is not practically sustainable or ethically defensible globally.  It further argues that increasing regulation and litigation risk, capital-market re-pricing, and growing requirements for supply-chain due-diligence have made climate-related risks real strategic constraints, meaning a purely profit-driven approach by any business is not sustainable and the business not viable medium to long term. It is recognised however that there are barriers to business that need to be recognised and addressed. </w:t>
      </w:r>
    </w:p>
    <w:p xmlns:wp14="http://schemas.microsoft.com/office/word/2010/wordml" w:rsidP="713BC316" wp14:paraId="517A3784" wp14:textId="29FA73B3">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To make this case, the essay analysis is in five sections: Theoretical perspectives; The scientific and normative case; International comparisons (EU/UK, China, USA, Japan); Challenges and Barriers to overcome and Consequences to business of Ignoring versus Engaging the Climate Emergency.</w:t>
      </w:r>
    </w:p>
    <w:p xmlns:wp14="http://schemas.microsoft.com/office/word/2010/wordml" wp14:paraId="3963B1C7" wp14:textId="7E155B9E"/>
    <w:p xmlns:wp14="http://schemas.microsoft.com/office/word/2010/wordml" w:rsidP="713BC316" wp14:paraId="3119C621" wp14:textId="051BB658">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1. Theoretical Perspectives on Business Responsibility</w:t>
      </w:r>
    </w:p>
    <w:p xmlns:wp14="http://schemas.microsoft.com/office/word/2010/wordml" w:rsidP="713BC316" wp14:paraId="7CFAA802" wp14:textId="4253E70A">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(Friedman., 1970) argued the only social responsibility of a business is to increase profits within relevant laws and regulations which he described as  “shareholder-primacy”. The shareholder-primacy view continues to have legal support in many Anglo-American jurisdictions (Ho., 2021). However, since the 1980s, stakeholder theory (Freeman et al., 2021) has argued that businesses are part of communities and the environment. It must consider external impacts, including climate effects, by aligning corporate strategy with responsibilities to a wider group of stakeholders.</w:t>
      </w:r>
    </w:p>
    <w:p xmlns:wp14="http://schemas.microsoft.com/office/word/2010/wordml" w:rsidP="713BC316" wp14:paraId="7222A4CE" wp14:textId="7ECA0192">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The more recent ‘sustainable value creation’ framework (Dyllick and Muff, 2022) requires businesses to set strategies that operate within environmental limits and support the long‑term functioning of markets and society. It argues that if climate risk threatens economic stability and supply chains, then managing it is part of prudent profitability, where shareholder value depends on positive action rather than being distracted from it. This association is reflected in current governance reforms and reporting standards, such as the Task Force on Climate‑related Financial Disclosures (TCFD), which provides a global framework for reporting climate‑related financial risks, and the International Sustainability Standards Board (ISSB), which sets a global baseline for consistent sustainability reporting. Both specify climate risks as financially material (IFRS Foundation, 2025).</w:t>
      </w:r>
    </w:p>
    <w:p xmlns:wp14="http://schemas.microsoft.com/office/word/2010/wordml" w:rsidP="713BC316" wp14:paraId="544135DD" wp14:textId="1118EF33">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The debate on Business Responsibility is further complicated by Cultural relativism. (Chan and Cheung., 2023) note that East Asian traditions emphasise harmony with nature but at the same time prioritise collective socio-economic development, creating a different “hierarchy of duties” compared with Western liberal universalism. Integrative Social Contracts Theory (Donaldson and Dunfee., 2021) reprint sits between these two views arguing that “hypernorms” (for example avoiding irreversible planetary harm) must be respected, whilst “moral free space” allows culturally specific implementations. Recognising the cultural regional differences helps understand cross‑regional differences .</w:t>
      </w:r>
    </w:p>
    <w:p xmlns:wp14="http://schemas.microsoft.com/office/word/2010/wordml" w:rsidP="713BC316" wp14:paraId="7E0EFEA3" wp14:textId="15A33B16">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Current business ethics theory therefore brings climate responsibility to the top of the Business agenda. </w:t>
      </w:r>
    </w:p>
    <w:p xmlns:wp14="http://schemas.microsoft.com/office/word/2010/wordml" w:rsidP="713BC316" wp14:paraId="31F0A0DD" wp14:textId="71E9F537">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Whether the scientific and ethical case together make climate action non‑optional for business is considered next and why acting now is ethically and strategically better than delaying.</w:t>
      </w:r>
    </w:p>
    <w:p xmlns:wp14="http://schemas.microsoft.com/office/word/2010/wordml" wp14:paraId="797B9307" wp14:textId="57E77039"/>
    <w:p xmlns:wp14="http://schemas.microsoft.com/office/word/2010/wordml" w:rsidP="713BC316" wp14:paraId="660B38FB" wp14:textId="4831C732">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2. The Scientific and Normative Case for business Climate Action</w:t>
      </w:r>
    </w:p>
    <w:p xmlns:wp14="http://schemas.microsoft.com/office/word/2010/wordml" w:rsidP="713BC316" wp14:paraId="0136D707" wp14:textId="5438193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The case that science makes for business to act is the Intergovernmental Panel on Climate Change (IPCC) Sixth Assessment (Report., 2021) and its 2023 Synthesis Report provide convincing evidence that man-made or anthropogenic greenhouse gas emissions, particularly those linked to corporate activities are lead causes of and contributors to global warming. These emissions are categorised as Scope 1 (direct emissions from owned or controlled sources), Scope 2 (indirect emissions from purchased energy), and Scope 3 (indirect emissions across the value chain, including suppliers and product use). Scope 3 frequently accounts for 70-90% of larger companies' Carbon Footprint making supplier engagement and product use decarbonisation central to good strategies. (Tollefson., 2023) assesses the scale of corporate responsibility, noting that just 100 companies account for 71% of historical emissions since 1988.</w:t>
      </w:r>
    </w:p>
    <w:p xmlns:wp14="http://schemas.microsoft.com/office/word/2010/wordml" w:rsidP="713BC316" wp14:paraId="5EBEAEE8" wp14:textId="1156C6C8">
      <w:pPr>
        <w:shd w:val="clear" w:color="auto" w:fill="FFFFFF" w:themeFill="background1"/>
        <w:spacing w:before="0" w:beforeAutospacing="off" w:after="0" w:afterAutospacing="off"/>
      </w:pPr>
      <w:r w:rsidRPr="713BC316" w:rsidR="0F88F051">
        <w:rPr>
          <w:rFonts w:ascii="Arial" w:hAnsi="Arial" w:eastAsia="Arial" w:cs="Arial"/>
          <w:noProof w:val="0"/>
          <w:color w:val="000000" w:themeColor="text1" w:themeTint="FF" w:themeShade="FF"/>
          <w:sz w:val="24"/>
          <w:szCs w:val="24"/>
          <w:lang w:val="en-GB"/>
        </w:rPr>
        <w:t>From the Normative viewpoint, the ethical argument made by Bendell and (Doyle., 2022) is that when companies fail to act on climate change, they’re not just ignoring science, they’re undermining fairness between generations and basic human rights, as recognised by the United Nations Council Resolution 48/13 (UN Human Rights Council.,2021). (Scherer and Voegtlin., 2022) go further, saying that because global rules are weak, big businesses now play a political role and carry extra responsibility for tackling major risks like climate change. Taken together, science and ethical arguments make it evident climate action isn’t optional for companies, it’s both the right thing to do and a necessary long-term strategy. Acting early is ethically preferable because it prevents greater harm and is practically easier than reactive measures under crisis conditions.</w:t>
      </w:r>
    </w:p>
    <w:p xmlns:wp14="http://schemas.microsoft.com/office/word/2010/wordml" w:rsidP="713BC316" wp14:paraId="745E9486" wp14:textId="56E12FAD">
      <w:pPr>
        <w:shd w:val="clear" w:color="auto" w:fill="FFFFFF" w:themeFill="background1"/>
        <w:spacing w:before="0" w:beforeAutospacing="off" w:after="0" w:afterAutospacing="off"/>
      </w:pPr>
    </w:p>
    <w:p xmlns:wp14="http://schemas.microsoft.com/office/word/2010/wordml" w:rsidP="713BC316" wp14:paraId="0E744C46" wp14:textId="48FC778E">
      <w:pPr>
        <w:shd w:val="clear" w:color="auto" w:fill="FFFFFF" w:themeFill="background1"/>
        <w:spacing w:before="0" w:beforeAutospacing="off" w:after="0" w:afterAutospacing="off"/>
      </w:pPr>
      <w:r w:rsidRPr="713BC316" w:rsidR="0F88F051">
        <w:rPr>
          <w:rFonts w:ascii="Arial" w:hAnsi="Arial" w:eastAsia="Arial" w:cs="Arial"/>
          <w:noProof w:val="0"/>
          <w:color w:val="000000" w:themeColor="text1" w:themeTint="FF" w:themeShade="FF"/>
          <w:sz w:val="24"/>
          <w:szCs w:val="24"/>
          <w:lang w:val="en-GB"/>
        </w:rPr>
        <w:t xml:space="preserve">The arguments for action are also relevant to Small and Medium size businesses (SME’s) which are critical to achieving climate goals because they collectively account for a significant share of business-sector emissions and influence supply chains. SMEs often face barriers such as limited resources and expertise but practical solutions exist to overcome these challenges, for example simple measurement tools like the SME Climate Hub, setting achievable targets, and focusing on cost-effective actions such as improving energy efficiency, switching to renewables, and optimising logistics. SMEs can reduce emissions and operating costs at the same time. Reporting basic climate information and using recognised standards like ISO 14001 can strengthen competitiveness and improve access to finance. Small businesses can also contribute by taking simpler ethical steps </w:t>
      </w:r>
    </w:p>
    <w:p xmlns:wp14="http://schemas.microsoft.com/office/word/2010/wordml" w:rsidP="713BC316" wp14:paraId="7E781165" wp14:textId="5800DFB4">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As science and ethics direct business toward action, it is necessary to consider what action is taking place in different areas of the world by comparing corporate climate responses across the EU/UK, China, the USA, and Japan, highlighting similarities and differences in responses.</w:t>
      </w:r>
    </w:p>
    <w:p xmlns:wp14="http://schemas.microsoft.com/office/word/2010/wordml" wp14:paraId="5C4AD52C" wp14:textId="1D71C456"/>
    <w:p xmlns:wp14="http://schemas.microsoft.com/office/word/2010/wordml" w:rsidP="713BC316" wp14:paraId="00373FED" wp14:textId="24044686">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3. International Comparisons of Corporate Responses</w:t>
      </w:r>
    </w:p>
    <w:p xmlns:wp14="http://schemas.microsoft.com/office/word/2010/wordml" w:rsidP="713BC316" wp14:paraId="6EE163A2" wp14:textId="13DAF719">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3.1 European Union and the United Kingdom</w:t>
      </w:r>
    </w:p>
    <w:p xmlns:wp14="http://schemas.microsoft.com/office/word/2010/wordml" w:rsidP="713BC316" wp14:paraId="4BA9AB72" wp14:textId="5BCB5247">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The EU has introduced the world’s most comprehensive climate governance and sustainability framework. The Corporate Sustainability Due Diligence Directive (CSDDD., 2024) requires large businesses (including certain non‑EU companies active in the EU) to identify and mitigate climate-related risks across global value chains and to adopt transition plans aligned with EU climate‑neutrality by 2050. It also requires they identify and address adverse human rights and environmental impacts across their chains of activities. It is ambitious. Critics however question the enforcement resources across member states. </w:t>
      </w:r>
    </w:p>
    <w:p xmlns:wp14="http://schemas.microsoft.com/office/word/2010/wordml" w:rsidP="713BC316" wp14:paraId="668473FB" wp14:textId="60BD3B6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In the UK, the Transition Plan Taskforce (TPT) published a “gold‑standard” disclosure framework in October 2023 (HM Treasury., 2023).; the International Financial Reporting Standards (IFRS) Foundation has since assumed responsibility for the materials to support companies reporting against ISSB standards (IFRS S1/S2). Regulators are moving toward mandatory transition‑plan disclosures, with TPT guidance being built into Financial Conduct Authority (FCA) reporting from 2025/26. Companies like Unilever and Ørsted show how meeting these standards can become a competitive advantage using science‑based targets (Unilever., 2024).</w:t>
      </w:r>
    </w:p>
    <w:p xmlns:wp14="http://schemas.microsoft.com/office/word/2010/wordml" w:rsidP="713BC316" wp14:paraId="58456777" wp14:textId="7CB52821">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Europe’s approach uses mandatory obligations and market disclosure baselines. Challenges remain with enforcement capacity and cross‑border application issues to overcome. However, the direction is consistent: climate responsibility is embedded in corporate governance and supply‑chain management, making “profit‑only” strategies difficult to maintain without accounting for climate externalities (European Commission., 2025) and (PwC.,(2025).</w:t>
      </w:r>
    </w:p>
    <w:p xmlns:wp14="http://schemas.microsoft.com/office/word/2010/wordml" w:rsidP="713BC316" wp14:paraId="463025F0" wp14:textId="0A07345B">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  </w:t>
      </w:r>
    </w:p>
    <w:p xmlns:wp14="http://schemas.microsoft.com/office/word/2010/wordml" w:rsidP="713BC316" wp14:paraId="768B5294" wp14:textId="5C5B1E2E">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3.2 People’s Republic of China</w:t>
      </w:r>
    </w:p>
    <w:p xmlns:wp14="http://schemas.microsoft.com/office/word/2010/wordml" w:rsidP="713BC316" wp14:paraId="6ECA3B47" wp14:textId="66061FF5">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China is the largest CO2 emitter in the World yet it is also the largest investor in renewables (IEA., 2024). Its ‘dual carbon’ goals of peak emissions by 2030 and neutrality by 2060 shape corporate behaviour through mandatory Environmental, Social and Governance (ESG) disclosure and financing penalties for non-compliance (Li &amp; Shapiro., 2023). In April 2024, the Shanghai, Shenzhen and Beijing Stock Exchanges issued Sustainability Report (Trial) guidelines effective from 1</w:t>
      </w:r>
      <w:r w:rsidRPr="713BC316" w:rsidR="0F88F051">
        <w:rPr>
          <w:rFonts w:ascii="Arial" w:hAnsi="Arial" w:eastAsia="Arial" w:cs="Arial"/>
          <w:noProof w:val="0"/>
          <w:color w:val="000000" w:themeColor="text1" w:themeTint="FF" w:themeShade="FF"/>
          <w:sz w:val="24"/>
          <w:szCs w:val="24"/>
          <w:vertAlign w:val="superscript"/>
          <w:lang w:val="en-GB"/>
        </w:rPr>
        <w:t>st</w:t>
      </w:r>
      <w:r w:rsidRPr="713BC316" w:rsidR="0F88F051">
        <w:rPr>
          <w:rFonts w:ascii="Arial" w:hAnsi="Arial" w:eastAsia="Arial" w:cs="Arial"/>
          <w:noProof w:val="0"/>
          <w:color w:val="000000" w:themeColor="text1" w:themeTint="FF" w:themeShade="FF"/>
          <w:sz w:val="24"/>
          <w:szCs w:val="24"/>
          <w:lang w:val="en-GB"/>
        </w:rPr>
        <w:t xml:space="preserve"> May 2024 requiring mandatory sustainability reporting for selected large value and dual‑listed companies, with first reports due by 30 April 2026 for FY2025. The guidance aligns with ISSB and encourages disclosure of Scope 1, 2 (and Scope 3 where practical), situation analysis, and climate risk management. Additional implementation guidance released by the Shanghai Stock Exchange in January 2025 further standardised approaches though much of the broader market remains on a voluntary footing for now. Shanghai (Stock Exchange., 2025) and (Shanghai Municipal Government., 2025) Cultural narratives of harmony legitimise rapid renewable deployment, but continued coal expansion for energy security reveals tensions between growth and sustainability (Wang &amp; Liu., 2024). Mandatory ESG reporting is expanding for large issuers, increasing comparability and investor discipline.</w:t>
      </w:r>
    </w:p>
    <w:p xmlns:wp14="http://schemas.microsoft.com/office/word/2010/wordml" w:rsidP="713BC316" wp14:paraId="701B5CCD" wp14:textId="532FC952">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China’s top‑down policy has enabled rapid scaling (e.g., renewables, EVs), but government energy security concerns mean developing new coal capacity.and the continued role of coal create tensions between growth and decarbonisation (China Daily., 2025).</w:t>
      </w:r>
    </w:p>
    <w:p xmlns:wp14="http://schemas.microsoft.com/office/word/2010/wordml" wp14:paraId="77012664" wp14:textId="1FAB75B7"/>
    <w:p xmlns:wp14="http://schemas.microsoft.com/office/word/2010/wordml" w:rsidP="713BC316" wp14:paraId="44B861DB" wp14:textId="74A62C87">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3.3 United States of America</w:t>
      </w:r>
    </w:p>
    <w:p xmlns:wp14="http://schemas.microsoft.com/office/word/2010/wordml" w:rsidP="713BC316" wp14:paraId="2510730D" wp14:textId="4F014CCE">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Political influence directs many Corporate behaviours across the USA. The political landscape of the country is very polarised to either Republican or Democrat and the behaviours of businesses align with the dominant political power. As a consequence there is no clear direction of business in response to ethics and climate challenges. This is seen in the examples of Federal incentives under the Inflation (Reduction Act., 2022) which encouraged clean energy investment, and then the Republican-led states adopting Anti-ESG laws designed to restrict the use of Environmental, Social, and Governance (ESG). In 2024, states passed 32 bills either supporting or opposing ESG investing (17 opposed ESG in Republican states; eight supported in Democratic states). This evidence shows the political factors influencing investment and business decisions and creating regulatory fragmentation (Nyberg et al., 2023). </w:t>
      </w:r>
    </w:p>
    <w:p xmlns:wp14="http://schemas.microsoft.com/office/word/2010/wordml" w:rsidP="713BC316" wp14:paraId="4C3DAEA5" wp14:textId="6102D6F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Even so, big businesses like Tesla and Microsoft now use carbon pricing, showing that proactive climate strategies matter more than policy uncertainty because investors, global supply chains, and risk management increasingly expect it.</w:t>
      </w:r>
    </w:p>
    <w:p xmlns:wp14="http://schemas.microsoft.com/office/word/2010/wordml" wp14:paraId="2CF32C3D" wp14:textId="476CEF07"/>
    <w:p xmlns:wp14="http://schemas.microsoft.com/office/word/2010/wordml" w:rsidP="713BC316" wp14:paraId="750BF917" wp14:textId="41337E33">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The USA highlights that cultural and political divisions produce regulatory fragmentation which raises transaction costs and legal uncertainty for business but does not diminish the importance of climate responsibility.</w:t>
      </w:r>
    </w:p>
    <w:p xmlns:wp14="http://schemas.microsoft.com/office/word/2010/wordml" wp14:paraId="3CB82A88" wp14:textId="220ADE71"/>
    <w:p xmlns:wp14="http://schemas.microsoft.com/office/word/2010/wordml" w:rsidP="713BC316" wp14:paraId="3C2BF4D5" wp14:textId="79260C2A">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 xml:space="preserve">3.4 Japan </w:t>
      </w:r>
    </w:p>
    <w:p xmlns:wp14="http://schemas.microsoft.com/office/word/2010/wordml" w:rsidP="713BC316" wp14:paraId="0A40967C" wp14:textId="4CE38AB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Japan offers a hybrid model. Climate‑disclosure reforms began in 2021, when the Tokyo Stock Exchange required its largest listed companies to adopt international climate‑risk reporting principles under a ‘comply or explain’ approach, followed by a shift toward mandatory global sustainability standards supported by Japan’s long‑term business culture and monozukuri (which emphasises skilled, continuous improvement in manufacturing). Despite this progress, Japan remains heavily reliant on imported fossil fuels and is rated ‘highly insufficient’, highlighting the challenge of reducing fossil‑fuel dependence while maintaining energy security</w:t>
      </w:r>
    </w:p>
    <w:p xmlns:wp14="http://schemas.microsoft.com/office/word/2010/wordml" wp14:paraId="48B3522B" wp14:textId="66695C4E"/>
    <w:p xmlns:wp14="http://schemas.microsoft.com/office/word/2010/wordml" w:rsidP="713BC316" wp14:paraId="341F597F" wp14:textId="7395C98A">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3.5 Summary</w:t>
      </w:r>
    </w:p>
    <w:p xmlns:wp14="http://schemas.microsoft.com/office/word/2010/wordml" w:rsidP="713BC316" wp14:paraId="5C9CABB0" wp14:textId="0539E8B1">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Countries are moving at different speeds, but the trend is clear: where climate rules are strong (Europe, Japan), businesses have clear guidance; where politics is divided (USA), market forces still push companies to act. </w:t>
      </w:r>
    </w:p>
    <w:p xmlns:wp14="http://schemas.microsoft.com/office/word/2010/wordml" wp14:paraId="4FFF0A3C" wp14:textId="11AB4A56"/>
    <w:p xmlns:wp14="http://schemas.microsoft.com/office/word/2010/wordml" w:rsidP="713BC316" wp14:paraId="6B3119C5" wp14:textId="3F7208EE">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4.  Challenges and Barriers to overcome</w:t>
      </w:r>
    </w:p>
    <w:p xmlns:wp14="http://schemas.microsoft.com/office/word/2010/wordml" w:rsidP="713BC316" wp14:paraId="341EE538" wp14:textId="7D323934">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Although businesses have strong ethical and regulatory reasons to reduce their contribution to climate warming, significant structural and governance challenges remain for both business and governments.These problems can weaken incentives and damage trust in climate initiatives. There is clear evidence that some people and businesses misuse climate‑related schemes for profit. Examples include</w:t>
      </w:r>
    </w:p>
    <w:p xmlns:wp14="http://schemas.microsoft.com/office/word/2010/wordml" w:rsidP="713BC316" wp14:paraId="042A6873" wp14:textId="2D680707">
      <w:pPr>
        <w:shd w:val="clear" w:color="auto" w:fill="FFFFFF" w:themeFill="background1"/>
        <w:spacing w:before="0" w:beforeAutospacing="off" w:after="0" w:afterAutospacing="off"/>
        <w:ind w:left="720" w:right="0"/>
      </w:pPr>
      <w:r w:rsidRPr="713BC316" w:rsidR="0F88F051">
        <w:rPr>
          <w:rFonts w:ascii="Arial" w:hAnsi="Arial" w:eastAsia="Arial" w:cs="Arial"/>
          <w:noProof w:val="0"/>
          <w:color w:val="242424"/>
          <w:sz w:val="24"/>
          <w:szCs w:val="24"/>
          <w:lang w:val="en-GB"/>
        </w:rPr>
        <w:t xml:space="preserve">i)  </w:t>
      </w:r>
      <w:r w:rsidRPr="713BC316" w:rsidR="0F88F051">
        <w:rPr>
          <w:rFonts w:ascii="Arial" w:hAnsi="Arial" w:eastAsia="Arial" w:cs="Arial"/>
          <w:strike w:val="0"/>
          <w:dstrike w:val="0"/>
          <w:noProof w:val="0"/>
          <w:color w:val="242424"/>
          <w:sz w:val="24"/>
          <w:szCs w:val="24"/>
          <w:u w:val="single"/>
          <w:lang w:val="en-GB"/>
        </w:rPr>
        <w:t>Corruption Risks in Climate Finance</w:t>
      </w:r>
      <w:r>
        <w:br/>
      </w:r>
      <w:r w:rsidRPr="713BC316" w:rsidR="0F88F051">
        <w:rPr>
          <w:rFonts w:ascii="Arial" w:hAnsi="Arial" w:eastAsia="Arial" w:cs="Arial"/>
          <w:noProof w:val="0"/>
          <w:color w:val="242424"/>
          <w:sz w:val="24"/>
          <w:szCs w:val="24"/>
          <w:lang w:val="en-GB"/>
        </w:rPr>
        <w:t>Climate finance and subsidies create opportunities for bribery, misuse of funds, and favouritism in awarding contracts. Evidence from the Grantham Research Institute and UNODC shows that lack of good checks in renewable energy projects and climate‑mitigation funds attracts these forms of corruption, ultimately undermining climate goals</w:t>
      </w:r>
      <w:r w:rsidRPr="713BC316" w:rsidR="0F88F051">
        <w:rPr>
          <w:rFonts w:ascii="Arial" w:hAnsi="Arial" w:eastAsia="Arial" w:cs="Arial"/>
          <w:noProof w:val="0"/>
          <w:color w:val="000000" w:themeColor="text1" w:themeTint="FF" w:themeShade="FF"/>
          <w:sz w:val="24"/>
          <w:szCs w:val="24"/>
          <w:lang w:val="en-GB"/>
        </w:rPr>
        <w:t>London (School of Economics and Political Science., 2025)</w:t>
      </w:r>
      <w:r w:rsidRPr="713BC316" w:rsidR="0F88F051">
        <w:rPr>
          <w:rFonts w:ascii="Arial" w:hAnsi="Arial" w:eastAsia="Arial" w:cs="Arial"/>
          <w:noProof w:val="0"/>
          <w:color w:val="242424"/>
          <w:sz w:val="24"/>
          <w:szCs w:val="24"/>
          <w:lang w:val="en-GB"/>
        </w:rPr>
        <w:t xml:space="preserve"> and (</w:t>
      </w:r>
      <w:r w:rsidRPr="713BC316" w:rsidR="0F88F051">
        <w:rPr>
          <w:rFonts w:ascii="Arial" w:hAnsi="Arial" w:eastAsia="Arial" w:cs="Arial"/>
          <w:noProof w:val="0"/>
          <w:color w:val="000000" w:themeColor="text1" w:themeTint="FF" w:themeShade="FF"/>
          <w:sz w:val="24"/>
          <w:szCs w:val="24"/>
          <w:lang w:val="en-GB"/>
        </w:rPr>
        <w:t>United Nations Office on Drugs and Crime., 2025).</w:t>
      </w:r>
    </w:p>
    <w:p xmlns:wp14="http://schemas.microsoft.com/office/word/2010/wordml" w:rsidP="713BC316" wp14:paraId="380565FF" wp14:textId="2626D3C6">
      <w:pPr>
        <w:shd w:val="clear" w:color="auto" w:fill="FFFFFF" w:themeFill="background1"/>
        <w:spacing w:before="0" w:beforeAutospacing="off" w:after="0" w:afterAutospacing="off"/>
        <w:ind w:left="720" w:right="0"/>
      </w:pPr>
      <w:r w:rsidRPr="713BC316" w:rsidR="0F88F051">
        <w:rPr>
          <w:rFonts w:ascii="Arial" w:hAnsi="Arial" w:eastAsia="Arial" w:cs="Arial"/>
          <w:noProof w:val="0"/>
          <w:color w:val="242424"/>
          <w:sz w:val="24"/>
          <w:szCs w:val="24"/>
          <w:lang w:val="en-GB"/>
        </w:rPr>
        <w:t xml:space="preserve">ii) </w:t>
      </w:r>
      <w:r w:rsidRPr="713BC316" w:rsidR="0F88F051">
        <w:rPr>
          <w:rFonts w:ascii="Arial" w:hAnsi="Arial" w:eastAsia="Arial" w:cs="Arial"/>
          <w:strike w:val="0"/>
          <w:dstrike w:val="0"/>
          <w:noProof w:val="0"/>
          <w:color w:val="242424"/>
          <w:sz w:val="24"/>
          <w:szCs w:val="24"/>
          <w:u w:val="single"/>
          <w:lang w:val="en-GB"/>
        </w:rPr>
        <w:t>Carbon Credit Fraud and Misuse</w:t>
      </w:r>
      <w:r>
        <w:br/>
      </w:r>
      <w:r w:rsidRPr="713BC316" w:rsidR="0F88F051">
        <w:rPr>
          <w:rFonts w:ascii="Arial" w:hAnsi="Arial" w:eastAsia="Arial" w:cs="Arial"/>
          <w:noProof w:val="0"/>
          <w:color w:val="242424"/>
          <w:sz w:val="24"/>
          <w:szCs w:val="24"/>
          <w:lang w:val="en-GB"/>
        </w:rPr>
        <w:t>Academic studies and enforcement actions show widespread problems in carbon markets. Examples include a Berkeley-led study that found that many carbon offset projects issued bogus credits, claiming climate benefits that never occurred. (</w:t>
      </w:r>
      <w:r w:rsidRPr="713BC316" w:rsidR="0F88F051">
        <w:rPr>
          <w:rFonts w:ascii="Arial" w:hAnsi="Arial" w:eastAsia="Arial" w:cs="Arial"/>
          <w:noProof w:val="0"/>
          <w:color w:val="000000" w:themeColor="text1" w:themeTint="FF" w:themeShade="FF"/>
          <w:sz w:val="24"/>
          <w:szCs w:val="24"/>
          <w:lang w:val="en-GB"/>
        </w:rPr>
        <w:t>TIME., 2025)</w:t>
      </w:r>
      <w:r w:rsidRPr="713BC316" w:rsidR="0F88F051">
        <w:rPr>
          <w:rFonts w:ascii="Arial" w:hAnsi="Arial" w:eastAsia="Arial" w:cs="Arial"/>
          <w:noProof w:val="0"/>
          <w:color w:val="242424"/>
          <w:sz w:val="24"/>
          <w:szCs w:val="24"/>
          <w:lang w:val="en-GB"/>
        </w:rPr>
        <w:t xml:space="preserve"> and evidence of organised criminal groups having involvement in carbon credit trading, exploiting weak standards and oversight (</w:t>
      </w:r>
      <w:r w:rsidRPr="713BC316" w:rsidR="0F88F051">
        <w:rPr>
          <w:rFonts w:ascii="Arial" w:hAnsi="Arial" w:eastAsia="Arial" w:cs="Arial"/>
          <w:noProof w:val="0"/>
          <w:color w:val="000000" w:themeColor="text1" w:themeTint="FF" w:themeShade="FF"/>
          <w:sz w:val="24"/>
          <w:szCs w:val="24"/>
          <w:lang w:val="en-GB"/>
        </w:rPr>
        <w:t>Kroll (2025).</w:t>
      </w:r>
    </w:p>
    <w:p xmlns:wp14="http://schemas.microsoft.com/office/word/2010/wordml" w:rsidP="713BC316" wp14:paraId="12017E1D" wp14:textId="625255BE">
      <w:pPr>
        <w:shd w:val="clear" w:color="auto" w:fill="FFFFFF" w:themeFill="background1"/>
        <w:spacing w:before="0" w:beforeAutospacing="off" w:after="0" w:afterAutospacing="off"/>
        <w:ind w:left="720" w:right="0"/>
      </w:pPr>
      <w:r w:rsidRPr="713BC316" w:rsidR="0F88F051">
        <w:rPr>
          <w:rFonts w:ascii="Arial" w:hAnsi="Arial" w:eastAsia="Arial" w:cs="Arial"/>
          <w:noProof w:val="0"/>
          <w:color w:val="242424"/>
          <w:sz w:val="24"/>
          <w:szCs w:val="24"/>
          <w:lang w:val="en-GB"/>
        </w:rPr>
        <w:t xml:space="preserve">iii) </w:t>
      </w:r>
      <w:r w:rsidRPr="713BC316" w:rsidR="0F88F051">
        <w:rPr>
          <w:rFonts w:ascii="Arial" w:hAnsi="Arial" w:eastAsia="Arial" w:cs="Arial"/>
          <w:strike w:val="0"/>
          <w:dstrike w:val="0"/>
          <w:noProof w:val="0"/>
          <w:color w:val="242424"/>
          <w:sz w:val="24"/>
          <w:szCs w:val="24"/>
          <w:u w:val="single"/>
          <w:lang w:val="en-GB"/>
        </w:rPr>
        <w:t>Greenwashing and False Claims</w:t>
      </w:r>
      <w:r>
        <w:br/>
      </w:r>
      <w:r w:rsidRPr="713BC316" w:rsidR="0F88F051">
        <w:rPr>
          <w:rFonts w:ascii="Arial" w:hAnsi="Arial" w:eastAsia="Arial" w:cs="Arial"/>
          <w:noProof w:val="0"/>
          <w:color w:val="242424"/>
          <w:sz w:val="24"/>
          <w:szCs w:val="24"/>
          <w:lang w:val="en-GB"/>
        </w:rPr>
        <w:t>Many companies exaggerate or misrepresent their sustainability achievements to gain incentives or enhance their reputation. Fashion brands such as H&amp;M have been accused of misleading consumers about environmental performance [theboar.org], and litigation and regulatory action over false ‘carbon‑neutral’ or ‘net‑zero’ claims is increasing worldwide (</w:t>
      </w:r>
      <w:r w:rsidRPr="713BC316" w:rsidR="0F88F051">
        <w:rPr>
          <w:rFonts w:ascii="Arial" w:hAnsi="Arial" w:eastAsia="Arial" w:cs="Arial"/>
          <w:noProof w:val="0"/>
          <w:color w:val="000000" w:themeColor="text1" w:themeTint="FF" w:themeShade="FF"/>
          <w:sz w:val="24"/>
          <w:szCs w:val="24"/>
          <w:lang w:val="en-GB"/>
        </w:rPr>
        <w:t>Harvard Law School Forum on Corporate Governance., 2025).</w:t>
      </w:r>
    </w:p>
    <w:p xmlns:wp14="http://schemas.microsoft.com/office/word/2010/wordml" w:rsidP="713BC316" wp14:paraId="404DE3BF" wp14:textId="1C9C9E5E">
      <w:pPr>
        <w:shd w:val="clear" w:color="auto" w:fill="FFFFFF" w:themeFill="background1"/>
        <w:spacing w:before="0" w:beforeAutospacing="off" w:after="0" w:afterAutospacing="off"/>
        <w:ind w:left="720" w:right="0"/>
      </w:pPr>
      <w:r w:rsidRPr="713BC316" w:rsidR="0F88F051">
        <w:rPr>
          <w:rFonts w:ascii="Arial" w:hAnsi="Arial" w:eastAsia="Arial" w:cs="Arial"/>
          <w:noProof w:val="0"/>
          <w:color w:val="242424"/>
          <w:sz w:val="24"/>
          <w:szCs w:val="24"/>
          <w:lang w:val="en-GB"/>
        </w:rPr>
        <w:t xml:space="preserve">iv) </w:t>
      </w:r>
      <w:r w:rsidRPr="713BC316" w:rsidR="0F88F051">
        <w:rPr>
          <w:rFonts w:ascii="Arial" w:hAnsi="Arial" w:eastAsia="Arial" w:cs="Arial"/>
          <w:strike w:val="0"/>
          <w:dstrike w:val="0"/>
          <w:noProof w:val="0"/>
          <w:color w:val="242424"/>
          <w:sz w:val="24"/>
          <w:szCs w:val="24"/>
          <w:u w:val="single"/>
          <w:lang w:val="en-GB"/>
        </w:rPr>
        <w:t>Misuse of Government Subsidies</w:t>
      </w:r>
    </w:p>
    <w:p xmlns:wp14="http://schemas.microsoft.com/office/word/2010/wordml" w:rsidP="713BC316" wp14:paraId="5336AAF2" wp14:textId="7E659D21">
      <w:pPr>
        <w:shd w:val="clear" w:color="auto" w:fill="FFFFFF" w:themeFill="background1"/>
        <w:spacing w:before="0" w:beforeAutospacing="off" w:after="0" w:afterAutospacing="off"/>
        <w:ind w:left="720" w:right="0"/>
      </w:pPr>
      <w:r w:rsidRPr="713BC316" w:rsidR="0F88F051">
        <w:rPr>
          <w:rFonts w:ascii="Arial" w:hAnsi="Arial" w:eastAsia="Arial" w:cs="Arial"/>
          <w:noProof w:val="0"/>
          <w:color w:val="242424"/>
          <w:sz w:val="24"/>
          <w:szCs w:val="24"/>
          <w:lang w:val="en-GB"/>
        </w:rPr>
        <w:t>The Inflation Reduction Act commits $370 billion to clean energy, but watchdogs warn that weak oversight could lead to fraudulent tax‑credit claims and mismanagement, as seen in earlier EV credit programmes (</w:t>
      </w:r>
      <w:r w:rsidRPr="713BC316" w:rsidR="0F88F051">
        <w:rPr>
          <w:rFonts w:ascii="Arial" w:hAnsi="Arial" w:eastAsia="Arial" w:cs="Arial"/>
          <w:noProof w:val="0"/>
          <w:color w:val="000000" w:themeColor="text1" w:themeTint="FF" w:themeShade="FF"/>
          <w:sz w:val="24"/>
          <w:szCs w:val="24"/>
          <w:lang w:val="en-GB"/>
        </w:rPr>
        <w:t>Sanford Heisler Sharp McKnight., 2025).</w:t>
      </w:r>
      <w:r>
        <w:br/>
      </w:r>
      <w:r w:rsidRPr="713BC316" w:rsidR="0F88F051">
        <w:rPr>
          <w:rFonts w:ascii="Arial" w:hAnsi="Arial" w:eastAsia="Arial" w:cs="Arial"/>
          <w:noProof w:val="0"/>
          <w:color w:val="242424"/>
          <w:sz w:val="24"/>
          <w:szCs w:val="24"/>
          <w:lang w:val="en-GB"/>
        </w:rPr>
        <w:t xml:space="preserve">v) </w:t>
      </w:r>
      <w:r w:rsidRPr="713BC316" w:rsidR="0F88F051">
        <w:rPr>
          <w:rFonts w:ascii="Arial" w:hAnsi="Arial" w:eastAsia="Arial" w:cs="Arial"/>
          <w:strike w:val="0"/>
          <w:dstrike w:val="0"/>
          <w:noProof w:val="0"/>
          <w:color w:val="242424"/>
          <w:sz w:val="24"/>
          <w:szCs w:val="24"/>
          <w:u w:val="single"/>
          <w:lang w:val="en-GB"/>
        </w:rPr>
        <w:t>Carbon Market Integrity Challenges</w:t>
      </w:r>
      <w:r>
        <w:br/>
      </w:r>
      <w:r w:rsidRPr="713BC316" w:rsidR="0F88F051">
        <w:rPr>
          <w:rFonts w:ascii="Arial" w:hAnsi="Arial" w:eastAsia="Arial" w:cs="Arial"/>
          <w:noProof w:val="0"/>
          <w:color w:val="242424"/>
          <w:sz w:val="24"/>
          <w:szCs w:val="24"/>
          <w:lang w:val="en-GB"/>
        </w:rPr>
        <w:t>Transparency International records many global case(</w:t>
      </w:r>
      <w:r w:rsidRPr="713BC316" w:rsidR="0F88F051">
        <w:rPr>
          <w:rFonts w:ascii="Arial" w:hAnsi="Arial" w:eastAsia="Arial" w:cs="Arial"/>
          <w:noProof w:val="0"/>
          <w:color w:val="000000" w:themeColor="text1" w:themeTint="FF" w:themeShade="FF"/>
          <w:sz w:val="24"/>
          <w:szCs w:val="24"/>
          <w:lang w:val="en-GB"/>
        </w:rPr>
        <w:t>Transparency International., 2025)</w:t>
      </w:r>
      <w:r w:rsidRPr="713BC316" w:rsidR="0F88F051">
        <w:rPr>
          <w:rFonts w:ascii="Arial" w:hAnsi="Arial" w:eastAsia="Arial" w:cs="Arial"/>
          <w:noProof w:val="0"/>
          <w:color w:val="242424"/>
          <w:sz w:val="24"/>
          <w:szCs w:val="24"/>
          <w:lang w:val="en-GB"/>
        </w:rPr>
        <w:t>”.</w:t>
      </w:r>
    </w:p>
    <w:p xmlns:wp14="http://schemas.microsoft.com/office/word/2010/wordml" w:rsidP="713BC316" wp14:paraId="5272B0DE" wp14:textId="22EABDB0">
      <w:pPr>
        <w:shd w:val="clear" w:color="auto" w:fill="FFFFFF" w:themeFill="background1"/>
        <w:spacing w:before="0" w:beforeAutospacing="off" w:after="0" w:afterAutospacing="off"/>
      </w:pPr>
    </w:p>
    <w:p xmlns:wp14="http://schemas.microsoft.com/office/word/2010/wordml" w:rsidP="713BC316" wp14:paraId="2924F6B3" wp14:textId="5C8798F4">
      <w:pPr>
        <w:shd w:val="clear" w:color="auto" w:fill="FFFFFF" w:themeFill="background1"/>
        <w:spacing w:before="0" w:beforeAutospacing="off" w:after="0" w:afterAutospacing="off"/>
      </w:pPr>
      <w:r w:rsidRPr="713BC316" w:rsidR="0F88F051">
        <w:rPr>
          <w:rFonts w:ascii="Arial" w:hAnsi="Arial" w:eastAsia="Arial" w:cs="Arial"/>
          <w:noProof w:val="0"/>
          <w:color w:val="242424"/>
          <w:sz w:val="24"/>
          <w:szCs w:val="24"/>
          <w:lang w:val="en-GB"/>
        </w:rPr>
        <w:t>These unethical and unlawful behaviours of some businesses and criminals undermines trust in climate governance, slows real decarbonisation, and shows the need for stronger regulatory frameworks such as Article 6 reforms and carbon‑market integrity councils, alongside independent verification, auditing of climate projects, and whistleblower protections with effective enforcement to try to deter fraud.</w:t>
      </w:r>
    </w:p>
    <w:p xmlns:wp14="http://schemas.microsoft.com/office/word/2010/wordml" w:rsidP="713BC316" wp14:paraId="443159B7" wp14:textId="7A647E3D">
      <w:pPr>
        <w:shd w:val="clear" w:color="auto" w:fill="FFFFFF" w:themeFill="background1"/>
        <w:spacing w:before="0" w:beforeAutospacing="off" w:after="0" w:afterAutospacing="off"/>
      </w:pPr>
    </w:p>
    <w:p xmlns:wp14="http://schemas.microsoft.com/office/word/2010/wordml" w:rsidP="713BC316" wp14:paraId="6E8FD31F" wp14:textId="2FBA39E5">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5. Consequences to business of Ignoring versus Engaging the Climate Emergency</w:t>
      </w:r>
    </w:p>
    <w:p xmlns:wp14="http://schemas.microsoft.com/office/word/2010/wordml" w:rsidP="713BC316" wp14:paraId="14080778" wp14:textId="0F968998">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 xml:space="preserve">5.1 Capital markets and cost of capital. </w:t>
      </w:r>
    </w:p>
    <w:p xmlns:wp14="http://schemas.microsoft.com/office/word/2010/wordml" w:rsidP="713BC316" wp14:paraId="1CF123B3" wp14:textId="5AC464D2">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Large institutional investors increasingly integrate climate risk into portfolio management. Norway’s Government Pension Fund Global (NBIM)—one of the world’s largest asset owners—uses risk‑based divestments when climate risk management is regarded as inadequate; in 2024 alone, NBIM divested 49 companies on sustainability‑risk grounds, and since 2012 its risk‑based divestments have increased cumulative equity returns (estimated +0.65 percentage points), with climate‑related divestments a major contributor. The fund also reverses divestments when businesses improve, signaling that credible transition strategies can restore access to capital. (Net Zero Investor., 2025).</w:t>
      </w:r>
    </w:p>
    <w:p xmlns:wp14="http://schemas.microsoft.com/office/word/2010/wordml" w:rsidP="713BC316" wp14:paraId="671F996C" wp14:textId="2260EDB2">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 xml:space="preserve">5.2 Litigation and legal duty. </w:t>
      </w:r>
    </w:p>
    <w:p xmlns:wp14="http://schemas.microsoft.com/office/word/2010/wordml" w:rsidP="713BC316" wp14:paraId="19090FEA" wp14:textId="4C3AC3C5">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Climate litigation is increasing. The Dutch Milieudefensie v. Shell case (first instance 2021) ordered Shell to cut net emissions 45% by 2030 across all scopes; in November 2024, the Court of Appeal overturned the order but affirmed a corporate duty of care to mitigate dangerous climate change under Dutch law, informed by human‑rights principles. In Germany, courts made the federal government strengthen its National Air Pollution Control Program under the EU NEC Directive, and civil actions against car makers followed. Rulings against BMW and Mercedes (ClientEarth., 2024) show that courts will impose direct climate duties and even where cases were dismissed by a court they show the increase in legal scrutiny. (Mayer Brown., 2025) </w:t>
      </w:r>
      <w:r w:rsidRPr="713BC316" w:rsidR="0F88F051">
        <w:rPr>
          <w:rFonts w:ascii="Arial" w:hAnsi="Arial" w:eastAsia="Arial" w:cs="Arial"/>
          <w:i w:val="1"/>
          <w:iCs w:val="1"/>
          <w:noProof w:val="0"/>
          <w:color w:val="000000" w:themeColor="text1" w:themeTint="FF" w:themeShade="FF"/>
          <w:sz w:val="24"/>
          <w:szCs w:val="24"/>
          <w:lang w:val="en-GB"/>
        </w:rPr>
        <w:t xml:space="preserve">, </w:t>
      </w:r>
      <w:r w:rsidRPr="713BC316" w:rsidR="0F88F051">
        <w:rPr>
          <w:rFonts w:ascii="Arial" w:hAnsi="Arial" w:eastAsia="Arial" w:cs="Arial"/>
          <w:noProof w:val="0"/>
          <w:color w:val="000000" w:themeColor="text1" w:themeTint="FF" w:themeShade="FF"/>
          <w:sz w:val="24"/>
          <w:szCs w:val="24"/>
          <w:lang w:val="en-GB"/>
        </w:rPr>
        <w:t>(Nasdaq., 2025).</w:t>
      </w:r>
    </w:p>
    <w:p xmlns:wp14="http://schemas.microsoft.com/office/word/2010/wordml" w:rsidP="713BC316" wp14:paraId="470023C0" wp14:textId="59C019B6">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 xml:space="preserve">5.3 Disclosure and regulatory risk. </w:t>
      </w:r>
    </w:p>
    <w:p xmlns:wp14="http://schemas.microsoft.com/office/word/2010/wordml" w:rsidP="713BC316" wp14:paraId="0935EDA8" wp14:textId="521EEA45">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As above, international businesses now face converging reporting requirements, including global sustainability standards (ISSB), climate‑risk disclosure frameworks (TCFD), and new EU due‑diligence obligations (the Corporate Sustainability Due Diligence Directive). Non‑compliance can lead to enforcement action, higher financing costs, and exclusion from major investor portfolios (IFRS Foundation, 2025; Clyde &amp; Co., 2025).</w:t>
      </w:r>
    </w:p>
    <w:p xmlns:wp14="http://schemas.microsoft.com/office/word/2010/wordml" w:rsidP="713BC316" wp14:paraId="26E1901F" wp14:textId="428E282E">
      <w:pPr>
        <w:spacing w:before="0" w:beforeAutospacing="off" w:after="12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 xml:space="preserve">5.4 Reputational and market access. </w:t>
      </w:r>
    </w:p>
    <w:p xmlns:wp14="http://schemas.microsoft.com/office/word/2010/wordml" w:rsidP="713BC316" wp14:paraId="0A5BCC15" wp14:textId="10AD3B40">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Consumer and Business to Business (B2B) buyers increasingly screen suppliers for credible climate action; compliance with EU supply‑chain due diligence, UK transition plans, and ISSB‑aligned reporting also functions as a passport for market access. Science‑based targets and transparent transition plans can translate into competitive advantage as shown by leading multinationals adopting TCFD/ISSB frameworks and integrating climate into strategy. (Deloitte., (2025) and (Boston Consulting Group., 2025).</w:t>
      </w:r>
    </w:p>
    <w:p xmlns:wp14="http://schemas.microsoft.com/office/word/2010/wordml" w:rsidP="713BC316" wp14:paraId="0AFAE492" wp14:textId="732AEF50">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Together, capital, courts, consumers and regulators increasingly penalise climate irresponsibility while rewarding credible engagement. </w:t>
      </w:r>
    </w:p>
    <w:p xmlns:wp14="http://schemas.microsoft.com/office/word/2010/wordml" w:rsidP="713BC316" wp14:paraId="1095DE32" wp14:textId="4409E073">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The final question is normative and strategic: should businesses care? What kind of approach best reconciles ethics, culture, and profit?</w:t>
      </w:r>
    </w:p>
    <w:p xmlns:wp14="http://schemas.microsoft.com/office/word/2010/wordml" wp14:paraId="0C978378" wp14:textId="06AC60E9"/>
    <w:p xmlns:wp14="http://schemas.microsoft.com/office/word/2010/wordml" w:rsidP="713BC316" wp14:paraId="30C59496" wp14:textId="42F21088">
      <w:pPr>
        <w:spacing w:before="0" w:beforeAutospacing="off" w:after="120" w:afterAutospacing="off"/>
      </w:pPr>
      <w:r w:rsidRPr="713BC316" w:rsidR="0F88F051">
        <w:rPr>
          <w:rFonts w:ascii="Arial" w:hAnsi="Arial" w:eastAsia="Arial" w:cs="Arial"/>
          <w:b w:val="1"/>
          <w:bCs w:val="1"/>
          <w:noProof w:val="0"/>
          <w:color w:val="000000" w:themeColor="text1" w:themeTint="FF" w:themeShade="FF"/>
          <w:sz w:val="24"/>
          <w:szCs w:val="24"/>
          <w:lang w:val="en-GB"/>
        </w:rPr>
        <w:t>6. Conclusion - Why businesses should care and how</w:t>
      </w:r>
    </w:p>
    <w:p xmlns:wp14="http://schemas.microsoft.com/office/word/2010/wordml" w:rsidP="713BC316" wp14:paraId="20603EE7" wp14:textId="4EDF3491">
      <w:pPr>
        <w:shd w:val="clear" w:color="auto" w:fill="FFFFFF" w:themeFill="background1"/>
        <w:spacing w:before="0" w:beforeAutospacing="off" w:after="0" w:afterAutospacing="off"/>
      </w:pPr>
      <w:r w:rsidRPr="713BC316" w:rsidR="0F88F051">
        <w:rPr>
          <w:rFonts w:ascii="Arial" w:hAnsi="Arial" w:eastAsia="Arial" w:cs="Arial"/>
          <w:noProof w:val="0"/>
          <w:color w:val="000000" w:themeColor="text1" w:themeTint="FF" w:themeShade="FF"/>
          <w:sz w:val="24"/>
          <w:szCs w:val="24"/>
          <w:lang w:val="en-GB"/>
        </w:rPr>
        <w:t>The science is clear: human activity is driving climate change, and businesses can no longer ignore it. Around the world, rules and expectations are tightening. The scientific consensus on anthropogenic climate change, combined with accelerating regulatory, legal, and market pressures across major economies, makes a profit‑only strategy increasingly unrealistic.</w:t>
      </w:r>
    </w:p>
    <w:p xmlns:wp14="http://schemas.microsoft.com/office/word/2010/wordml" w:rsidP="713BC316" wp14:paraId="10750497" wp14:textId="3AC60009">
      <w:pPr>
        <w:spacing w:before="80" w:beforeAutospacing="off" w:after="80" w:afterAutospacing="off"/>
      </w:pPr>
      <w:r w:rsidRPr="713BC316" w:rsidR="0F88F051">
        <w:rPr>
          <w:rFonts w:ascii="Arial" w:hAnsi="Arial" w:eastAsia="Arial" w:cs="Arial"/>
          <w:noProof w:val="0"/>
          <w:color w:val="000000" w:themeColor="text1" w:themeTint="FF" w:themeShade="FF"/>
          <w:sz w:val="24"/>
          <w:szCs w:val="24"/>
          <w:lang w:val="en-GB"/>
        </w:rPr>
        <w:t>In Europe and Japan, strong regulations and disclosure standards make climate action part of normal business practice. In China, government policy and mandatory reporting are pushing companies toward cleaner growth, even as coal remains a challenge. In the USA, politics are divided, but market forces and federal incentives still drive investment in clean energy.</w:t>
      </w:r>
    </w:p>
    <w:p xmlns:wp14="http://schemas.microsoft.com/office/word/2010/wordml" w:rsidP="713BC316" wp14:paraId="396EF1AF" wp14:textId="11784D42">
      <w:pPr>
        <w:spacing w:before="80" w:beforeAutospacing="off" w:after="80" w:afterAutospacing="off"/>
      </w:pPr>
      <w:r w:rsidRPr="713BC316" w:rsidR="0F88F051">
        <w:rPr>
          <w:rFonts w:ascii="Arial" w:hAnsi="Arial" w:eastAsia="Arial" w:cs="Arial"/>
          <w:noProof w:val="0"/>
          <w:color w:val="000000" w:themeColor="text1" w:themeTint="FF" w:themeShade="FF"/>
          <w:sz w:val="24"/>
          <w:szCs w:val="24"/>
          <w:lang w:val="en-GB"/>
        </w:rPr>
        <w:t>In spite of these factors the message is the same everywhere: companies that ignore climate responsibility face higher costs, legal risks, damage to reputation and loss of customers. Those that act gain access to capital, stronger resilience, and competitive advantage. Managing climate risk is not just ethical—it’s good business. The best approach is practical and culturally aware: measure emissions, set real targets, plan for transition, and engage investors. Businesses should care about the climate emergency because their future profitability and social licence to operate depend on it.</w:t>
      </w:r>
    </w:p>
    <w:p xmlns:wp14="http://schemas.microsoft.com/office/word/2010/wordml" w:rsidP="713BC316" wp14:paraId="09AA397E" wp14:textId="3FFA4B8D">
      <w:pPr>
        <w:spacing w:before="80" w:beforeAutospacing="off" w:after="80" w:afterAutospacing="off"/>
      </w:pPr>
      <w:r w:rsidRPr="713BC316" w:rsidR="0F88F051">
        <w:rPr>
          <w:rFonts w:ascii="Arial" w:hAnsi="Arial" w:eastAsia="Arial" w:cs="Arial"/>
          <w:strike w:val="0"/>
          <w:dstrike w:val="0"/>
          <w:noProof w:val="0"/>
          <w:color w:val="000000" w:themeColor="text1" w:themeTint="FF" w:themeShade="FF"/>
          <w:sz w:val="24"/>
          <w:szCs w:val="24"/>
          <w:u w:val="single"/>
          <w:lang w:val="en-GB"/>
        </w:rPr>
        <w:t>How can businesses demonstrate they care</w:t>
      </w:r>
      <w:r w:rsidRPr="713BC316" w:rsidR="0F88F051">
        <w:rPr>
          <w:rFonts w:ascii="Arial" w:hAnsi="Arial" w:eastAsia="Arial" w:cs="Arial"/>
          <w:noProof w:val="0"/>
          <w:color w:val="000000" w:themeColor="text1" w:themeTint="FF" w:themeShade="FF"/>
          <w:sz w:val="24"/>
          <w:szCs w:val="24"/>
          <w:lang w:val="en-GB"/>
        </w:rPr>
        <w:t>?</w:t>
      </w:r>
    </w:p>
    <w:p xmlns:wp14="http://schemas.microsoft.com/office/word/2010/wordml" w:rsidP="713BC316" wp14:paraId="1D6F5766" wp14:textId="6A3F8799">
      <w:pPr>
        <w:spacing w:before="0" w:beforeAutospacing="off" w:after="120" w:afterAutospacing="off"/>
        <w:ind w:left="540" w:right="0" w:hanging="260"/>
      </w:pPr>
      <w:r w:rsidRPr="713BC316" w:rsidR="0F88F051">
        <w:rPr>
          <w:rFonts w:ascii="Arial" w:hAnsi="Arial" w:eastAsia="Arial" w:cs="Arial"/>
          <w:noProof w:val="0"/>
          <w:color w:val="000000" w:themeColor="text1" w:themeTint="FF" w:themeShade="FF"/>
          <w:sz w:val="24"/>
          <w:szCs w:val="24"/>
          <w:lang w:val="en-GB"/>
        </w:rPr>
        <w:t>• Adopt and share credible baseline data such as measures of Scope 1/2/3 emissions using the GHG Protocol and in the UK, prepare TPT‑quality transition plans. (GHG Protocol., 2025), (IFRS Foundation., 2025).</w:t>
      </w:r>
    </w:p>
    <w:p xmlns:wp14="http://schemas.microsoft.com/office/word/2010/wordml" w:rsidP="713BC316" wp14:paraId="28F24653" wp14:textId="77861E0D">
      <w:pPr>
        <w:spacing w:before="0" w:beforeAutospacing="off" w:after="120" w:afterAutospacing="off"/>
        <w:ind w:left="540" w:right="0" w:hanging="260"/>
      </w:pPr>
      <w:r w:rsidRPr="713BC316" w:rsidR="0F88F051">
        <w:rPr>
          <w:rFonts w:ascii="Arial" w:hAnsi="Arial" w:eastAsia="Arial" w:cs="Arial"/>
          <w:noProof w:val="0"/>
          <w:color w:val="000000" w:themeColor="text1" w:themeTint="FF" w:themeShade="FF"/>
          <w:sz w:val="24"/>
          <w:szCs w:val="24"/>
          <w:lang w:val="en-GB"/>
        </w:rPr>
        <w:t xml:space="preserve">• Set science‑based targets and real plans based on the Paris Climate Change Agreement and align transition plans with EU climate‑neutrality (European Commission., 2025). </w:t>
      </w:r>
    </w:p>
    <w:p xmlns:wp14="http://schemas.microsoft.com/office/word/2010/wordml" w:rsidP="713BC316" wp14:paraId="222D7C58" wp14:textId="66724036">
      <w:pPr>
        <w:spacing w:before="0" w:beforeAutospacing="off" w:after="120" w:afterAutospacing="off"/>
        <w:ind w:left="540" w:right="0" w:hanging="260"/>
      </w:pPr>
      <w:r w:rsidRPr="713BC316" w:rsidR="0F88F051">
        <w:rPr>
          <w:rFonts w:ascii="Arial" w:hAnsi="Arial" w:eastAsia="Arial" w:cs="Arial"/>
          <w:noProof w:val="0"/>
          <w:color w:val="000000" w:themeColor="text1" w:themeTint="FF" w:themeShade="FF"/>
          <w:sz w:val="24"/>
          <w:szCs w:val="24"/>
          <w:lang w:val="en-GB"/>
        </w:rPr>
        <w:t>• Navigate local contexts: Where politics require business to amend behaviours it is pragmatic to follow local legal requirements but to also maintain global reporting integrity for investors and partners (Davis Polk &amp; Wardwell LLP., 2025).</w:t>
      </w:r>
    </w:p>
    <w:p xmlns:wp14="http://schemas.microsoft.com/office/word/2010/wordml" w:rsidP="713BC316" wp14:paraId="2AFC5009" wp14:textId="4126DC71">
      <w:pPr>
        <w:spacing w:before="0" w:beforeAutospacing="off" w:after="120" w:afterAutospacing="off"/>
        <w:ind w:left="540" w:right="0" w:hanging="260"/>
      </w:pPr>
      <w:r w:rsidRPr="713BC316" w:rsidR="0F88F051">
        <w:rPr>
          <w:rFonts w:ascii="Arial" w:hAnsi="Arial" w:eastAsia="Arial" w:cs="Arial"/>
          <w:noProof w:val="0"/>
          <w:color w:val="000000" w:themeColor="text1" w:themeTint="FF" w:themeShade="FF"/>
          <w:sz w:val="24"/>
          <w:szCs w:val="24"/>
          <w:lang w:val="en-GB"/>
        </w:rPr>
        <w:t>• Engage capital markets: Demonstrate progress to long‑term investors; NBIM’s approach shows that rigorous climate risk management is increasingly priced in portfolios. (Norges Bank Investment Management., 2025).</w:t>
      </w:r>
    </w:p>
    <w:p xmlns:wp14="http://schemas.microsoft.com/office/word/2010/wordml" w:rsidP="713BC316" wp14:paraId="3DC241C6" wp14:textId="59428A4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In ethical and strategic terms, it is concluded Yes—businesses should care! Not only because science and society increasingly demand it, but because long‑term profitability and government approval to operate depend on it.</w:t>
      </w:r>
    </w:p>
    <w:p xmlns:wp14="http://schemas.microsoft.com/office/word/2010/wordml" wp14:paraId="7A8D506A" wp14:textId="029A9B44"/>
    <w:p xmlns:wp14="http://schemas.microsoft.com/office/word/2010/wordml" wp14:paraId="510B61E4" wp14:textId="3A41837A"/>
    <w:p xmlns:wp14="http://schemas.microsoft.com/office/word/2010/wordml" w:rsidP="713BC316" wp14:paraId="7C844977" wp14:textId="52FF6267">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6D987651" wp14:textId="42D12F27">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79B4F7BA" wp14:textId="34956EB0">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54748781" wp14:textId="53ACDBEC">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521710EF" wp14:textId="69C00430">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178D0CDD" wp14:textId="519A4542">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15744B75" wp14:textId="36BBF954">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6A340F15" wp14:textId="58F77AF5">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310811FB" wp14:textId="0FFA0F74">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647685F6" wp14:textId="002B3949">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524EBA4E" wp14:textId="71B4CD1D">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24E11140" wp14:textId="0914CBC7">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30B28778" wp14:textId="40A50026">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4294BA5A" wp14:textId="1F536572">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5170E324" wp14:textId="4E3E937E">
      <w:pPr>
        <w:pStyle w:val="Normal"/>
        <w:rPr>
          <w:rFonts w:ascii="Arial" w:hAnsi="Arial" w:eastAsia="Arial" w:cs="Arial"/>
          <w:noProof w:val="0"/>
          <w:color w:val="000000" w:themeColor="text1" w:themeTint="FF" w:themeShade="FF"/>
          <w:sz w:val="31"/>
          <w:szCs w:val="31"/>
          <w:lang w:val="en-GB"/>
        </w:rPr>
      </w:pPr>
    </w:p>
    <w:p xmlns:wp14="http://schemas.microsoft.com/office/word/2010/wordml" w:rsidP="713BC316" wp14:paraId="7D3F6296" wp14:textId="75F7CDC5">
      <w:pPr>
        <w:pStyle w:val="Normal"/>
        <w:rPr>
          <w:rFonts w:ascii="Arial" w:hAnsi="Arial" w:eastAsia="Arial" w:cs="Arial"/>
          <w:noProof w:val="0"/>
          <w:color w:val="000000" w:themeColor="text1" w:themeTint="FF" w:themeShade="FF"/>
          <w:sz w:val="31"/>
          <w:szCs w:val="31"/>
          <w:lang w:val="en-GB"/>
        </w:rPr>
      </w:pPr>
      <w:r w:rsidRPr="713BC316" w:rsidR="0F88F051">
        <w:rPr>
          <w:rFonts w:ascii="Arial" w:hAnsi="Arial" w:eastAsia="Arial" w:cs="Arial"/>
          <w:noProof w:val="0"/>
          <w:color w:val="000000" w:themeColor="text1" w:themeTint="FF" w:themeShade="FF"/>
          <w:sz w:val="31"/>
          <w:szCs w:val="31"/>
          <w:lang w:val="en-GB"/>
        </w:rPr>
        <w:t>References</w:t>
      </w:r>
    </w:p>
    <w:p xmlns:wp14="http://schemas.microsoft.com/office/word/2010/wordml" w:rsidP="713BC316" wp14:paraId="0D044FFC" wp14:textId="15BCFF1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Bendell, J. and Doyle, I., (2022) ‘Deep adaptation to climate chaos’, Futures, 137, p. 102914. doi:10.1016/j.futures.2022.102914.</w:t>
      </w:r>
    </w:p>
    <w:p xmlns:wp14="http://schemas.microsoft.com/office/word/2010/wordml" w:rsidP="713BC316" wp14:paraId="30A18CCC" wp14:textId="3144828E">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BlackRock., (2024) Climate risk and the transition to net zero. London: BlackRock Investment Institute.</w:t>
      </w:r>
    </w:p>
    <w:p xmlns:wp14="http://schemas.microsoft.com/office/word/2010/wordml" w:rsidP="713BC316" wp14:paraId="1847B0A2" wp14:textId="3EB8FB28">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Boston Consulting Group., (2025) </w:t>
      </w:r>
      <w:r w:rsidRPr="713BC316" w:rsidR="0F88F051">
        <w:rPr>
          <w:rFonts w:ascii="Arial" w:hAnsi="Arial" w:eastAsia="Arial" w:cs="Arial"/>
          <w:i w:val="1"/>
          <w:iCs w:val="1"/>
          <w:noProof w:val="0"/>
          <w:color w:val="000000" w:themeColor="text1" w:themeTint="FF" w:themeShade="FF"/>
          <w:sz w:val="24"/>
          <w:szCs w:val="24"/>
          <w:lang w:val="en-GB"/>
        </w:rPr>
        <w:t>BCG – Global management consulting</w:t>
      </w:r>
      <w:r w:rsidRPr="713BC316" w:rsidR="0F88F051">
        <w:rPr>
          <w:rFonts w:ascii="Arial" w:hAnsi="Arial" w:eastAsia="Arial" w:cs="Arial"/>
          <w:noProof w:val="0"/>
          <w:color w:val="000000" w:themeColor="text1" w:themeTint="FF" w:themeShade="FF"/>
          <w:sz w:val="24"/>
          <w:szCs w:val="24"/>
          <w:lang w:val="en-GB"/>
        </w:rPr>
        <w:t>. Available at:</w:t>
      </w:r>
      <w:hyperlink r:id="Rfb6f353502264295">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https://www.bcg.com/</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6E604544" wp14:textId="67AF3A6F">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CDP., (2024) Missing the mark: 2024 disclosure report. London: CDP Worldwide.</w:t>
      </w:r>
    </w:p>
    <w:p xmlns:wp14="http://schemas.microsoft.com/office/word/2010/wordml" w:rsidP="713BC316" wp14:paraId="30F8A9CE" wp14:textId="5485AAF5">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Chan, K. and Cheung, M., (2023) ‘Confucian harmony and corporate climate responsibility in China’, Journal of Business Ethics, 188(2), pp. 321–339. doi:10.1007/s10551-022-05245-9.</w:t>
      </w:r>
    </w:p>
    <w:p xmlns:wp14="http://schemas.microsoft.com/office/word/2010/wordml" w:rsidP="713BC316" wp14:paraId="5CC03C16" wp14:textId="583965A7">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China Daily., (2025) Global Edition. Available at: </w:t>
      </w:r>
      <w:hyperlink r:id="R36dce9933e6f4c6a">
        <w:r w:rsidRPr="713BC316" w:rsidR="0F88F051">
          <w:rPr>
            <w:rStyle w:val="Hyperlink"/>
            <w:rFonts w:ascii="Arial" w:hAnsi="Arial" w:eastAsia="Arial" w:cs="Arial"/>
            <w:noProof w:val="0"/>
            <w:sz w:val="24"/>
            <w:szCs w:val="24"/>
            <w:lang w:val="en-GB"/>
          </w:rPr>
          <w:t>https://global.chinadaily.com.cn/</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208FFA8E" wp14:textId="4B7AED0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ClientEarth., (2024) Climate litigation database. Available at: </w:t>
      </w:r>
      <w:hyperlink r:id="Rc901dc1c4e474fa1">
        <w:r w:rsidRPr="713BC316" w:rsidR="0F88F051">
          <w:rPr>
            <w:rStyle w:val="Hyperlink"/>
            <w:rFonts w:ascii="Arial" w:hAnsi="Arial" w:eastAsia="Arial" w:cs="Arial"/>
            <w:strike w:val="0"/>
            <w:dstrike w:val="0"/>
            <w:noProof w:val="0"/>
            <w:color w:val="467886"/>
            <w:sz w:val="24"/>
            <w:szCs w:val="24"/>
            <w:u w:val="none"/>
            <w:lang w:val="en-GB"/>
          </w:rPr>
          <w:t>https://clientearth.org</w:t>
        </w:r>
      </w:hyperlink>
      <w:r w:rsidRPr="713BC316" w:rsidR="0F88F051">
        <w:rPr>
          <w:rFonts w:ascii="Arial" w:hAnsi="Arial" w:eastAsia="Arial" w:cs="Arial"/>
          <w:noProof w:val="0"/>
          <w:color w:val="000000" w:themeColor="text1" w:themeTint="FF" w:themeShade="FF"/>
          <w:sz w:val="24"/>
          <w:szCs w:val="24"/>
          <w:lang w:val="en-GB"/>
        </w:rPr>
        <w:t xml:space="preserve"> (Accessed: 1 December 2025).</w:t>
      </w:r>
    </w:p>
    <w:p xmlns:wp14="http://schemas.microsoft.com/office/word/2010/wordml" w:rsidP="713BC316" wp14:paraId="1EF91997" wp14:textId="3852DCF1">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Clyde &amp; Co., (2025) </w:t>
      </w:r>
      <w:r w:rsidRPr="713BC316" w:rsidR="0F88F051">
        <w:rPr>
          <w:rFonts w:ascii="Arial" w:hAnsi="Arial" w:eastAsia="Arial" w:cs="Arial"/>
          <w:i w:val="1"/>
          <w:iCs w:val="1"/>
          <w:noProof w:val="0"/>
          <w:color w:val="000000" w:themeColor="text1" w:themeTint="FF" w:themeShade="FF"/>
          <w:sz w:val="24"/>
          <w:szCs w:val="24"/>
          <w:lang w:val="en-GB"/>
        </w:rPr>
        <w:t>International law firm Clyde &amp; Co</w:t>
      </w:r>
      <w:r w:rsidRPr="713BC316" w:rsidR="0F88F051">
        <w:rPr>
          <w:rFonts w:ascii="Arial" w:hAnsi="Arial" w:eastAsia="Arial" w:cs="Arial"/>
          <w:noProof w:val="0"/>
          <w:color w:val="000000" w:themeColor="text1" w:themeTint="FF" w:themeShade="FF"/>
          <w:sz w:val="24"/>
          <w:szCs w:val="24"/>
          <w:lang w:val="en-GB"/>
        </w:rPr>
        <w:t>. Available at:</w:t>
      </w:r>
      <w:hyperlink r:id="R1c033aa3be414e76">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https://www.clydeco.com/</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4E266054" wp14:textId="62174F55">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Davis Polk &amp; Wardwell LLP., (2025) Davis Polk &amp; Wardwell LLP. Available at: </w:t>
      </w:r>
      <w:hyperlink r:id="Rc25d3297e8b648d2">
        <w:r w:rsidRPr="713BC316" w:rsidR="0F88F051">
          <w:rPr>
            <w:rStyle w:val="Hyperlink"/>
            <w:rFonts w:ascii="Arial" w:hAnsi="Arial" w:eastAsia="Arial" w:cs="Arial"/>
            <w:noProof w:val="0"/>
            <w:sz w:val="24"/>
            <w:szCs w:val="24"/>
            <w:lang w:val="en-GB"/>
          </w:rPr>
          <w:t>https://www.davispolk.com/</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2ED93664" wp14:textId="4DF85BF5">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Deloitte., (2025) </w:t>
      </w:r>
      <w:r w:rsidRPr="713BC316" w:rsidR="0F88F051">
        <w:rPr>
          <w:rFonts w:ascii="Arial" w:hAnsi="Arial" w:eastAsia="Arial" w:cs="Arial"/>
          <w:i w:val="1"/>
          <w:iCs w:val="1"/>
          <w:noProof w:val="0"/>
          <w:color w:val="000000" w:themeColor="text1" w:themeTint="FF" w:themeShade="FF"/>
          <w:sz w:val="24"/>
          <w:szCs w:val="24"/>
          <w:lang w:val="en-GB"/>
        </w:rPr>
        <w:t>Deloitte global</w:t>
      </w:r>
      <w:r w:rsidRPr="713BC316" w:rsidR="0F88F051">
        <w:rPr>
          <w:rFonts w:ascii="Arial" w:hAnsi="Arial" w:eastAsia="Arial" w:cs="Arial"/>
          <w:noProof w:val="0"/>
          <w:color w:val="000000" w:themeColor="text1" w:themeTint="FF" w:themeShade="FF"/>
          <w:sz w:val="24"/>
          <w:szCs w:val="24"/>
          <w:lang w:val="en-GB"/>
        </w:rPr>
        <w:t>. Available at:</w:t>
      </w:r>
      <w:hyperlink r:id="R90e84ffc45ce4410">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https://www.deloitte.com/</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16EF7A96" wp14:textId="5D9C3A66">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Donaldson, T. and Dunfee, T.W., (2021) ‘Integrative social contracts theory’, in Ties that bind. Boston: Harvard Business Review Press (reprint).</w:t>
      </w:r>
    </w:p>
    <w:p xmlns:wp14="http://schemas.microsoft.com/office/word/2010/wordml" w:rsidP="713BC316" wp14:paraId="5A8999FF" wp14:textId="0AD721D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Dyllick, T. and Muff, K., (2022) ‘Sustainable business model innovation’, Organisation &amp; Environment, 35(1), pp. 3–29. doi:10.1177/10860266211038829.</w:t>
      </w:r>
    </w:p>
    <w:p xmlns:wp14="http://schemas.microsoft.com/office/word/2010/wordml" w:rsidP="713BC316" wp14:paraId="712BF492" wp14:textId="4036F70E">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European Commission., (2025) European Commission – Policies, information and services. Available at:</w:t>
      </w:r>
      <w:hyperlink r:id="R0f203576aabf4d2b">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https://commission.europa.eu/</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4BE9B5EE" wp14:textId="1BD4792E">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European Parliament., (2024) Directive on corporate sustainability due diligence (CSDDD). Brussels: EU.</w:t>
      </w:r>
    </w:p>
    <w:p xmlns:wp14="http://schemas.microsoft.com/office/word/2010/wordml" w:rsidP="713BC316" wp14:paraId="271F3B12" wp14:textId="4BBCA63A">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Freeman, R.E. et al., (2021) ‘Stakeholder capitalism revisited’, Journal of Management Studies, 58(4), pp. 1032–1058. doi:10.1111/joms.12688.</w:t>
      </w:r>
    </w:p>
    <w:p xmlns:wp14="http://schemas.microsoft.com/office/word/2010/wordml" w:rsidP="713BC316" wp14:paraId="75CB55F7" wp14:textId="76D45C3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Friedman, M., (1970) ‘The social responsibility of business is to increase its profits’, New York Times Magazine, 13 September.</w:t>
      </w:r>
    </w:p>
    <w:p xmlns:wp14="http://schemas.microsoft.com/office/word/2010/wordml" w:rsidP="713BC316" wp14:paraId="29FC693A" wp14:textId="42D6B245">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 xml:space="preserve">GHG Protocol., (2025) </w:t>
      </w:r>
      <w:r w:rsidRPr="713BC316" w:rsidR="0F88F051">
        <w:rPr>
          <w:rFonts w:ascii="Arial" w:hAnsi="Arial" w:eastAsia="Arial" w:cs="Arial"/>
          <w:i w:val="1"/>
          <w:iCs w:val="1"/>
          <w:noProof w:val="0"/>
          <w:color w:val="000000" w:themeColor="text1" w:themeTint="FF" w:themeShade="FF"/>
          <w:sz w:val="24"/>
          <w:szCs w:val="24"/>
          <w:lang w:val="en-GB"/>
        </w:rPr>
        <w:t>Homepage</w:t>
      </w:r>
      <w:r w:rsidRPr="713BC316" w:rsidR="0F88F051">
        <w:rPr>
          <w:rFonts w:ascii="Arial" w:hAnsi="Arial" w:eastAsia="Arial" w:cs="Arial"/>
          <w:noProof w:val="0"/>
          <w:color w:val="000000" w:themeColor="text1" w:themeTint="FF" w:themeShade="FF"/>
          <w:sz w:val="24"/>
          <w:szCs w:val="24"/>
          <w:lang w:val="en-GB"/>
        </w:rPr>
        <w:t>. Available at:</w:t>
      </w:r>
      <w:hyperlink r:id="Ra33711a61d6a4b01">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https://ghgprotocol.org/</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52AA43C8" wp14:textId="6DB46DF3">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Harvard Law School Forum on Corporate Governance., (2025) Available at: </w:t>
      </w:r>
      <w:hyperlink r:id="Rfd32c8db999f48ac">
        <w:r w:rsidRPr="713BC316" w:rsidR="0F88F051">
          <w:rPr>
            <w:rStyle w:val="Hyperlink"/>
            <w:rFonts w:ascii="Arial" w:hAnsi="Arial" w:eastAsia="Arial" w:cs="Arial"/>
            <w:noProof w:val="0"/>
            <w:sz w:val="24"/>
            <w:szCs w:val="24"/>
            <w:lang w:val="en-GB"/>
          </w:rPr>
          <w:t>https://corpgov.law.harvard.edu/</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58C7D1B0" wp14:textId="6C396F5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HM Treasury., (2023) UK transition plan taskforce disclosure framework. London: HMSO.</w:t>
      </w:r>
    </w:p>
    <w:p xmlns:wp14="http://schemas.microsoft.com/office/word/2010/wordml" w:rsidP="713BC316" wp14:paraId="6DC0373A" wp14:textId="1EE356B8">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Ho, V.H., (2021) ‘The shareholder primacy norm in 2021’, Seattle University Law Review, 44(2), pp. 567–601.</w:t>
      </w:r>
    </w:p>
    <w:p xmlns:wp14="http://schemas.microsoft.com/office/word/2010/wordml" w:rsidP="713BC316" wp14:paraId="645371D4" wp14:textId="66169DF4">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IEA., (2024) World energy outlook 2024. Paris: International Energy Agency.</w:t>
      </w:r>
    </w:p>
    <w:p xmlns:wp14="http://schemas.microsoft.com/office/word/2010/wordml" w:rsidP="713BC316" wp14:paraId="4D3239FB" wp14:textId="65D7CE7B">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IFRS Foundation., (2025) </w:t>
      </w:r>
      <w:r w:rsidRPr="713BC316" w:rsidR="0F88F051">
        <w:rPr>
          <w:rFonts w:ascii="Arial" w:hAnsi="Arial" w:eastAsia="Arial" w:cs="Arial"/>
          <w:i w:val="1"/>
          <w:iCs w:val="1"/>
          <w:noProof w:val="0"/>
          <w:color w:val="000000" w:themeColor="text1" w:themeTint="FF" w:themeShade="FF"/>
          <w:sz w:val="24"/>
          <w:szCs w:val="24"/>
          <w:lang w:val="en-GB"/>
        </w:rPr>
        <w:t>IFRS - IFRS Foundation</w:t>
      </w:r>
      <w:r w:rsidRPr="713BC316" w:rsidR="0F88F051">
        <w:rPr>
          <w:rFonts w:ascii="Arial" w:hAnsi="Arial" w:eastAsia="Arial" w:cs="Arial"/>
          <w:noProof w:val="0"/>
          <w:color w:val="000000" w:themeColor="text1" w:themeTint="FF" w:themeShade="FF"/>
          <w:sz w:val="24"/>
          <w:szCs w:val="24"/>
          <w:lang w:val="en-GB"/>
        </w:rPr>
        <w:t>. Available at:</w:t>
      </w:r>
      <w:hyperlink r:id="Rc8e402309a9f4ae5">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https://www.ifrs.org/</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56881305" wp14:textId="34F0EF40">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IPCC., (2021) Sixth assessment report: physical science basis. Geneva: IPCC.</w:t>
      </w:r>
    </w:p>
    <w:p xmlns:wp14="http://schemas.microsoft.com/office/word/2010/wordml" w:rsidP="713BC316" wp14:paraId="7AEF9DC8" wp14:textId="0B16D06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IPCC.,  (2023) Synthesis report. Geneva: IPCC.</w:t>
      </w:r>
    </w:p>
    <w:p xmlns:wp14="http://schemas.microsoft.com/office/word/2010/wordml" w:rsidP="713BC316" wp14:paraId="1081D0A8" wp14:textId="5756424A">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Kroll., (2025) </w:t>
      </w:r>
      <w:r w:rsidRPr="713BC316" w:rsidR="0F88F051">
        <w:rPr>
          <w:rFonts w:ascii="Arial" w:hAnsi="Arial" w:eastAsia="Arial" w:cs="Arial"/>
          <w:i w:val="1"/>
          <w:iCs w:val="1"/>
          <w:noProof w:val="0"/>
          <w:color w:val="000000" w:themeColor="text1" w:themeTint="FF" w:themeShade="FF"/>
          <w:sz w:val="24"/>
          <w:szCs w:val="24"/>
          <w:lang w:val="en-GB"/>
        </w:rPr>
        <w:t>Kroll | Financial and risk advisory solutions</w:t>
      </w:r>
      <w:r w:rsidRPr="713BC316" w:rsidR="0F88F051">
        <w:rPr>
          <w:rFonts w:ascii="Arial" w:hAnsi="Arial" w:eastAsia="Arial" w:cs="Arial"/>
          <w:noProof w:val="0"/>
          <w:color w:val="000000" w:themeColor="text1" w:themeTint="FF" w:themeShade="FF"/>
          <w:sz w:val="24"/>
          <w:szCs w:val="24"/>
          <w:lang w:val="en-GB"/>
        </w:rPr>
        <w:t>. Available at:</w:t>
      </w:r>
      <w:hyperlink r:id="R70e8786fa1654e75">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https://www.kroll.com/</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6A08419A" wp14:textId="6B27D4B9">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London School of Economics and Political Science., (2025) </w:t>
      </w:r>
      <w:r w:rsidRPr="713BC316" w:rsidR="0F88F051">
        <w:rPr>
          <w:rFonts w:ascii="Arial" w:hAnsi="Arial" w:eastAsia="Arial" w:cs="Arial"/>
          <w:i w:val="1"/>
          <w:iCs w:val="1"/>
          <w:noProof w:val="0"/>
          <w:color w:val="000000" w:themeColor="text1" w:themeTint="FF" w:themeShade="FF"/>
          <w:sz w:val="24"/>
          <w:szCs w:val="24"/>
          <w:lang w:val="en-GB"/>
        </w:rPr>
        <w:t>LSE Home</w:t>
      </w:r>
      <w:r w:rsidRPr="713BC316" w:rsidR="0F88F051">
        <w:rPr>
          <w:rFonts w:ascii="Arial" w:hAnsi="Arial" w:eastAsia="Arial" w:cs="Arial"/>
          <w:noProof w:val="0"/>
          <w:color w:val="000000" w:themeColor="text1" w:themeTint="FF" w:themeShade="FF"/>
          <w:sz w:val="24"/>
          <w:szCs w:val="24"/>
          <w:lang w:val="en-GB"/>
        </w:rPr>
        <w:t>. Available at:</w:t>
      </w:r>
      <w:hyperlink r:id="R5de838aa84a74e71">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https://www.lse.ac.uk/</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411AA93A" wp14:textId="5C350B86">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Li, J. and Shapiro, J., (2023) ‘China’s ESG disclosure regime’, Columbia Journal of Transnational Law, 61(2), pp. 312–356.</w:t>
      </w:r>
    </w:p>
    <w:p xmlns:wp14="http://schemas.microsoft.com/office/word/2010/wordml" w:rsidP="713BC316" wp14:paraId="4454B5E8" wp14:textId="2A1B132E">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Mayer Brown., (2025) </w:t>
      </w:r>
      <w:r w:rsidRPr="713BC316" w:rsidR="0F88F051">
        <w:rPr>
          <w:rFonts w:ascii="Arial" w:hAnsi="Arial" w:eastAsia="Arial" w:cs="Arial"/>
          <w:i w:val="1"/>
          <w:iCs w:val="1"/>
          <w:noProof w:val="0"/>
          <w:color w:val="000000" w:themeColor="text1" w:themeTint="FF" w:themeShade="FF"/>
          <w:sz w:val="24"/>
          <w:szCs w:val="24"/>
          <w:lang w:val="en-GB"/>
        </w:rPr>
        <w:t>Mayer Brown – Global law firm</w:t>
      </w:r>
      <w:r w:rsidRPr="713BC316" w:rsidR="0F88F051">
        <w:rPr>
          <w:rFonts w:ascii="Arial" w:hAnsi="Arial" w:eastAsia="Arial" w:cs="Arial"/>
          <w:noProof w:val="0"/>
          <w:color w:val="000000" w:themeColor="text1" w:themeTint="FF" w:themeShade="FF"/>
          <w:sz w:val="24"/>
          <w:szCs w:val="24"/>
          <w:lang w:val="en-GB"/>
        </w:rPr>
        <w:t>. Available at:</w:t>
      </w:r>
      <w:hyperlink r:id="R9fce84fe736748a3">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https://www.mayerbrown.com/</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7FE9210E" wp14:textId="6FF164ED">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METI., (2024) Green growth strategy through 2050. Tokyo: Ministry of Economy, Trade and Industry.</w:t>
      </w:r>
    </w:p>
    <w:p xmlns:wp14="http://schemas.microsoft.com/office/word/2010/wordml" w:rsidP="713BC316" wp14:paraId="65422B19" wp14:textId="21CCBF9C">
      <w:pPr>
        <w:spacing w:before="240" w:beforeAutospacing="off" w:after="240" w:afterAutospacing="off"/>
      </w:pPr>
      <w:r w:rsidRPr="713BC316" w:rsidR="0F88F051">
        <w:rPr>
          <w:rFonts w:ascii="Arial" w:hAnsi="Arial" w:eastAsia="Arial" w:cs="Arial"/>
          <w:i w:val="1"/>
          <w:iCs w:val="1"/>
          <w:noProof w:val="0"/>
          <w:color w:val="000000" w:themeColor="text1" w:themeTint="FF" w:themeShade="FF"/>
          <w:sz w:val="24"/>
          <w:szCs w:val="24"/>
          <w:lang w:val="en-GB"/>
        </w:rPr>
        <w:t xml:space="preserve">Nasdaq., (2025) Nasdaq – Home. Available at: </w:t>
      </w:r>
      <w:hyperlink r:id="R2bbaad476ffa4876">
        <w:r w:rsidRPr="713BC316" w:rsidR="0F88F051">
          <w:rPr>
            <w:rStyle w:val="Hyperlink"/>
            <w:rFonts w:ascii="Arial" w:hAnsi="Arial" w:eastAsia="Arial" w:cs="Arial"/>
            <w:i w:val="1"/>
            <w:iCs w:val="1"/>
            <w:noProof w:val="0"/>
            <w:sz w:val="24"/>
            <w:szCs w:val="24"/>
            <w:lang w:val="en-GB"/>
          </w:rPr>
          <w:t>https://www.nasdaq.com/</w:t>
        </w:r>
      </w:hyperlink>
      <w:r w:rsidRPr="713BC316" w:rsidR="0F88F051">
        <w:rPr>
          <w:rFonts w:ascii="Arial" w:hAnsi="Arial" w:eastAsia="Arial" w:cs="Arial"/>
          <w:i w:val="1"/>
          <w:iCs w:val="1"/>
          <w:noProof w:val="0"/>
          <w:color w:val="000000" w:themeColor="text1" w:themeTint="FF" w:themeShade="FF"/>
          <w:sz w:val="24"/>
          <w:szCs w:val="24"/>
          <w:lang w:val="en-GB"/>
        </w:rPr>
        <w:t xml:space="preserve"> (Accessed: 11 December 2025).</w:t>
      </w:r>
    </w:p>
    <w:p xmlns:wp14="http://schemas.microsoft.com/office/word/2010/wordml" w:rsidP="713BC316" wp14:paraId="41780ED4" wp14:textId="71743C84">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NBIM., (2024) Climate change expectations. Oslo: NorgesBank Investment Management.</w:t>
      </w:r>
    </w:p>
    <w:p xmlns:wp14="http://schemas.microsoft.com/office/word/2010/wordml" w:rsidP="713BC316" wp14:paraId="4570C9C2" wp14:textId="2833DD58">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Net Zero Investor (2025) Net Zero Investor – News and analysis for institutional investors. Available at: </w:t>
      </w:r>
      <w:hyperlink r:id="Rf1e921f0f54c4aad">
        <w:r w:rsidRPr="713BC316" w:rsidR="0F88F051">
          <w:rPr>
            <w:rStyle w:val="Hyperlink"/>
            <w:rFonts w:ascii="Arial" w:hAnsi="Arial" w:eastAsia="Arial" w:cs="Arial"/>
            <w:noProof w:val="0"/>
            <w:sz w:val="24"/>
            <w:szCs w:val="24"/>
            <w:lang w:val="en-GB"/>
          </w:rPr>
          <w:t>https://www.netzeroinvestor.net/</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40351A18" wp14:textId="006D42EB">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Norges Bank Investment Management., (2025) The fund. Available at: </w:t>
      </w:r>
      <w:hyperlink r:id="R74bde513273a4adc">
        <w:r w:rsidRPr="713BC316" w:rsidR="0F88F051">
          <w:rPr>
            <w:rStyle w:val="Hyperlink"/>
            <w:rFonts w:ascii="Arial" w:hAnsi="Arial" w:eastAsia="Arial" w:cs="Arial"/>
            <w:noProof w:val="0"/>
            <w:sz w:val="24"/>
            <w:szCs w:val="24"/>
            <w:lang w:val="en-GB"/>
          </w:rPr>
          <w:t>https://www.nbim.no/</w:t>
        </w:r>
      </w:hyperlink>
      <w:r w:rsidRPr="713BC316" w:rsidR="0F88F051">
        <w:rPr>
          <w:rFonts w:ascii="Arial" w:hAnsi="Arial" w:eastAsia="Arial" w:cs="Arial"/>
          <w:noProof w:val="0"/>
          <w:color w:val="000000" w:themeColor="text1" w:themeTint="FF" w:themeShade="FF"/>
          <w:sz w:val="24"/>
          <w:szCs w:val="24"/>
          <w:lang w:val="en-GB"/>
        </w:rPr>
        <w:t xml:space="preserve"> (Accessed: 11 December 2025).</w:t>
      </w:r>
    </w:p>
    <w:p xmlns:wp14="http://schemas.microsoft.com/office/word/2010/wordml" w:rsidP="713BC316" wp14:paraId="0F84956B" wp14:textId="4C1506D6">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Nyberg, D. et al., (2023) ‘Corporate political activity and climate change in the United States’, Academy of Management Journal, 66(4), pp. 1123–1151. doi:10.5465/amj.2021.1123.</w:t>
      </w:r>
    </w:p>
    <w:p xmlns:wp14="http://schemas.microsoft.com/office/word/2010/wordml" w:rsidP="713BC316" wp14:paraId="39305D97" wp14:textId="6A4F2F09">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PwC., (2025) PwC UK – Building trust in society and solving important problems. Available at:</w:t>
      </w:r>
      <w:hyperlink r:id="Ra4096351b56e4756">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https://www.pwc.co.uk/</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14DA4D24" wp14:textId="7452A487">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Sanford Heisler Sharp McKnight., (2025) Sanford Heisler Sharp McKnight, LLP – National litigation law firm. Available at: </w:t>
      </w:r>
      <w:hyperlink r:id="R11c433183df543a5">
        <w:r w:rsidRPr="713BC316" w:rsidR="0F88F051">
          <w:rPr>
            <w:rStyle w:val="Hyperlink"/>
            <w:rFonts w:ascii="Arial" w:hAnsi="Arial" w:eastAsia="Arial" w:cs="Arial"/>
            <w:noProof w:val="0"/>
            <w:sz w:val="24"/>
            <w:szCs w:val="24"/>
            <w:lang w:val="en-GB"/>
          </w:rPr>
          <w:t>https://www.sanfordheisler.com/</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44E70BFC" wp14:textId="3578227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Scherer, A.G. and Voegtlin, C., (2022) ‘Political CSR and extended governance’, Business Ethics Quarterly, 32(1), pp. 1–35. doi:10.1017/beq.2021.38.</w:t>
      </w:r>
    </w:p>
    <w:p xmlns:wp14="http://schemas.microsoft.com/office/word/2010/wordml" w:rsidP="713BC316" wp14:paraId="0E7AB27B" wp14:textId="5B3C6A0D">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Shanghai Stock Exchange., (2025) Shanghai Stock Exchange. Available at: </w:t>
      </w:r>
      <w:hyperlink r:id="R6884828e40f74dbc">
        <w:r w:rsidRPr="713BC316" w:rsidR="0F88F051">
          <w:rPr>
            <w:rStyle w:val="Hyperlink"/>
            <w:rFonts w:ascii="Arial" w:hAnsi="Arial" w:eastAsia="Arial" w:cs="Arial"/>
            <w:noProof w:val="0"/>
            <w:sz w:val="24"/>
            <w:szCs w:val="24"/>
            <w:lang w:val="en-GB"/>
          </w:rPr>
          <w:t>https://english.sse.com.cn/</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6B300698" wp14:textId="09BCDFA2">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Shanghai Municipal Government., (2025) Shanghai China - International Services. Available at: </w:t>
      </w:r>
      <w:hyperlink r:id="Ra78eb743c6da4f40">
        <w:r w:rsidRPr="713BC316" w:rsidR="0F88F051">
          <w:rPr>
            <w:rStyle w:val="Hyperlink"/>
            <w:rFonts w:ascii="Arial" w:hAnsi="Arial" w:eastAsia="Arial" w:cs="Arial"/>
            <w:noProof w:val="0"/>
            <w:sz w:val="24"/>
            <w:szCs w:val="24"/>
            <w:lang w:val="en-GB"/>
          </w:rPr>
          <w:t>https://english.shanghai.gov.cn/</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66EA01DF" wp14:textId="762B4582">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Tollefson, J., (2023) ‘The 100 companies behind most emissions’, Nature, 621(7978), pp. 248–250. doi:10.1038/d41586-023-02776-6.</w:t>
      </w:r>
    </w:p>
    <w:p xmlns:wp14="http://schemas.microsoft.com/office/word/2010/wordml" w:rsidP="713BC316" wp14:paraId="51B28FBE" wp14:textId="0384A422">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Transparency International., (2025) Transparency International – The global coalition against corruption. Available at: </w:t>
      </w:r>
      <w:hyperlink r:id="R7de19c49168c4803">
        <w:r w:rsidRPr="713BC316" w:rsidR="0F88F051">
          <w:rPr>
            <w:rStyle w:val="Hyperlink"/>
            <w:rFonts w:ascii="Arial" w:hAnsi="Arial" w:eastAsia="Arial" w:cs="Arial"/>
            <w:noProof w:val="0"/>
            <w:sz w:val="24"/>
            <w:szCs w:val="24"/>
            <w:lang w:val="en-GB"/>
          </w:rPr>
          <w:t>https://www.transparency.org/</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0F55E7F0" wp14:textId="25041382">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TIME., (2025) </w:t>
      </w:r>
      <w:r w:rsidRPr="713BC316" w:rsidR="0F88F051">
        <w:rPr>
          <w:rFonts w:ascii="Arial" w:hAnsi="Arial" w:eastAsia="Arial" w:cs="Arial"/>
          <w:i w:val="1"/>
          <w:iCs w:val="1"/>
          <w:noProof w:val="0"/>
          <w:color w:val="000000" w:themeColor="text1" w:themeTint="FF" w:themeShade="FF"/>
          <w:sz w:val="24"/>
          <w:szCs w:val="24"/>
          <w:lang w:val="en-GB"/>
        </w:rPr>
        <w:t>TIME | Current &amp; breaking news | National &amp; world updates</w:t>
      </w:r>
      <w:r w:rsidRPr="713BC316" w:rsidR="0F88F051">
        <w:rPr>
          <w:rFonts w:ascii="Arial" w:hAnsi="Arial" w:eastAsia="Arial" w:cs="Arial"/>
          <w:noProof w:val="0"/>
          <w:color w:val="000000" w:themeColor="text1" w:themeTint="FF" w:themeShade="FF"/>
          <w:sz w:val="24"/>
          <w:szCs w:val="24"/>
          <w:lang w:val="en-GB"/>
        </w:rPr>
        <w:t>. Available at:</w:t>
      </w:r>
      <w:hyperlink r:id="R501a2433e5c94e47">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https://time.com/</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1E81BB1C" wp14:textId="4B6859A4">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TSE.,  (2023) Japan’s corporate governance code (revised). Tokyo: Tokyo Stock Exchange.</w:t>
      </w:r>
    </w:p>
    <w:p xmlns:wp14="http://schemas.microsoft.com/office/word/2010/wordml" w:rsidP="713BC316" wp14:paraId="20352D57" wp14:textId="78F65070">
      <w:pPr>
        <w:spacing w:before="240" w:beforeAutospacing="off" w:after="240" w:afterAutospacing="off"/>
      </w:pPr>
      <w:r w:rsidRPr="713BC316" w:rsidR="0F88F051">
        <w:rPr>
          <w:rFonts w:ascii="Arial" w:hAnsi="Arial" w:eastAsia="Arial" w:cs="Arial"/>
          <w:noProof w:val="0"/>
          <w:color w:val="000000" w:themeColor="text1" w:themeTint="FF" w:themeShade="FF"/>
          <w:sz w:val="24"/>
          <w:szCs w:val="24"/>
          <w:lang w:val="en-GB"/>
        </w:rPr>
        <w:t xml:space="preserve">United Nations Office on Drugs and Crime., (2025) </w:t>
      </w:r>
      <w:r w:rsidRPr="713BC316" w:rsidR="0F88F051">
        <w:rPr>
          <w:rFonts w:ascii="Arial" w:hAnsi="Arial" w:eastAsia="Arial" w:cs="Arial"/>
          <w:i w:val="1"/>
          <w:iCs w:val="1"/>
          <w:noProof w:val="0"/>
          <w:color w:val="000000" w:themeColor="text1" w:themeTint="FF" w:themeShade="FF"/>
          <w:sz w:val="24"/>
          <w:szCs w:val="24"/>
          <w:lang w:val="en-GB"/>
        </w:rPr>
        <w:t>United Nations Office on Drugs and Crime</w:t>
      </w:r>
      <w:r w:rsidRPr="713BC316" w:rsidR="0F88F051">
        <w:rPr>
          <w:rFonts w:ascii="Arial" w:hAnsi="Arial" w:eastAsia="Arial" w:cs="Arial"/>
          <w:noProof w:val="0"/>
          <w:color w:val="000000" w:themeColor="text1" w:themeTint="FF" w:themeShade="FF"/>
          <w:sz w:val="24"/>
          <w:szCs w:val="24"/>
          <w:lang w:val="en-GB"/>
        </w:rPr>
        <w:t>. Available at:</w:t>
      </w:r>
      <w:hyperlink r:id="Ra69728976d6349bb">
        <w:r w:rsidRPr="713BC316" w:rsidR="0F88F051">
          <w:rPr>
            <w:rStyle w:val="Hyperlink"/>
            <w:rFonts w:ascii="Arial" w:hAnsi="Arial" w:eastAsia="Arial" w:cs="Arial"/>
            <w:noProof w:val="0"/>
            <w:sz w:val="24"/>
            <w:szCs w:val="24"/>
            <w:lang w:val="en-GB"/>
          </w:rPr>
          <w:t xml:space="preserve"> </w:t>
        </w:r>
        <w:r w:rsidRPr="713BC316" w:rsidR="0F88F051">
          <w:rPr>
            <w:rStyle w:val="Hyperlink"/>
            <w:rFonts w:ascii="Arial" w:hAnsi="Arial" w:eastAsia="Arial" w:cs="Arial"/>
            <w:strike w:val="0"/>
            <w:dstrike w:val="0"/>
            <w:noProof w:val="0"/>
            <w:color w:val="1155CC"/>
            <w:sz w:val="24"/>
            <w:szCs w:val="24"/>
            <w:u w:val="none"/>
            <w:lang w:val="en-GB"/>
          </w:rPr>
          <w:t>https://www.unodc.org/</w:t>
        </w:r>
      </w:hyperlink>
      <w:r w:rsidRPr="713BC316" w:rsidR="0F88F051">
        <w:rPr>
          <w:rFonts w:ascii="Arial" w:hAnsi="Arial" w:eastAsia="Arial" w:cs="Arial"/>
          <w:noProof w:val="0"/>
          <w:color w:val="000000" w:themeColor="text1" w:themeTint="FF" w:themeShade="FF"/>
          <w:sz w:val="24"/>
          <w:szCs w:val="24"/>
          <w:lang w:val="en-GB"/>
        </w:rPr>
        <w:t xml:space="preserve"> (Accessed: 12 December 2025).</w:t>
      </w:r>
    </w:p>
    <w:p xmlns:wp14="http://schemas.microsoft.com/office/word/2010/wordml" w:rsidP="713BC316" wp14:paraId="06C0DE21" wp14:textId="1361035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Unilever., (2024) Unilever climate transition action plan 2024. London: Unilever PLC.</w:t>
      </w:r>
    </w:p>
    <w:p xmlns:wp14="http://schemas.microsoft.com/office/word/2010/wordml" w:rsidP="713BC316" wp14:paraId="73E22CAF" wp14:textId="287DDDE9">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Wang, Q. and Liu, Y., (2024) ‘Dual carbon goals and corporate strategy in China’, Energy Policy, 178, p. 113589. doi:10.1016/j.enpol.2024.113589.</w:t>
      </w:r>
    </w:p>
    <w:p xmlns:wp14="http://schemas.microsoft.com/office/word/2010/wordml" w:rsidP="713BC316" wp14:paraId="4D363CAB" wp14:textId="5AD6F0F8">
      <w:pPr>
        <w:spacing w:before="0" w:beforeAutospacing="off" w:after="120" w:afterAutospacing="off"/>
      </w:pPr>
      <w:r w:rsidRPr="713BC316" w:rsidR="0F88F051">
        <w:rPr>
          <w:rFonts w:ascii="Arial" w:hAnsi="Arial" w:eastAsia="Arial" w:cs="Arial"/>
          <w:noProof w:val="0"/>
          <w:color w:val="000000" w:themeColor="text1" w:themeTint="FF" w:themeShade="FF"/>
          <w:sz w:val="24"/>
          <w:szCs w:val="24"/>
          <w:lang w:val="en-GB"/>
        </w:rPr>
        <w:t>White House., (2023) Fact sheet: Inflation Reduction Act. Washington, DC: The White House.</w:t>
      </w:r>
    </w:p>
    <w:p xmlns:wp14="http://schemas.microsoft.com/office/word/2010/wordml" wp14:paraId="1E03BDC4" wp14:textId="46BA9293"/>
    <w:p xmlns:wp14="http://schemas.microsoft.com/office/word/2010/wordml" wp14:paraId="5E5787A5" wp14:textId="70A403F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CD2258"/>
    <w:rsid w:val="0F88F051"/>
    <w:rsid w:val="29CD2258"/>
    <w:rsid w:val="3DA1F475"/>
    <w:rsid w:val="713BC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D2258"/>
  <w15:chartTrackingRefBased/>
  <w15:docId w15:val="{88ABAB8D-5660-42D3-8F15-7063736068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13BC31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cg.com/" TargetMode="External" Id="Rfb6f353502264295" /><Relationship Type="http://schemas.openxmlformats.org/officeDocument/2006/relationships/hyperlink" Target="https://global.chinadaily.com.cn/" TargetMode="External" Id="R36dce9933e6f4c6a" /><Relationship Type="http://schemas.openxmlformats.org/officeDocument/2006/relationships/hyperlink" Target="https://clientearth.org/" TargetMode="External" Id="Rc901dc1c4e474fa1" /><Relationship Type="http://schemas.openxmlformats.org/officeDocument/2006/relationships/hyperlink" Target="https://www.clydeco.com/" TargetMode="External" Id="R1c033aa3be414e76" /><Relationship Type="http://schemas.openxmlformats.org/officeDocument/2006/relationships/hyperlink" Target="https://www.davispolk.com/" TargetMode="External" Id="Rc25d3297e8b648d2" /><Relationship Type="http://schemas.openxmlformats.org/officeDocument/2006/relationships/hyperlink" Target="https://www.deloitte.com/" TargetMode="External" Id="R90e84ffc45ce4410" /><Relationship Type="http://schemas.openxmlformats.org/officeDocument/2006/relationships/hyperlink" Target="https://commission.europa.eu/" TargetMode="External" Id="R0f203576aabf4d2b" /><Relationship Type="http://schemas.openxmlformats.org/officeDocument/2006/relationships/hyperlink" Target="https://ghgprotocol.org/" TargetMode="External" Id="Ra33711a61d6a4b01" /><Relationship Type="http://schemas.openxmlformats.org/officeDocument/2006/relationships/hyperlink" Target="https://corpgov.law.harvard.edu/" TargetMode="External" Id="Rfd32c8db999f48ac" /><Relationship Type="http://schemas.openxmlformats.org/officeDocument/2006/relationships/hyperlink" Target="https://www.ifrs.org/" TargetMode="External" Id="Rc8e402309a9f4ae5" /><Relationship Type="http://schemas.openxmlformats.org/officeDocument/2006/relationships/hyperlink" Target="https://www.kroll.com/" TargetMode="External" Id="R70e8786fa1654e75" /><Relationship Type="http://schemas.openxmlformats.org/officeDocument/2006/relationships/hyperlink" Target="https://www.lse.ac.uk/" TargetMode="External" Id="R5de838aa84a74e71" /><Relationship Type="http://schemas.openxmlformats.org/officeDocument/2006/relationships/hyperlink" Target="https://www.mayerbrown.com/" TargetMode="External" Id="R9fce84fe736748a3" /><Relationship Type="http://schemas.openxmlformats.org/officeDocument/2006/relationships/hyperlink" Target="https://www.nasdaq.com/" TargetMode="External" Id="R2bbaad476ffa4876" /><Relationship Type="http://schemas.openxmlformats.org/officeDocument/2006/relationships/hyperlink" Target="https://www.netzeroinvestor.net/" TargetMode="External" Id="Rf1e921f0f54c4aad" /><Relationship Type="http://schemas.openxmlformats.org/officeDocument/2006/relationships/hyperlink" Target="https://www.nbim.no/" TargetMode="External" Id="R74bde513273a4adc" /><Relationship Type="http://schemas.openxmlformats.org/officeDocument/2006/relationships/hyperlink" Target="https://www.pwc.co.uk/" TargetMode="External" Id="Ra4096351b56e4756" /><Relationship Type="http://schemas.openxmlformats.org/officeDocument/2006/relationships/hyperlink" Target="https://www.sanfordheisler.com/" TargetMode="External" Id="R11c433183df543a5" /><Relationship Type="http://schemas.openxmlformats.org/officeDocument/2006/relationships/hyperlink" Target="https://english.sse.com.cn/" TargetMode="External" Id="R6884828e40f74dbc" /><Relationship Type="http://schemas.openxmlformats.org/officeDocument/2006/relationships/hyperlink" Target="https://english.shanghai.gov.cn/" TargetMode="External" Id="Ra78eb743c6da4f40" /><Relationship Type="http://schemas.openxmlformats.org/officeDocument/2006/relationships/hyperlink" Target="https://www.transparency.org/" TargetMode="External" Id="R7de19c49168c4803" /><Relationship Type="http://schemas.openxmlformats.org/officeDocument/2006/relationships/hyperlink" Target="https://time.com/" TargetMode="External" Id="R501a2433e5c94e47" /><Relationship Type="http://schemas.openxmlformats.org/officeDocument/2006/relationships/hyperlink" Target="https://www.unodc.org/" TargetMode="External" Id="Ra69728976d6349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Barlow (2318300)</dc:creator>
  <keywords/>
  <dc:description/>
  <lastModifiedBy>Nathan Barlow (2318300)</lastModifiedBy>
  <revision>2</revision>
  <dcterms:created xsi:type="dcterms:W3CDTF">2025-12-12T16:44:39.1042529Z</dcterms:created>
  <dcterms:modified xsi:type="dcterms:W3CDTF">2025-12-12T16:46:03.0947901Z</dcterms:modified>
</coreProperties>
</file>