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9C507" w14:textId="77777777" w:rsidR="006961F6" w:rsidRDefault="006961F6" w:rsidP="00B90EAA">
      <w:pPr>
        <w:spacing w:line="480" w:lineRule="auto"/>
        <w:jc w:val="center"/>
        <w:rPr>
          <w:rFonts w:ascii="Times New Roman" w:hAnsi="Times New Roman" w:cs="Times New Roman"/>
          <w:b/>
          <w:bCs/>
          <w:sz w:val="24"/>
          <w:szCs w:val="24"/>
        </w:rPr>
      </w:pPr>
    </w:p>
    <w:p w14:paraId="6D00B5E5" w14:textId="5653171C" w:rsidR="006961F6" w:rsidRDefault="006961F6" w:rsidP="00B90EAA">
      <w:pPr>
        <w:spacing w:line="480" w:lineRule="auto"/>
        <w:jc w:val="center"/>
        <w:rPr>
          <w:rFonts w:ascii="Times New Roman" w:hAnsi="Times New Roman" w:cs="Times New Roman"/>
          <w:b/>
          <w:bCs/>
          <w:sz w:val="24"/>
          <w:szCs w:val="24"/>
        </w:rPr>
      </w:pPr>
    </w:p>
    <w:p w14:paraId="5E3BEF2D" w14:textId="4CAA6703" w:rsidR="009668C0" w:rsidRDefault="009668C0" w:rsidP="00B90EAA">
      <w:pPr>
        <w:spacing w:line="480" w:lineRule="auto"/>
        <w:jc w:val="center"/>
        <w:rPr>
          <w:rFonts w:ascii="Times New Roman" w:hAnsi="Times New Roman" w:cs="Times New Roman"/>
          <w:b/>
          <w:bCs/>
          <w:sz w:val="24"/>
          <w:szCs w:val="24"/>
        </w:rPr>
      </w:pPr>
      <w:r w:rsidRPr="00A406E5">
        <w:rPr>
          <w:rFonts w:ascii="Arial" w:hAnsi="Arial" w:cs="Arial"/>
          <w:noProof/>
        </w:rPr>
        <w:drawing>
          <wp:anchor distT="0" distB="0" distL="114300" distR="114300" simplePos="0" relativeHeight="251659264" behindDoc="0" locked="0" layoutInCell="1" allowOverlap="1" wp14:anchorId="3EFD3D9B" wp14:editId="596FF8FC">
            <wp:simplePos x="0" y="0"/>
            <wp:positionH relativeFrom="column">
              <wp:posOffset>2077085</wp:posOffset>
            </wp:positionH>
            <wp:positionV relativeFrom="paragraph">
              <wp:posOffset>360045</wp:posOffset>
            </wp:positionV>
            <wp:extent cx="1918970" cy="77851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918970" cy="778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777445" w14:textId="77777777" w:rsidR="009668C0" w:rsidRDefault="009668C0" w:rsidP="00B90EAA">
      <w:pPr>
        <w:spacing w:line="480" w:lineRule="auto"/>
        <w:jc w:val="center"/>
        <w:rPr>
          <w:rFonts w:ascii="Times New Roman" w:hAnsi="Times New Roman" w:cs="Times New Roman"/>
          <w:b/>
          <w:bCs/>
          <w:sz w:val="24"/>
          <w:szCs w:val="24"/>
        </w:rPr>
      </w:pPr>
    </w:p>
    <w:p w14:paraId="2901593C" w14:textId="77777777" w:rsidR="009668C0" w:rsidRDefault="009668C0" w:rsidP="00B90EAA">
      <w:pPr>
        <w:spacing w:line="480" w:lineRule="auto"/>
        <w:jc w:val="center"/>
        <w:rPr>
          <w:rFonts w:ascii="Times New Roman" w:hAnsi="Times New Roman" w:cs="Times New Roman"/>
          <w:b/>
          <w:bCs/>
          <w:sz w:val="24"/>
          <w:szCs w:val="24"/>
        </w:rPr>
      </w:pPr>
    </w:p>
    <w:p w14:paraId="46AB676E" w14:textId="77777777" w:rsidR="009668C0" w:rsidRPr="0051435F" w:rsidRDefault="009668C0" w:rsidP="00B90EAA">
      <w:pPr>
        <w:spacing w:line="480" w:lineRule="auto"/>
        <w:jc w:val="center"/>
        <w:rPr>
          <w:rFonts w:ascii="Times New Roman" w:hAnsi="Times New Roman" w:cs="Times New Roman"/>
          <w:sz w:val="24"/>
          <w:szCs w:val="24"/>
        </w:rPr>
      </w:pPr>
    </w:p>
    <w:p w14:paraId="243D0400" w14:textId="4681A318" w:rsidR="006961F6" w:rsidRPr="0051435F" w:rsidRDefault="0051435F" w:rsidP="00B90EAA">
      <w:pPr>
        <w:spacing w:line="480" w:lineRule="auto"/>
        <w:jc w:val="center"/>
        <w:rPr>
          <w:rFonts w:ascii="Times New Roman" w:hAnsi="Times New Roman" w:cs="Times New Roman"/>
          <w:sz w:val="24"/>
          <w:szCs w:val="24"/>
        </w:rPr>
      </w:pPr>
      <w:r w:rsidRPr="0051435F">
        <w:rPr>
          <w:rFonts w:ascii="Times New Roman" w:hAnsi="Times New Roman" w:cs="Times New Roman"/>
          <w:sz w:val="24"/>
          <w:szCs w:val="24"/>
        </w:rPr>
        <w:t xml:space="preserve">BMSW6105 </w:t>
      </w:r>
      <w:r w:rsidR="005A39D9" w:rsidRPr="0051435F">
        <w:rPr>
          <w:rFonts w:ascii="Times New Roman" w:hAnsi="Times New Roman" w:cs="Times New Roman"/>
          <w:sz w:val="24"/>
          <w:szCs w:val="24"/>
        </w:rPr>
        <w:t>BA Leadership and Management</w:t>
      </w:r>
    </w:p>
    <w:p w14:paraId="347A1ABC" w14:textId="7C84E0F3" w:rsidR="006961F6" w:rsidRPr="0051435F" w:rsidRDefault="00A63235" w:rsidP="00B90EA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name: </w:t>
      </w:r>
      <w:r w:rsidRPr="00A63235">
        <w:rPr>
          <w:rFonts w:ascii="Times New Roman" w:hAnsi="Times New Roman" w:cs="Times New Roman"/>
          <w:sz w:val="24"/>
          <w:szCs w:val="24"/>
        </w:rPr>
        <w:t>Mudassar Hassan</w:t>
      </w:r>
    </w:p>
    <w:p w14:paraId="12CB2024" w14:textId="77777777" w:rsidR="005870B6" w:rsidRDefault="005870B6" w:rsidP="00B90EAA">
      <w:pPr>
        <w:spacing w:line="480" w:lineRule="auto"/>
        <w:jc w:val="center"/>
        <w:rPr>
          <w:rFonts w:ascii="Times New Roman" w:hAnsi="Times New Roman" w:cs="Times New Roman"/>
          <w:sz w:val="24"/>
          <w:szCs w:val="24"/>
        </w:rPr>
      </w:pPr>
    </w:p>
    <w:p w14:paraId="39B14221" w14:textId="77777777" w:rsidR="005870B6" w:rsidRDefault="005870B6" w:rsidP="00B90EAA">
      <w:pPr>
        <w:spacing w:line="480" w:lineRule="auto"/>
        <w:jc w:val="center"/>
        <w:rPr>
          <w:rFonts w:ascii="Times New Roman" w:hAnsi="Times New Roman" w:cs="Times New Roman"/>
          <w:sz w:val="24"/>
          <w:szCs w:val="24"/>
        </w:rPr>
      </w:pPr>
    </w:p>
    <w:p w14:paraId="107F9D08" w14:textId="159CC153" w:rsidR="006961F6" w:rsidRPr="0051435F" w:rsidRDefault="006961F6" w:rsidP="00B90EAA">
      <w:pPr>
        <w:spacing w:line="480" w:lineRule="auto"/>
        <w:jc w:val="center"/>
        <w:rPr>
          <w:rFonts w:ascii="Times New Roman" w:hAnsi="Times New Roman" w:cs="Times New Roman"/>
          <w:sz w:val="24"/>
          <w:szCs w:val="24"/>
        </w:rPr>
      </w:pPr>
      <w:r w:rsidRPr="0051435F">
        <w:rPr>
          <w:rFonts w:ascii="Times New Roman" w:hAnsi="Times New Roman" w:cs="Times New Roman"/>
          <w:sz w:val="24"/>
          <w:szCs w:val="24"/>
        </w:rPr>
        <w:t>Reflective Practice in Coaching and Mentoring</w:t>
      </w:r>
    </w:p>
    <w:p w14:paraId="4E3C0AB4" w14:textId="62FBCF6A" w:rsidR="006961F6" w:rsidRPr="0051435F" w:rsidRDefault="006961F6" w:rsidP="00B90EAA">
      <w:pPr>
        <w:spacing w:line="480" w:lineRule="auto"/>
        <w:jc w:val="center"/>
        <w:rPr>
          <w:rFonts w:ascii="Times New Roman" w:hAnsi="Times New Roman" w:cs="Times New Roman"/>
          <w:sz w:val="24"/>
          <w:szCs w:val="24"/>
        </w:rPr>
      </w:pPr>
    </w:p>
    <w:p w14:paraId="20C5A85E" w14:textId="59D8F2E4" w:rsidR="00C341CD" w:rsidRPr="0051435F" w:rsidRDefault="00C341CD" w:rsidP="00B90EAA">
      <w:pPr>
        <w:spacing w:line="480" w:lineRule="auto"/>
        <w:jc w:val="center"/>
        <w:rPr>
          <w:rFonts w:ascii="Times New Roman" w:hAnsi="Times New Roman" w:cs="Times New Roman"/>
          <w:sz w:val="24"/>
          <w:szCs w:val="24"/>
        </w:rPr>
      </w:pPr>
    </w:p>
    <w:p w14:paraId="72EAFF60" w14:textId="77777777" w:rsidR="00C341CD" w:rsidRPr="0051435F" w:rsidRDefault="00C341CD" w:rsidP="00B90EAA">
      <w:pPr>
        <w:spacing w:line="480" w:lineRule="auto"/>
        <w:jc w:val="center"/>
        <w:rPr>
          <w:rFonts w:ascii="Times New Roman" w:hAnsi="Times New Roman" w:cs="Times New Roman"/>
          <w:sz w:val="24"/>
          <w:szCs w:val="24"/>
        </w:rPr>
      </w:pPr>
    </w:p>
    <w:p w14:paraId="37EF39BD" w14:textId="77777777" w:rsidR="00C341CD" w:rsidRPr="0051435F" w:rsidRDefault="00C341CD" w:rsidP="00B90EAA">
      <w:pPr>
        <w:spacing w:line="480" w:lineRule="auto"/>
        <w:jc w:val="center"/>
        <w:rPr>
          <w:rFonts w:ascii="Times New Roman" w:hAnsi="Times New Roman" w:cs="Times New Roman"/>
          <w:sz w:val="24"/>
          <w:szCs w:val="24"/>
        </w:rPr>
      </w:pPr>
    </w:p>
    <w:p w14:paraId="2A711396" w14:textId="77777777" w:rsidR="0051435F" w:rsidRPr="0051435F" w:rsidRDefault="00E45F2B" w:rsidP="00B90EAA">
      <w:pPr>
        <w:ind w:left="3600" w:firstLine="720"/>
        <w:rPr>
          <w:rFonts w:ascii="Times New Roman" w:hAnsi="Times New Roman" w:cs="Times New Roman"/>
          <w:sz w:val="24"/>
          <w:szCs w:val="24"/>
        </w:rPr>
      </w:pPr>
      <w:r w:rsidRPr="0051435F">
        <w:rPr>
          <w:rFonts w:ascii="Times New Roman" w:hAnsi="Times New Roman" w:cs="Times New Roman"/>
          <w:sz w:val="24"/>
          <w:szCs w:val="24"/>
        </w:rPr>
        <w:t xml:space="preserve">Sana </w:t>
      </w:r>
      <w:proofErr w:type="spellStart"/>
      <w:r w:rsidRPr="0051435F">
        <w:rPr>
          <w:rFonts w:ascii="Times New Roman" w:hAnsi="Times New Roman" w:cs="Times New Roman"/>
          <w:sz w:val="24"/>
          <w:szCs w:val="24"/>
        </w:rPr>
        <w:t>Arif</w:t>
      </w:r>
      <w:proofErr w:type="spellEnd"/>
    </w:p>
    <w:p w14:paraId="3EF7DDE7" w14:textId="77777777" w:rsidR="0051435F" w:rsidRPr="0051435F" w:rsidRDefault="0051435F" w:rsidP="00B90EAA">
      <w:pPr>
        <w:ind w:left="3600" w:firstLine="720"/>
        <w:rPr>
          <w:rFonts w:ascii="Times New Roman" w:hAnsi="Times New Roman" w:cs="Times New Roman"/>
          <w:b/>
          <w:bCs/>
          <w:sz w:val="24"/>
          <w:szCs w:val="24"/>
        </w:rPr>
      </w:pPr>
      <w:r w:rsidRPr="0051435F">
        <w:rPr>
          <w:rFonts w:ascii="Times New Roman" w:hAnsi="Times New Roman" w:cs="Times New Roman"/>
          <w:sz w:val="24"/>
          <w:szCs w:val="24"/>
        </w:rPr>
        <w:t>2116663</w:t>
      </w:r>
    </w:p>
    <w:p w14:paraId="55AFE87D" w14:textId="77777777" w:rsidR="0051435F" w:rsidRPr="00A771B9" w:rsidRDefault="0051435F" w:rsidP="00B90EAA">
      <w:pPr>
        <w:ind w:left="3600" w:firstLine="720"/>
        <w:jc w:val="center"/>
        <w:rPr>
          <w:rFonts w:ascii="Times New Roman" w:hAnsi="Times New Roman" w:cs="Times New Roman"/>
          <w:sz w:val="24"/>
          <w:szCs w:val="24"/>
        </w:rPr>
      </w:pPr>
    </w:p>
    <w:p w14:paraId="398077C5" w14:textId="35BB5465" w:rsidR="006961F6" w:rsidRDefault="0051435F" w:rsidP="00B90EAA">
      <w:pPr>
        <w:ind w:left="2880" w:firstLine="720"/>
        <w:rPr>
          <w:rFonts w:ascii="Times New Roman" w:hAnsi="Times New Roman" w:cs="Times New Roman"/>
          <w:b/>
          <w:bCs/>
          <w:sz w:val="24"/>
          <w:szCs w:val="24"/>
        </w:rPr>
      </w:pPr>
      <w:r w:rsidRPr="00A771B9">
        <w:rPr>
          <w:rFonts w:ascii="Times New Roman" w:hAnsi="Times New Roman" w:cs="Times New Roman"/>
          <w:sz w:val="24"/>
          <w:szCs w:val="24"/>
        </w:rPr>
        <w:t>Date: September 2024</w:t>
      </w:r>
      <w:r w:rsidR="006961F6">
        <w:rPr>
          <w:rFonts w:ascii="Times New Roman" w:hAnsi="Times New Roman" w:cs="Times New Roman"/>
          <w:b/>
          <w:bCs/>
          <w:sz w:val="24"/>
          <w:szCs w:val="24"/>
        </w:rPr>
        <w:br w:type="page"/>
      </w:r>
    </w:p>
    <w:p w14:paraId="6529B606" w14:textId="703ABB21" w:rsidR="00576E9D" w:rsidRPr="00F26A35" w:rsidRDefault="00576E9D" w:rsidP="00B90EAA">
      <w:pPr>
        <w:spacing w:line="480" w:lineRule="auto"/>
        <w:jc w:val="both"/>
        <w:rPr>
          <w:rFonts w:ascii="Times New Roman" w:hAnsi="Times New Roman" w:cs="Times New Roman"/>
          <w:b/>
          <w:bCs/>
          <w:sz w:val="24"/>
          <w:szCs w:val="24"/>
        </w:rPr>
      </w:pPr>
      <w:r w:rsidRPr="00F26A35">
        <w:rPr>
          <w:rFonts w:ascii="Times New Roman" w:hAnsi="Times New Roman" w:cs="Times New Roman"/>
          <w:b/>
          <w:bCs/>
          <w:sz w:val="24"/>
          <w:szCs w:val="24"/>
        </w:rPr>
        <w:lastRenderedPageBreak/>
        <w:t>Introduction</w:t>
      </w:r>
    </w:p>
    <w:p w14:paraId="787B1095" w14:textId="37712B14" w:rsidR="00576E9D" w:rsidRPr="00F26A35" w:rsidRDefault="00576E9D"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Coaching and mentoring are among the most important resources used in personal or professional development and motivation to individuals as they navigate their career paths. Although there are a lot of similarities between coaching and mentoring, these two activities are characterized by different goals and results. Usually, coaching is an action that is carried out in a more defined manner with the purpose of enhancing the performance of a person being coached which is facilitated by a coach and usually takes place in a specific time span (Grant, 2017). Mentoring, on the other hand, typically accompanies a more long-term, interpersonal notion where the mentor provides advice, stories and other experiences taken with the purpose of enabling growth at a different level (Kram, 1985). In combination, these developmental methodologies play a major role in promoting skill acquisition, improving job satisfaction, and promoting organizational commitment (Eby et al., 2008).</w:t>
      </w:r>
      <w:r w:rsidR="00EA06E8" w:rsidRPr="00F26A35">
        <w:rPr>
          <w:rFonts w:ascii="Times New Roman" w:hAnsi="Times New Roman" w:cs="Times New Roman"/>
          <w:sz w:val="24"/>
          <w:szCs w:val="24"/>
        </w:rPr>
        <w:t xml:space="preserve"> </w:t>
      </w:r>
    </w:p>
    <w:p w14:paraId="3D3DBD62" w14:textId="306590A4" w:rsidR="001C018D" w:rsidRPr="00F26A35" w:rsidRDefault="00576E9D"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Subsequently, the literature emphasizes the importance of coaching and mentoring at the workplace targeting on strengthening leadership behaviours of employees, promoting their problem solving skills, as well as supporting a positive organisational climate. For example, Feldman &amp; Lankau, (2005) state that besides career development, mentoring brings personal growth and identification defining one’s profession, which is essential in complex organizations. Additionally, research conducted on the subject has shown that coaching directly contributes to positive effects in the workplace including </w:t>
      </w:r>
      <w:r w:rsidR="00EA06E8" w:rsidRPr="00F26A35">
        <w:rPr>
          <w:rFonts w:ascii="Times New Roman" w:hAnsi="Times New Roman" w:cs="Times New Roman"/>
          <w:sz w:val="24"/>
          <w:szCs w:val="24"/>
        </w:rPr>
        <w:t>self-efficacy</w:t>
      </w:r>
      <w:r w:rsidRPr="00F26A35">
        <w:rPr>
          <w:rFonts w:ascii="Times New Roman" w:hAnsi="Times New Roman" w:cs="Times New Roman"/>
          <w:sz w:val="24"/>
          <w:szCs w:val="24"/>
        </w:rPr>
        <w:t xml:space="preserve"> in dealing with workplace obstacles (Ladegard &amp; Gjerde, 2014). This paper draws upon the nature and process of coaching and mentoring programs by reflecting upon the author’s personal journey and development to illustrate the benefits of the practice on an individual’s professed and observable skill set. Using a literature review approach and real-life cases, the paper will demonstrate the effectiveness of coaching and mentoring and describe the processes that </w:t>
      </w:r>
      <w:r w:rsidRPr="00F26A35">
        <w:rPr>
          <w:rFonts w:ascii="Times New Roman" w:hAnsi="Times New Roman" w:cs="Times New Roman"/>
          <w:sz w:val="24"/>
          <w:szCs w:val="24"/>
        </w:rPr>
        <w:lastRenderedPageBreak/>
        <w:t>happen to facilitate change in personal and professional development.</w:t>
      </w:r>
      <w:r w:rsidR="00EA06E8" w:rsidRPr="00F26A35">
        <w:rPr>
          <w:rFonts w:ascii="Times New Roman" w:hAnsi="Times New Roman" w:cs="Times New Roman"/>
          <w:sz w:val="24"/>
          <w:szCs w:val="24"/>
        </w:rPr>
        <w:br/>
      </w:r>
      <w:r w:rsidR="001C018D" w:rsidRPr="00F26A35">
        <w:rPr>
          <w:rFonts w:ascii="Times New Roman" w:hAnsi="Times New Roman" w:cs="Times New Roman"/>
          <w:b/>
          <w:bCs/>
          <w:sz w:val="24"/>
          <w:szCs w:val="24"/>
        </w:rPr>
        <w:t>Critical Evaluation of the Purpose of Coaching and Mentoring within a Workplace</w:t>
      </w:r>
    </w:p>
    <w:p w14:paraId="7ABEB851" w14:textId="64E37D0A" w:rsidR="00D000AD" w:rsidRPr="00F26A35" w:rsidRDefault="00D000AD"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Coaching and mentoring act as core activities at the workplace that seek to improve employee productivity, learning and organizational advancement. These two models help people to develop to the fullest extent possible, although they vary in terms of concepts, strategies, and time factor. Based on the literature and the practical sessions in this course, this critical evaluation analyses the two main objectives of the coaching and mentoring. And also there describes and compare and contrast both in details also with the help of perspective showing how and why they are different yet they are </w:t>
      </w:r>
      <w:r w:rsidR="007320C4" w:rsidRPr="00F26A35">
        <w:rPr>
          <w:rFonts w:ascii="Times New Roman" w:hAnsi="Times New Roman" w:cs="Times New Roman"/>
          <w:sz w:val="24"/>
          <w:szCs w:val="24"/>
        </w:rPr>
        <w:t>serving</w:t>
      </w:r>
      <w:r w:rsidRPr="00F26A35">
        <w:rPr>
          <w:rFonts w:ascii="Times New Roman" w:hAnsi="Times New Roman" w:cs="Times New Roman"/>
          <w:sz w:val="24"/>
          <w:szCs w:val="24"/>
        </w:rPr>
        <w:t xml:space="preserve"> different purpose in workplace.</w:t>
      </w:r>
    </w:p>
    <w:p w14:paraId="01B207EC" w14:textId="10D7CF54" w:rsidR="00D000AD" w:rsidRPr="00F26A35" w:rsidRDefault="00D000AD"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The key reason for coaching is to solve organizational-accomplishment-related objectives within a fixed period. In the lens of Holmes (2014), coaching is usually developmental and may involve processes of skill and analysis that assist employees to address current concerns and enhance their proficiency. For example, during a coaching period that was based on time management, it proved easy to arrange a framework that would point out some of the unproductive </w:t>
      </w:r>
      <w:r w:rsidR="007320C4" w:rsidRPr="00F26A35">
        <w:rPr>
          <w:rFonts w:ascii="Times New Roman" w:hAnsi="Times New Roman" w:cs="Times New Roman"/>
          <w:sz w:val="24"/>
          <w:szCs w:val="24"/>
        </w:rPr>
        <w:t>behaviours</w:t>
      </w:r>
      <w:r w:rsidRPr="00F26A35">
        <w:rPr>
          <w:rFonts w:ascii="Times New Roman" w:hAnsi="Times New Roman" w:cs="Times New Roman"/>
          <w:sz w:val="24"/>
          <w:szCs w:val="24"/>
        </w:rPr>
        <w:t xml:space="preserve"> including time mismanagement. With suitable coaching methods, I was to have better and more realistic vision on goals and came up with ways of better time management. According to Haddock-Millar and Tom, (2019), coaching can also enable employees to draw personal boundaries and acquire skills in how best to go about it than worsening their state of well-being and job satisfaction.</w:t>
      </w:r>
    </w:p>
    <w:p w14:paraId="7D9EF2D5" w14:textId="1896B13A" w:rsidR="001C018D" w:rsidRPr="001C018D" w:rsidRDefault="00D000AD"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Coaching, in contrast, is usually a short-term, transactional process that targets a specific work-related issue, while mentoring is often a more long-term, socially based process intended to address multiple developmental concerns in the person’s overall and vocational life. Coaching includes sponsorship and the transfer of known ways or tools, with a focus on numerous aspects of the learner’s career and personal life (MacLennan, 2017). Unlike coaching, therefore, the </w:t>
      </w:r>
      <w:r w:rsidRPr="00F26A35">
        <w:rPr>
          <w:rFonts w:ascii="Times New Roman" w:hAnsi="Times New Roman" w:cs="Times New Roman"/>
          <w:sz w:val="24"/>
          <w:szCs w:val="24"/>
        </w:rPr>
        <w:lastRenderedPageBreak/>
        <w:t>aim of the mentoring is not to address the problems affecting performance in the current job but to develop the capacity of the individual towards future senior roles. For instance, in my case, the mentor gave tips about organizational politics and its manifestations as well as prompted to think about the future job positions that could interest me</w:t>
      </w:r>
      <w:r w:rsidR="001C018D" w:rsidRPr="001C018D">
        <w:rPr>
          <w:rFonts w:ascii="Times New Roman" w:hAnsi="Times New Roman" w:cs="Times New Roman"/>
          <w:sz w:val="24"/>
          <w:szCs w:val="24"/>
        </w:rPr>
        <w:t>. This long-term, developmental support aligned with Lancer, Clutterbuck, and Megginson’s (2016) view that mentoring helps employees build networks, develop self-awareness, and gain confidence in their capabilities, ultimately supporting career advancement.</w:t>
      </w:r>
    </w:p>
    <w:p w14:paraId="7A1A1166" w14:textId="77777777" w:rsidR="000A2861" w:rsidRPr="00F26A35" w:rsidRDefault="000A2861"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Specifically, as Holmes (2014) pointed out, compared with mentoring, coaching is more direct, more oriented towards performance and skills, or performance and developmental issues. On the other hand, mentoring entails non-direct guidance and is relationship based tailoring guidance that the mentor gives the mentee towards achievement of comprehensive development objectives (MacLennan, 2017). However, according to Haddock-Millar and Tom (2019), work-life balance combination is attainable through both coaching and mentoring, nevertheless, though common in offering work-life balance realism, coaching is typically a more focused short-term efficiency, while mentoring is a lasting assurance for achieving work-life balance.</w:t>
      </w:r>
    </w:p>
    <w:p w14:paraId="348E11D9" w14:textId="09E85413" w:rsidR="001C018D" w:rsidRPr="00F26A35" w:rsidRDefault="000A2861"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It is important to note that these distinctions are also not mutually exclusive. Coaching and mentoring can both create confidence, raise awareness within the organizational culture and learning procedures. Moreover, according to Lancer, Clutterbuck, and Megginson (2016), efficiency and effective organisations then integrate coaching and mentoring to enhance development plans by responding current organisational performance requirements and fulfilling long-term career goals. They provide organization with a balanced level of support that is required for the different needs of their employees given that this integration balances both approaches. </w:t>
      </w:r>
    </w:p>
    <w:p w14:paraId="75C59D49" w14:textId="77777777" w:rsidR="00AC7F18" w:rsidRPr="00AC7F18" w:rsidRDefault="00AC7F18" w:rsidP="00B90EAA">
      <w:pPr>
        <w:spacing w:line="480" w:lineRule="auto"/>
        <w:jc w:val="both"/>
        <w:rPr>
          <w:rFonts w:ascii="Times New Roman" w:hAnsi="Times New Roman" w:cs="Times New Roman"/>
          <w:sz w:val="24"/>
          <w:szCs w:val="24"/>
        </w:rPr>
      </w:pPr>
      <w:r w:rsidRPr="00AC7F18">
        <w:rPr>
          <w:rFonts w:ascii="Times New Roman" w:hAnsi="Times New Roman" w:cs="Times New Roman"/>
          <w:b/>
          <w:bCs/>
          <w:sz w:val="24"/>
          <w:szCs w:val="24"/>
        </w:rPr>
        <w:lastRenderedPageBreak/>
        <w:t>Critical Analysis of the GROW Model of Coaching</w:t>
      </w:r>
    </w:p>
    <w:p w14:paraId="0CD5B15A" w14:textId="77777777" w:rsidR="00C95AB3" w:rsidRPr="00F26A35" w:rsidRDefault="00C95AB3"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Probably the most recognised coaching model, albeit in business especially, is the GROW model, a framework that makes it easy to set and achieve goals as well as solve a particular issue. First created in the 1980s by John Whitmore, GROW is an action plan that helps both the coach and the client to solve problems and work towards set goals (Whitmore, 2017). The elements of the acronym GROW are as follows: Goal, Reality, Options, and Will; these four elements define the four steps in the coach-learning process. The model is very flexible and can be used in various fields like individual growth, team work, and leadership training (Grant, 2014).</w:t>
      </w:r>
    </w:p>
    <w:p w14:paraId="7D018B1B" w14:textId="0A191139" w:rsidR="00C95AB3" w:rsidRPr="00F26A35" w:rsidRDefault="00C95AB3"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The first of these is goal establishment where the </w:t>
      </w:r>
      <w:r w:rsidR="0069796C" w:rsidRPr="00F26A35">
        <w:rPr>
          <w:rFonts w:ascii="Times New Roman" w:hAnsi="Times New Roman" w:cs="Times New Roman"/>
          <w:sz w:val="24"/>
          <w:szCs w:val="24"/>
        </w:rPr>
        <w:t>client</w:t>
      </w:r>
      <w:r w:rsidRPr="00F26A35">
        <w:rPr>
          <w:rFonts w:ascii="Times New Roman" w:hAnsi="Times New Roman" w:cs="Times New Roman"/>
          <w:sz w:val="24"/>
          <w:szCs w:val="24"/>
        </w:rPr>
        <w:t xml:space="preserve"> has a clear picture and a realistic target that has to be achieved at the end of the coaching process. A good goal serves as the framework upon which the entire process of coaching is built on (Grant, 2014) and must be Specific, Measurable, Attainable, Relevant and Time-bound (SMART). Reality stage incorporates an appraisal of the existing situation. This stage helps the </w:t>
      </w:r>
      <w:r w:rsidR="0069796C" w:rsidRPr="00F26A35">
        <w:rPr>
          <w:rFonts w:ascii="Times New Roman" w:hAnsi="Times New Roman" w:cs="Times New Roman"/>
          <w:sz w:val="24"/>
          <w:szCs w:val="24"/>
        </w:rPr>
        <w:t>client</w:t>
      </w:r>
      <w:r w:rsidRPr="00F26A35">
        <w:rPr>
          <w:rFonts w:ascii="Times New Roman" w:hAnsi="Times New Roman" w:cs="Times New Roman"/>
          <w:sz w:val="24"/>
          <w:szCs w:val="24"/>
        </w:rPr>
        <w:t xml:space="preserve"> to develop increased awareness of the current reality which is key to the development of viable solutions (Whitmore, 2017).</w:t>
      </w:r>
    </w:p>
    <w:p w14:paraId="1091F07A" w14:textId="39F84C66" w:rsidR="00C95AB3" w:rsidRPr="00C95AB3" w:rsidRDefault="00C95AB3"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In the third step, options, the best approach or solutions to overcome a challenge or get to the goal is discussed between the </w:t>
      </w:r>
      <w:r w:rsidR="0069796C" w:rsidRPr="00F26A35">
        <w:rPr>
          <w:rFonts w:ascii="Times New Roman" w:hAnsi="Times New Roman" w:cs="Times New Roman"/>
          <w:sz w:val="24"/>
          <w:szCs w:val="24"/>
        </w:rPr>
        <w:t>client</w:t>
      </w:r>
      <w:r w:rsidRPr="00F26A35">
        <w:rPr>
          <w:rFonts w:ascii="Times New Roman" w:hAnsi="Times New Roman" w:cs="Times New Roman"/>
          <w:sz w:val="24"/>
          <w:szCs w:val="24"/>
        </w:rPr>
        <w:t xml:space="preserve"> and the coach. This stage focuses on being innovative, which helps the </w:t>
      </w:r>
      <w:r w:rsidR="0069796C" w:rsidRPr="00F26A35">
        <w:rPr>
          <w:rFonts w:ascii="Times New Roman" w:hAnsi="Times New Roman" w:cs="Times New Roman"/>
          <w:sz w:val="24"/>
          <w:szCs w:val="24"/>
        </w:rPr>
        <w:t>client</w:t>
      </w:r>
      <w:r w:rsidRPr="00F26A35">
        <w:rPr>
          <w:rFonts w:ascii="Times New Roman" w:hAnsi="Times New Roman" w:cs="Times New Roman"/>
          <w:sz w:val="24"/>
          <w:szCs w:val="24"/>
        </w:rPr>
        <w:t xml:space="preserve"> come up with more ideal solutions as per their context (Ladyshewsky, 2010). The last workable state is concerned with the generation of will to action. The coach makes sure that the </w:t>
      </w:r>
      <w:r w:rsidR="0069796C" w:rsidRPr="00F26A35">
        <w:rPr>
          <w:rFonts w:ascii="Times New Roman" w:hAnsi="Times New Roman" w:cs="Times New Roman"/>
          <w:sz w:val="24"/>
          <w:szCs w:val="24"/>
        </w:rPr>
        <w:t>client</w:t>
      </w:r>
      <w:r w:rsidRPr="00F26A35">
        <w:rPr>
          <w:rFonts w:ascii="Times New Roman" w:hAnsi="Times New Roman" w:cs="Times New Roman"/>
          <w:sz w:val="24"/>
          <w:szCs w:val="24"/>
        </w:rPr>
        <w:t xml:space="preserve"> is committed into the implementation of the chosen options, defining the next steps for follow-up and responsibilities.</w:t>
      </w:r>
      <w:r w:rsidRPr="00C95AB3">
        <w:rPr>
          <w:rFonts w:ascii="Times New Roman" w:hAnsi="Times New Roman" w:cs="Times New Roman"/>
          <w:sz w:val="24"/>
          <w:szCs w:val="24"/>
        </w:rPr>
        <w:t xml:space="preserve"> This phase emphasizes accountability and commitment to taking action towards achieving the goal (Grant, 2014).</w:t>
      </w:r>
    </w:p>
    <w:p w14:paraId="6CCA017F" w14:textId="3924A143" w:rsidR="0069796C" w:rsidRPr="00F26A35" w:rsidRDefault="0069796C"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The simplicity and clear structure of the GROW model is one of the strengths of the tool. This is due to the fact its plan is based in well-stipulated phases and is hence easy to use especially </w:t>
      </w:r>
      <w:r w:rsidRPr="00F26A35">
        <w:rPr>
          <w:rFonts w:ascii="Times New Roman" w:hAnsi="Times New Roman" w:cs="Times New Roman"/>
          <w:sz w:val="24"/>
          <w:szCs w:val="24"/>
        </w:rPr>
        <w:lastRenderedPageBreak/>
        <w:t xml:space="preserve">for first time trainers as well as for the experienced ones. This is facilitated by the outcomes in the GROW model where clients are put through specific goals that guide the entire coaching process (Whitmore 89). Furthermore, due to the model, people improve critical thinking capacities and gain more understanding of their limitations and how they can be challenged (Grant, 2014). It is also general and applicable to a broad number of coaching situations. Due to its flexibility it has been used in executive coaching and personal coaching as noted by Ladyshewsky, (2010). However, one criticism is that it could be too pragmatic, having concentrating on achieving immediate objectives and masking prolonged learning or even the origins of the particular client’s issues (Kauffman, 2014). While it is as critical of self- discovery, it does not necessarily involve a search for the core self, feelings and circumstances surrounding the client, which are vital for sustainable performance. </w:t>
      </w:r>
    </w:p>
    <w:p w14:paraId="0A36D8EF" w14:textId="5F68F88E" w:rsidR="000A2861" w:rsidRPr="00F26A35" w:rsidRDefault="0069796C"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GROW model is ideal in cases where the client has to define a clear plan towards achieving set goals and objectives. It is most effective during performance improvement interventions including leadership training since the learner has to learn new skills and be able to demonstrate tangible results. For instance, in the workplace, GROW model can be applied to help an employee with communicating effectively, giving subsequent goals for enhancing communicational skills, identifying present issues with communicating, evaluating possible solutions, and planning to act (Whitmore, 2017). However, for more serious or self-image issues like change of jobs or personal identity, the GROW model may not be sufficiently effective in addressing the deeper emotional issues. Thus, employing the wider context of the client emotions may be required to provide a more extensive type of a coaching intervention.</w:t>
      </w:r>
    </w:p>
    <w:p w14:paraId="5B7D2B5D" w14:textId="1B06DDA2" w:rsidR="00EF3437" w:rsidRPr="00F26A35" w:rsidRDefault="003F6DBC" w:rsidP="00B90EAA">
      <w:pPr>
        <w:spacing w:line="480" w:lineRule="auto"/>
        <w:jc w:val="both"/>
        <w:rPr>
          <w:rFonts w:ascii="Times New Roman" w:hAnsi="Times New Roman" w:cs="Times New Roman"/>
          <w:b/>
          <w:bCs/>
          <w:sz w:val="24"/>
          <w:szCs w:val="24"/>
        </w:rPr>
      </w:pPr>
      <w:r w:rsidRPr="00F26A35">
        <w:rPr>
          <w:rFonts w:ascii="Times New Roman" w:hAnsi="Times New Roman" w:cs="Times New Roman"/>
          <w:b/>
          <w:bCs/>
          <w:sz w:val="24"/>
          <w:szCs w:val="24"/>
        </w:rPr>
        <w:t>Reflection On Activity</w:t>
      </w:r>
      <w:r w:rsidR="004E3B93">
        <w:rPr>
          <w:rFonts w:ascii="Times New Roman" w:hAnsi="Times New Roman" w:cs="Times New Roman"/>
          <w:b/>
          <w:bCs/>
          <w:sz w:val="24"/>
          <w:szCs w:val="24"/>
        </w:rPr>
        <w:t xml:space="preserve"> 1</w:t>
      </w:r>
    </w:p>
    <w:p w14:paraId="48D93AEB" w14:textId="0A8F238B" w:rsidR="003F6DBC" w:rsidRPr="003F6DBC" w:rsidRDefault="003F6DBC"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lastRenderedPageBreak/>
        <w:t>To reflect on my first assessed coaching experience, I will use the Rolfe et al. (2001) "What, So What, Now What" model, which offers a structured approach to learning from experience</w:t>
      </w:r>
      <w:r w:rsidR="001C6815" w:rsidRPr="00F26A35">
        <w:rPr>
          <w:rFonts w:ascii="Times New Roman" w:hAnsi="Times New Roman" w:cs="Times New Roman"/>
          <w:sz w:val="24"/>
          <w:szCs w:val="24"/>
        </w:rPr>
        <w:t xml:space="preserve"> (Roberts and Kumar, 2019)</w:t>
      </w:r>
      <w:r w:rsidRPr="003F6DBC">
        <w:rPr>
          <w:rFonts w:ascii="Times New Roman" w:hAnsi="Times New Roman" w:cs="Times New Roman"/>
          <w:sz w:val="24"/>
          <w:szCs w:val="24"/>
        </w:rPr>
        <w:t xml:space="preserve">. </w:t>
      </w:r>
    </w:p>
    <w:p w14:paraId="50B62023" w14:textId="54E0FC55" w:rsidR="003F6DBC" w:rsidRPr="003F6DBC" w:rsidRDefault="003F6DBC" w:rsidP="00B90EAA">
      <w:pPr>
        <w:spacing w:line="480" w:lineRule="auto"/>
        <w:jc w:val="both"/>
        <w:rPr>
          <w:rFonts w:ascii="Times New Roman" w:hAnsi="Times New Roman" w:cs="Times New Roman"/>
          <w:b/>
          <w:bCs/>
          <w:i/>
          <w:iCs/>
          <w:sz w:val="24"/>
          <w:szCs w:val="24"/>
        </w:rPr>
      </w:pPr>
      <w:r w:rsidRPr="003F6DBC">
        <w:rPr>
          <w:rFonts w:ascii="Times New Roman" w:hAnsi="Times New Roman" w:cs="Times New Roman"/>
          <w:b/>
          <w:bCs/>
          <w:i/>
          <w:iCs/>
          <w:sz w:val="24"/>
          <w:szCs w:val="24"/>
        </w:rPr>
        <w:t>What</w:t>
      </w:r>
    </w:p>
    <w:p w14:paraId="74DF7453" w14:textId="77777777" w:rsidR="007D7CD8" w:rsidRPr="007D7CD8" w:rsidRDefault="007D7CD8" w:rsidP="00B90EAA">
      <w:pPr>
        <w:spacing w:line="480" w:lineRule="auto"/>
        <w:jc w:val="both"/>
        <w:rPr>
          <w:rFonts w:ascii="Times New Roman" w:hAnsi="Times New Roman" w:cs="Times New Roman"/>
          <w:sz w:val="24"/>
          <w:szCs w:val="24"/>
        </w:rPr>
      </w:pPr>
      <w:r w:rsidRPr="007D7CD8">
        <w:rPr>
          <w:rFonts w:ascii="Times New Roman" w:hAnsi="Times New Roman" w:cs="Times New Roman"/>
          <w:sz w:val="24"/>
          <w:szCs w:val="24"/>
        </w:rPr>
        <w:t>In this coaching session, I used the GROW model as the fundamental framework of the conversation. The case for the session was based on a client who required help on how to effectively write professional development objectives. While talking with the client during the session, I used the “G” (Goal), “R” (Reality), and “O” (Options) to engage with the client and then launched a sequence of questions designed to make the client think more about their situation and potential future outcomes. During the interactions with the client, I also realized that the client was participating in the discussion and seemed to know how to get to the objectives. However, I failed to explore W (Will) stage in as much detail as I should have, which I will consider a weakness. In my view the session was good and I had a chance to initiate a coaching conversation with the client.</w:t>
      </w:r>
    </w:p>
    <w:p w14:paraId="3B7E7778" w14:textId="77777777" w:rsidR="007D7CD8" w:rsidRPr="004E3B93" w:rsidRDefault="007D7CD8" w:rsidP="00B90EAA">
      <w:pPr>
        <w:spacing w:line="480" w:lineRule="auto"/>
        <w:jc w:val="both"/>
        <w:rPr>
          <w:rFonts w:ascii="Times New Roman" w:hAnsi="Times New Roman" w:cs="Times New Roman"/>
          <w:b/>
          <w:bCs/>
          <w:i/>
          <w:iCs/>
          <w:sz w:val="24"/>
          <w:szCs w:val="24"/>
        </w:rPr>
      </w:pPr>
      <w:r w:rsidRPr="004E3B93">
        <w:rPr>
          <w:rFonts w:ascii="Times New Roman" w:hAnsi="Times New Roman" w:cs="Times New Roman"/>
          <w:b/>
          <w:bCs/>
          <w:i/>
          <w:iCs/>
          <w:sz w:val="24"/>
          <w:szCs w:val="24"/>
        </w:rPr>
        <w:t>So What</w:t>
      </w:r>
    </w:p>
    <w:p w14:paraId="7DBA1A9F" w14:textId="77777777" w:rsidR="007D7CD8" w:rsidRPr="007D7CD8" w:rsidRDefault="007D7CD8" w:rsidP="00B90EAA">
      <w:pPr>
        <w:spacing w:line="480" w:lineRule="auto"/>
        <w:jc w:val="both"/>
        <w:rPr>
          <w:rFonts w:ascii="Times New Roman" w:hAnsi="Times New Roman" w:cs="Times New Roman"/>
          <w:sz w:val="24"/>
          <w:szCs w:val="24"/>
        </w:rPr>
      </w:pPr>
      <w:r w:rsidRPr="007D7CD8">
        <w:rPr>
          <w:rFonts w:ascii="Times New Roman" w:hAnsi="Times New Roman" w:cs="Times New Roman"/>
          <w:sz w:val="24"/>
          <w:szCs w:val="24"/>
        </w:rPr>
        <w:t>The main message of the session is just to remain equitably engaged in all the phases of the GROW model. Throughout the implementation of the “Goal” and “Reality” questions, I was able to actively question the client, though I believe that in the “Options” and “Will” phases I could have been more beneficial by providing the client with specific advice on directions in which to focus. The feedback also stated that my follow-up questions were related to the model and were related to other relevant perspectives indicating that I was programming the client appropriately. Nevertheless, I also understand that my communication style might require some adjustments, specifically during the follow-up questioning, which might confuse the client with too much information.</w:t>
      </w:r>
    </w:p>
    <w:p w14:paraId="4F2F49A8" w14:textId="6AD86A9C" w:rsidR="003F6DBC" w:rsidRPr="003F6DBC" w:rsidRDefault="007D7CD8" w:rsidP="00B90EAA">
      <w:pPr>
        <w:spacing w:line="480" w:lineRule="auto"/>
        <w:jc w:val="both"/>
        <w:rPr>
          <w:rFonts w:ascii="Times New Roman" w:hAnsi="Times New Roman" w:cs="Times New Roman"/>
          <w:sz w:val="24"/>
          <w:szCs w:val="24"/>
        </w:rPr>
      </w:pPr>
      <w:r w:rsidRPr="007D7CD8">
        <w:rPr>
          <w:rFonts w:ascii="Times New Roman" w:hAnsi="Times New Roman" w:cs="Times New Roman"/>
          <w:sz w:val="24"/>
          <w:szCs w:val="24"/>
        </w:rPr>
        <w:lastRenderedPageBreak/>
        <w:t xml:space="preserve">From the received feedback I learned that I am good in listening, which is rather helpful during the coaching. I engaged the client in an empathic manner to ensure that they had their say on whatever was bothering them. </w:t>
      </w:r>
      <w:r w:rsidR="003F6DBC" w:rsidRPr="003F6DBC">
        <w:rPr>
          <w:rFonts w:ascii="Times New Roman" w:hAnsi="Times New Roman" w:cs="Times New Roman"/>
          <w:sz w:val="24"/>
          <w:szCs w:val="24"/>
        </w:rPr>
        <w:t>This established trust and encouraged the client to open up about their aspirations. However, in terms of practical application, the feedback suggested that I could have more effectively linked the questions to the timeframe in order to create a stronger sense of urgency for the client to act. The timeframe would have helped the client understand how to pace themselves in achieving their goals.</w:t>
      </w:r>
    </w:p>
    <w:p w14:paraId="64297ED5" w14:textId="02474012" w:rsidR="003F6DBC" w:rsidRPr="003F6DBC" w:rsidRDefault="003F6DBC" w:rsidP="00B90EAA">
      <w:pPr>
        <w:spacing w:line="480" w:lineRule="auto"/>
        <w:jc w:val="both"/>
        <w:rPr>
          <w:rFonts w:ascii="Times New Roman" w:hAnsi="Times New Roman" w:cs="Times New Roman"/>
          <w:b/>
          <w:bCs/>
          <w:i/>
          <w:iCs/>
          <w:sz w:val="24"/>
          <w:szCs w:val="24"/>
        </w:rPr>
      </w:pPr>
      <w:r w:rsidRPr="003F6DBC">
        <w:rPr>
          <w:rFonts w:ascii="Times New Roman" w:hAnsi="Times New Roman" w:cs="Times New Roman"/>
          <w:b/>
          <w:bCs/>
          <w:i/>
          <w:iCs/>
          <w:sz w:val="24"/>
          <w:szCs w:val="24"/>
        </w:rPr>
        <w:t>Now What</w:t>
      </w:r>
    </w:p>
    <w:p w14:paraId="762F331F" w14:textId="642FE6AA" w:rsidR="00DE3DAA" w:rsidRPr="00DE3DAA" w:rsidRDefault="00DE3DAA" w:rsidP="00B90EAA">
      <w:pPr>
        <w:spacing w:line="480" w:lineRule="auto"/>
        <w:jc w:val="both"/>
        <w:rPr>
          <w:rFonts w:ascii="Times New Roman" w:hAnsi="Times New Roman" w:cs="Times New Roman"/>
          <w:sz w:val="24"/>
          <w:szCs w:val="24"/>
        </w:rPr>
      </w:pPr>
      <w:r w:rsidRPr="00DE3DAA">
        <w:rPr>
          <w:rFonts w:ascii="Times New Roman" w:hAnsi="Times New Roman" w:cs="Times New Roman"/>
          <w:sz w:val="24"/>
          <w:szCs w:val="24"/>
        </w:rPr>
        <w:t xml:space="preserve">Subsequently, I will emphasize on my improvement of the “Options” and “Will” stages of the GROW model. I will try to focus on clearer questions, which will likely assist the client in making realistic </w:t>
      </w:r>
      <w:r w:rsidR="007320C4" w:rsidRPr="00DE3DAA">
        <w:rPr>
          <w:rFonts w:ascii="Times New Roman" w:hAnsi="Times New Roman" w:cs="Times New Roman"/>
          <w:sz w:val="24"/>
          <w:szCs w:val="24"/>
        </w:rPr>
        <w:t>behavioural</w:t>
      </w:r>
      <w:r w:rsidRPr="00DE3DAA">
        <w:rPr>
          <w:rFonts w:ascii="Times New Roman" w:hAnsi="Times New Roman" w:cs="Times New Roman"/>
          <w:sz w:val="24"/>
          <w:szCs w:val="24"/>
        </w:rPr>
        <w:t xml:space="preserve"> changes. For instance, I can be more specific in my questions such as the client’s plan to avoid the challenges and various ways they will have to demonstrate their progress with time. This will assist in providing a better direction to the client to follow since they will be more responsible for their development.</w:t>
      </w:r>
    </w:p>
    <w:p w14:paraId="3F31ABAD" w14:textId="0BC9275F" w:rsidR="003F6DBC" w:rsidRPr="003F6DBC" w:rsidRDefault="00DE3DAA" w:rsidP="00B90EAA">
      <w:pPr>
        <w:spacing w:line="480" w:lineRule="auto"/>
        <w:jc w:val="both"/>
        <w:rPr>
          <w:rFonts w:ascii="Times New Roman" w:hAnsi="Times New Roman" w:cs="Times New Roman"/>
          <w:sz w:val="24"/>
          <w:szCs w:val="24"/>
        </w:rPr>
      </w:pPr>
      <w:r w:rsidRPr="00DE3DAA">
        <w:rPr>
          <w:rFonts w:ascii="Times New Roman" w:hAnsi="Times New Roman" w:cs="Times New Roman"/>
          <w:sz w:val="24"/>
          <w:szCs w:val="24"/>
        </w:rPr>
        <w:t>Besides, I shall focus on the use of timeframes and deadlines while speaking with the client, should I have the chance, just to put some pressure on the client to get things done. I will also work on areas that affect my capacity to communicate effectively with the client such as honing my ability to ask questions that are short and straight to the point to avoid confusion that emanates from many choices. Last, I will remain a lifelong learner and work towards constant improvement regarding the coaching style and performance by soliciting feedback from both the clients and other coaches. This will enable me to develop in this line of coaching and serve the clients in a much better way as and when they contact me as compared to when I do not program my time.</w:t>
      </w:r>
    </w:p>
    <w:p w14:paraId="4D35F02B" w14:textId="57E6EE10" w:rsidR="003F6DBC" w:rsidRPr="00F26A35" w:rsidRDefault="003F6DBC" w:rsidP="00B90EAA">
      <w:pPr>
        <w:spacing w:line="480" w:lineRule="auto"/>
        <w:jc w:val="both"/>
        <w:rPr>
          <w:rFonts w:ascii="Times New Roman" w:hAnsi="Times New Roman" w:cs="Times New Roman"/>
          <w:b/>
          <w:bCs/>
          <w:sz w:val="24"/>
          <w:szCs w:val="24"/>
        </w:rPr>
      </w:pPr>
      <w:r w:rsidRPr="00F26A35">
        <w:rPr>
          <w:rFonts w:ascii="Times New Roman" w:hAnsi="Times New Roman" w:cs="Times New Roman"/>
          <w:b/>
          <w:bCs/>
          <w:sz w:val="24"/>
          <w:szCs w:val="24"/>
        </w:rPr>
        <w:t>Reflection of Activity 2</w:t>
      </w:r>
    </w:p>
    <w:p w14:paraId="531C8417" w14:textId="66DEA8AE" w:rsidR="003F6DBC" w:rsidRPr="003F6DBC" w:rsidRDefault="003F6DBC" w:rsidP="00B90EAA">
      <w:pPr>
        <w:spacing w:line="480" w:lineRule="auto"/>
        <w:jc w:val="both"/>
        <w:rPr>
          <w:rFonts w:ascii="Times New Roman" w:hAnsi="Times New Roman" w:cs="Times New Roman"/>
          <w:b/>
          <w:bCs/>
          <w:i/>
          <w:iCs/>
          <w:sz w:val="24"/>
          <w:szCs w:val="24"/>
        </w:rPr>
      </w:pPr>
      <w:r w:rsidRPr="003F6DBC">
        <w:rPr>
          <w:rFonts w:ascii="Times New Roman" w:hAnsi="Times New Roman" w:cs="Times New Roman"/>
          <w:b/>
          <w:bCs/>
          <w:i/>
          <w:iCs/>
          <w:sz w:val="24"/>
          <w:szCs w:val="24"/>
        </w:rPr>
        <w:lastRenderedPageBreak/>
        <w:t>What</w:t>
      </w:r>
    </w:p>
    <w:p w14:paraId="6CD7FD5C" w14:textId="77777777" w:rsidR="004E3B93" w:rsidRPr="004E3B93" w:rsidRDefault="004E3B93" w:rsidP="00B90EAA">
      <w:pPr>
        <w:spacing w:line="480" w:lineRule="auto"/>
        <w:jc w:val="both"/>
        <w:rPr>
          <w:rFonts w:ascii="Times New Roman" w:hAnsi="Times New Roman" w:cs="Times New Roman"/>
          <w:sz w:val="24"/>
          <w:szCs w:val="24"/>
        </w:rPr>
      </w:pPr>
      <w:r w:rsidRPr="004E3B93">
        <w:rPr>
          <w:rFonts w:ascii="Times New Roman" w:hAnsi="Times New Roman" w:cs="Times New Roman"/>
          <w:sz w:val="24"/>
          <w:szCs w:val="24"/>
        </w:rPr>
        <w:t>For this particular session, it was my goal to harness the mentorship and help the mentee broaden their confidence levels and the ways they communicate. I tried to use the elements of the Johari Window model, paying much attention to the public quadrant, which includes self-disclosure and feedback according to Robertson (2016). In a broad sense I attempted to make the mentee speak more about himself (thus increasing the public self) and to ask for as well as give feedbacks. However, the session felt somewhat fragmented as I went round on some topics of encouragement, confidence and means of communication several times without connecting them properly. My questioning, listening and body language including stroking and eye contact seemed to fare well but the session had not very clear objectives. Summarising was limited and I was not clear enough with instructions, so the feedback was not as useful in the mentee’s development as I wanted. This feedback given during the session showed that I had not registered some key aspects as a mentor such as always missing a chance to explain the rationale behind the particular exercise as well as not being very specific to guide the mentee on certain actions he or she should take.</w:t>
      </w:r>
    </w:p>
    <w:p w14:paraId="351FAC08" w14:textId="77777777" w:rsidR="004E3B93" w:rsidRPr="004E3B93" w:rsidRDefault="004E3B93" w:rsidP="00B90EAA">
      <w:pPr>
        <w:spacing w:line="480" w:lineRule="auto"/>
        <w:jc w:val="both"/>
        <w:rPr>
          <w:rFonts w:ascii="Times New Roman" w:hAnsi="Times New Roman" w:cs="Times New Roman"/>
          <w:sz w:val="24"/>
          <w:szCs w:val="24"/>
        </w:rPr>
      </w:pPr>
      <w:r w:rsidRPr="004E3B93">
        <w:rPr>
          <w:rFonts w:ascii="Times New Roman" w:hAnsi="Times New Roman" w:cs="Times New Roman"/>
          <w:b/>
          <w:bCs/>
          <w:i/>
          <w:iCs/>
          <w:sz w:val="24"/>
          <w:szCs w:val="24"/>
        </w:rPr>
        <w:t>So</w:t>
      </w:r>
      <w:r w:rsidRPr="004E3B93">
        <w:rPr>
          <w:rFonts w:ascii="Times New Roman" w:hAnsi="Times New Roman" w:cs="Times New Roman"/>
          <w:sz w:val="24"/>
          <w:szCs w:val="24"/>
        </w:rPr>
        <w:t xml:space="preserve"> </w:t>
      </w:r>
      <w:r w:rsidRPr="004E3B93">
        <w:rPr>
          <w:rFonts w:ascii="Times New Roman" w:hAnsi="Times New Roman" w:cs="Times New Roman"/>
          <w:b/>
          <w:bCs/>
          <w:i/>
          <w:iCs/>
          <w:sz w:val="24"/>
          <w:szCs w:val="24"/>
        </w:rPr>
        <w:t>What</w:t>
      </w:r>
    </w:p>
    <w:p w14:paraId="6271EAE6" w14:textId="3598A633" w:rsidR="004E3B93" w:rsidRPr="004E3B93" w:rsidRDefault="004E3B93" w:rsidP="00B90EAA">
      <w:pPr>
        <w:spacing w:line="480" w:lineRule="auto"/>
        <w:jc w:val="both"/>
        <w:rPr>
          <w:rFonts w:ascii="Times New Roman" w:hAnsi="Times New Roman" w:cs="Times New Roman"/>
          <w:sz w:val="24"/>
          <w:szCs w:val="24"/>
        </w:rPr>
      </w:pPr>
      <w:r w:rsidRPr="004E3B93">
        <w:rPr>
          <w:rFonts w:ascii="Times New Roman" w:hAnsi="Times New Roman" w:cs="Times New Roman"/>
          <w:sz w:val="24"/>
          <w:szCs w:val="24"/>
        </w:rPr>
        <w:t xml:space="preserve">Looking at the experience, it is clear that though I had energy, pace and even nonverbal communication was good the structure of the session was not well defined. The feedback given was that I was probably becoming repetitive and confusing as I was going in circles around ideas like encouragement and confidence without necessarily relating them with the needs of the mentee or the goal that we had set during development. This was significant given that it brought out a sense of confusion rather than the much-needed advancement in the conversation. Additionally, the feedback highlighted a missed opportunity to conceptualise a focus on the public quadrant within the Johari Window framework (Haddock-Millar and Tom, 2019). This </w:t>
      </w:r>
      <w:r w:rsidRPr="004E3B93">
        <w:rPr>
          <w:rFonts w:ascii="Times New Roman" w:hAnsi="Times New Roman" w:cs="Times New Roman"/>
          <w:sz w:val="24"/>
          <w:szCs w:val="24"/>
        </w:rPr>
        <w:lastRenderedPageBreak/>
        <w:t>would have assisted the mentee to gain more understanding on herself by having to share more about her which is crucial in creating confidence</w:t>
      </w:r>
      <w:r w:rsidR="003F6DBC" w:rsidRPr="003F6DBC">
        <w:rPr>
          <w:rFonts w:ascii="Times New Roman" w:hAnsi="Times New Roman" w:cs="Times New Roman"/>
          <w:sz w:val="24"/>
          <w:szCs w:val="24"/>
        </w:rPr>
        <w:t xml:space="preserve">. Additionally, by incorporating feedback from me and others, the mentee could have gained a more accurate understanding of their strengths and areas for development. </w:t>
      </w:r>
      <w:r w:rsidRPr="004E3B93">
        <w:rPr>
          <w:rFonts w:ascii="Times New Roman" w:hAnsi="Times New Roman" w:cs="Times New Roman"/>
          <w:sz w:val="24"/>
          <w:szCs w:val="24"/>
        </w:rPr>
        <w:t>By not posing questions that enhanced the disclosure and feedback dimensions, the mentee’s development was not adequately fostered during the course of the session. They include listening and communication skills since at one point, I receive information verbally. I made certain that the attaining of affirmation and recognition by the mentee was achieved; this allowed for the fostering of the right environment.</w:t>
      </w:r>
    </w:p>
    <w:p w14:paraId="474D684C" w14:textId="77777777" w:rsidR="004E3B93" w:rsidRPr="004E3B93" w:rsidRDefault="004E3B93" w:rsidP="00B90EAA">
      <w:pPr>
        <w:spacing w:line="480" w:lineRule="auto"/>
        <w:jc w:val="both"/>
        <w:rPr>
          <w:rFonts w:ascii="Times New Roman" w:hAnsi="Times New Roman" w:cs="Times New Roman"/>
          <w:b/>
          <w:bCs/>
          <w:i/>
          <w:iCs/>
          <w:sz w:val="24"/>
          <w:szCs w:val="24"/>
        </w:rPr>
      </w:pPr>
      <w:r w:rsidRPr="004E3B93">
        <w:rPr>
          <w:rFonts w:ascii="Times New Roman" w:hAnsi="Times New Roman" w:cs="Times New Roman"/>
          <w:b/>
          <w:bCs/>
          <w:i/>
          <w:iCs/>
          <w:sz w:val="24"/>
          <w:szCs w:val="24"/>
        </w:rPr>
        <w:t>Now What</w:t>
      </w:r>
    </w:p>
    <w:p w14:paraId="7FA71747" w14:textId="77777777" w:rsidR="004E3B93" w:rsidRPr="004E3B93" w:rsidRDefault="004E3B93" w:rsidP="00B90EAA">
      <w:pPr>
        <w:spacing w:line="480" w:lineRule="auto"/>
        <w:jc w:val="both"/>
        <w:rPr>
          <w:rFonts w:ascii="Times New Roman" w:hAnsi="Times New Roman" w:cs="Times New Roman"/>
          <w:sz w:val="24"/>
          <w:szCs w:val="24"/>
        </w:rPr>
      </w:pPr>
      <w:r w:rsidRPr="004E3B93">
        <w:rPr>
          <w:rFonts w:ascii="Times New Roman" w:hAnsi="Times New Roman" w:cs="Times New Roman"/>
          <w:sz w:val="24"/>
          <w:szCs w:val="24"/>
        </w:rPr>
        <w:t>Therefore, for future mentoring sessions, I will work on employing a more conceptual plan and setting more well-defined objectives. I will always make sure that each meeting has a key theme that will define what is to be discussed and what tangible steps should be taken next. To enhance the use of the Johari Window with the mentee, I will directly encourage the sharing of information by using questions that will make the mentee reveal information. For instance, I might ask “Would you mind describing one example of a time that you felt confident” or “What do you think people could do that would be most helpful to you.”</w:t>
      </w:r>
    </w:p>
    <w:p w14:paraId="48528ADB" w14:textId="6938A833" w:rsidR="003F6DBC" w:rsidRPr="001C018D" w:rsidRDefault="004E3B93" w:rsidP="00B90EAA">
      <w:pPr>
        <w:spacing w:line="480" w:lineRule="auto"/>
        <w:jc w:val="both"/>
        <w:rPr>
          <w:rFonts w:ascii="Times New Roman" w:hAnsi="Times New Roman" w:cs="Times New Roman"/>
          <w:sz w:val="24"/>
          <w:szCs w:val="24"/>
        </w:rPr>
      </w:pPr>
      <w:r w:rsidRPr="004E3B93">
        <w:rPr>
          <w:rFonts w:ascii="Times New Roman" w:hAnsi="Times New Roman" w:cs="Times New Roman"/>
          <w:sz w:val="24"/>
          <w:szCs w:val="24"/>
        </w:rPr>
        <w:t>Also, in the next session, I will ensure that the process of summarization is done more frequently to ensure that the objectives, discussions, and ideas covered are well understood by both the mentee and myself. It will also help the mentee to consolidate the impressions that she has gained about what was said, and make the tasks easier to implement. I will also ensure that I ask the mentee questions concerning the session in order to make them more comfortable with their own self- development needs. Finally, I will use more specific feedback in the discussion and will encourage the mentee to get information from other sources, including colleagues or peers.</w:t>
      </w:r>
    </w:p>
    <w:p w14:paraId="04EB865F" w14:textId="494F7A23" w:rsidR="00EA06E8" w:rsidRPr="00F26A35" w:rsidRDefault="00EA06E8" w:rsidP="00B90EAA">
      <w:pPr>
        <w:spacing w:line="480" w:lineRule="auto"/>
        <w:jc w:val="both"/>
        <w:rPr>
          <w:rFonts w:ascii="Times New Roman" w:hAnsi="Times New Roman" w:cs="Times New Roman"/>
          <w:sz w:val="24"/>
          <w:szCs w:val="24"/>
        </w:rPr>
      </w:pPr>
    </w:p>
    <w:p w14:paraId="004C83CD" w14:textId="77777777" w:rsidR="00EA06E8" w:rsidRPr="00F26A35" w:rsidRDefault="00EA06E8"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br w:type="page"/>
      </w:r>
    </w:p>
    <w:p w14:paraId="4FEA0A34" w14:textId="1E0937FC" w:rsidR="00576E9D" w:rsidRPr="00F26A35" w:rsidRDefault="00EA06E8" w:rsidP="00B90EAA">
      <w:pPr>
        <w:spacing w:line="480" w:lineRule="auto"/>
        <w:jc w:val="both"/>
        <w:rPr>
          <w:rFonts w:ascii="Times New Roman" w:hAnsi="Times New Roman" w:cs="Times New Roman"/>
          <w:b/>
          <w:bCs/>
          <w:sz w:val="24"/>
          <w:szCs w:val="24"/>
        </w:rPr>
      </w:pPr>
      <w:r w:rsidRPr="00F26A35">
        <w:rPr>
          <w:rFonts w:ascii="Times New Roman" w:hAnsi="Times New Roman" w:cs="Times New Roman"/>
          <w:b/>
          <w:bCs/>
          <w:sz w:val="24"/>
          <w:szCs w:val="24"/>
        </w:rPr>
        <w:lastRenderedPageBreak/>
        <w:t>References</w:t>
      </w:r>
    </w:p>
    <w:p w14:paraId="3E231719"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Eby, L. T., Allen, T. D., Evans, S. C., Ng, T., &amp; DuBois, L. (2008). Does mentoring matter? A multidisciplinary meta-analysis comparing mentored and non-mentored individuals. Journal of Vocational Behavior, 72(2), 254–267.</w:t>
      </w:r>
    </w:p>
    <w:p w14:paraId="6339FF9C"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Feldman, D. C., &amp; Lankau, M. J. (2005). Executive coaching: A review and agenda for future research. Journal of Management, 31(6), 829-848.</w:t>
      </w:r>
    </w:p>
    <w:p w14:paraId="430FE23B"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Grant, A. M. (2014). </w:t>
      </w:r>
      <w:r w:rsidRPr="003F6DBC">
        <w:rPr>
          <w:rFonts w:ascii="Times New Roman" w:hAnsi="Times New Roman" w:cs="Times New Roman"/>
          <w:i/>
          <w:iCs/>
          <w:sz w:val="24"/>
          <w:szCs w:val="24"/>
        </w:rPr>
        <w:t>The third 'generation' of workplace coaching: Creating a culture of quality conversations</w:t>
      </w:r>
      <w:r w:rsidRPr="003F6DBC">
        <w:rPr>
          <w:rFonts w:ascii="Times New Roman" w:hAnsi="Times New Roman" w:cs="Times New Roman"/>
          <w:sz w:val="24"/>
          <w:szCs w:val="24"/>
        </w:rPr>
        <w:t xml:space="preserve">. In </w:t>
      </w:r>
      <w:r w:rsidRPr="003F6DBC">
        <w:rPr>
          <w:rFonts w:ascii="Times New Roman" w:hAnsi="Times New Roman" w:cs="Times New Roman"/>
          <w:i/>
          <w:iCs/>
          <w:sz w:val="24"/>
          <w:szCs w:val="24"/>
        </w:rPr>
        <w:t>The Wiley-Blackwell Handbook of the Psychology of Coaching and Mentoring</w:t>
      </w:r>
      <w:r w:rsidRPr="003F6DBC">
        <w:rPr>
          <w:rFonts w:ascii="Times New Roman" w:hAnsi="Times New Roman" w:cs="Times New Roman"/>
          <w:sz w:val="24"/>
          <w:szCs w:val="24"/>
        </w:rPr>
        <w:t xml:space="preserve"> (pp. 295-315). Wiley Blackwell.</w:t>
      </w:r>
    </w:p>
    <w:p w14:paraId="5366D41D"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Grant, A. M. (2017). The third 'generation' of workplace coaching: Creating a culture of quality conversations. In The Wiley-Blackwell handbook of the psychology of coaching and mentoring (pp. 295-315). Wiley Blackwell.</w:t>
      </w:r>
    </w:p>
    <w:p w14:paraId="2AE43ED8"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Haddock-Millar, J. and Tom, E. (2019) </w:t>
      </w:r>
      <w:r w:rsidRPr="003F6DBC">
        <w:rPr>
          <w:rFonts w:ascii="Times New Roman" w:hAnsi="Times New Roman" w:cs="Times New Roman"/>
          <w:i/>
          <w:iCs/>
          <w:sz w:val="24"/>
          <w:szCs w:val="24"/>
        </w:rPr>
        <w:t>Coaching and Mentoring for Work-Life Balance</w:t>
      </w:r>
      <w:r w:rsidRPr="003F6DBC">
        <w:rPr>
          <w:rFonts w:ascii="Times New Roman" w:hAnsi="Times New Roman" w:cs="Times New Roman"/>
          <w:sz w:val="24"/>
          <w:szCs w:val="24"/>
        </w:rPr>
        <w:t>. Routledge.</w:t>
      </w:r>
    </w:p>
    <w:p w14:paraId="114BA3F0"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Holmes, M. (2014) “Beyond goals: effective strategies for coaching and mentoring,” </w:t>
      </w:r>
      <w:r w:rsidRPr="003F6DBC">
        <w:rPr>
          <w:rFonts w:ascii="Times New Roman" w:hAnsi="Times New Roman" w:cs="Times New Roman"/>
          <w:i/>
          <w:iCs/>
          <w:sz w:val="24"/>
          <w:szCs w:val="24"/>
        </w:rPr>
        <w:t>Action Learning Research and Practice</w:t>
      </w:r>
      <w:r w:rsidRPr="003F6DBC">
        <w:rPr>
          <w:rFonts w:ascii="Times New Roman" w:hAnsi="Times New Roman" w:cs="Times New Roman"/>
          <w:sz w:val="24"/>
          <w:szCs w:val="24"/>
        </w:rPr>
        <w:t xml:space="preserve">, 11(3), pp. 395–399. Available at: </w:t>
      </w:r>
      <w:hyperlink r:id="rId7" w:history="1">
        <w:r w:rsidRPr="003F6DBC">
          <w:rPr>
            <w:rStyle w:val="Hyperlink"/>
            <w:rFonts w:ascii="Times New Roman" w:hAnsi="Times New Roman" w:cs="Times New Roman"/>
            <w:sz w:val="24"/>
            <w:szCs w:val="24"/>
          </w:rPr>
          <w:t>https://doi.org/10.1080/14767333.2014.965025</w:t>
        </w:r>
      </w:hyperlink>
      <w:r w:rsidRPr="003F6DBC">
        <w:rPr>
          <w:rFonts w:ascii="Times New Roman" w:hAnsi="Times New Roman" w:cs="Times New Roman"/>
          <w:sz w:val="24"/>
          <w:szCs w:val="24"/>
        </w:rPr>
        <w:t>.</w:t>
      </w:r>
      <w:r w:rsidRPr="00F26A35">
        <w:rPr>
          <w:rFonts w:ascii="Times New Roman" w:hAnsi="Times New Roman" w:cs="Times New Roman"/>
          <w:sz w:val="24"/>
          <w:szCs w:val="24"/>
        </w:rPr>
        <w:t xml:space="preserve"> </w:t>
      </w:r>
    </w:p>
    <w:p w14:paraId="1DDCDBE5"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Kauffman, C. (2014). </w:t>
      </w:r>
      <w:r w:rsidRPr="003F6DBC">
        <w:rPr>
          <w:rFonts w:ascii="Times New Roman" w:hAnsi="Times New Roman" w:cs="Times New Roman"/>
          <w:i/>
          <w:iCs/>
          <w:sz w:val="24"/>
          <w:szCs w:val="24"/>
        </w:rPr>
        <w:t>Coaching and mentoring: A critique of the GROW model</w:t>
      </w:r>
      <w:r w:rsidRPr="003F6DBC">
        <w:rPr>
          <w:rFonts w:ascii="Times New Roman" w:hAnsi="Times New Roman" w:cs="Times New Roman"/>
          <w:sz w:val="24"/>
          <w:szCs w:val="24"/>
        </w:rPr>
        <w:t>. Journal of Organizational Behavior, 35(5), 1-10.</w:t>
      </w:r>
    </w:p>
    <w:p w14:paraId="3CECB263"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Kram, K. E. (1985). Mentoring at work: Developmental relationships in organizational life. Scott Foresman.</w:t>
      </w:r>
    </w:p>
    <w:p w14:paraId="5F8463C5"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lastRenderedPageBreak/>
        <w:t>Ladegard, G., &amp; Gjerde, S. (2014). Leadership coaching, leader role-efficacy, and trust in subordinates: A mixed methods study assessing leadership coaching as a leadership development tool. The Leadership Quarterly, 25(4), 631-646.</w:t>
      </w:r>
    </w:p>
    <w:p w14:paraId="74F4544E"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Ladyshewsky, R. K. (2010). </w:t>
      </w:r>
      <w:r w:rsidRPr="003F6DBC">
        <w:rPr>
          <w:rFonts w:ascii="Times New Roman" w:hAnsi="Times New Roman" w:cs="Times New Roman"/>
          <w:i/>
          <w:iCs/>
          <w:sz w:val="24"/>
          <w:szCs w:val="24"/>
        </w:rPr>
        <w:t>The effectiveness of executive coaching in facilitating leadership development</w:t>
      </w:r>
      <w:r w:rsidRPr="003F6DBC">
        <w:rPr>
          <w:rFonts w:ascii="Times New Roman" w:hAnsi="Times New Roman" w:cs="Times New Roman"/>
          <w:sz w:val="24"/>
          <w:szCs w:val="24"/>
        </w:rPr>
        <w:t>. International Journal of Evidence-Based Coaching and Mentoring, 8(2), 14-34.</w:t>
      </w:r>
    </w:p>
    <w:p w14:paraId="5C532913"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Lancer, N., Clutterbuck, D. and Megginson, D. (2016) </w:t>
      </w:r>
      <w:r w:rsidRPr="003F6DBC">
        <w:rPr>
          <w:rFonts w:ascii="Times New Roman" w:hAnsi="Times New Roman" w:cs="Times New Roman"/>
          <w:i/>
          <w:iCs/>
          <w:sz w:val="24"/>
          <w:szCs w:val="24"/>
        </w:rPr>
        <w:t>Techniques for Coaching and Mentoring</w:t>
      </w:r>
      <w:r w:rsidRPr="003F6DBC">
        <w:rPr>
          <w:rFonts w:ascii="Times New Roman" w:hAnsi="Times New Roman" w:cs="Times New Roman"/>
          <w:sz w:val="24"/>
          <w:szCs w:val="24"/>
        </w:rPr>
        <w:t xml:space="preserve">, </w:t>
      </w:r>
      <w:r w:rsidRPr="003F6DBC">
        <w:rPr>
          <w:rFonts w:ascii="Times New Roman" w:hAnsi="Times New Roman" w:cs="Times New Roman"/>
          <w:i/>
          <w:iCs/>
          <w:sz w:val="24"/>
          <w:szCs w:val="24"/>
        </w:rPr>
        <w:t>Routledge eBooks</w:t>
      </w:r>
      <w:r w:rsidRPr="003F6DBC">
        <w:rPr>
          <w:rFonts w:ascii="Times New Roman" w:hAnsi="Times New Roman" w:cs="Times New Roman"/>
          <w:sz w:val="24"/>
          <w:szCs w:val="24"/>
        </w:rPr>
        <w:t xml:space="preserve">. Available at: </w:t>
      </w:r>
      <w:hyperlink r:id="rId8" w:history="1">
        <w:r w:rsidRPr="003F6DBC">
          <w:rPr>
            <w:rStyle w:val="Hyperlink"/>
            <w:rFonts w:ascii="Times New Roman" w:hAnsi="Times New Roman" w:cs="Times New Roman"/>
            <w:sz w:val="24"/>
            <w:szCs w:val="24"/>
          </w:rPr>
          <w:t>https://doi.org/10.4324/9781315691251</w:t>
        </w:r>
      </w:hyperlink>
      <w:r w:rsidRPr="003F6DBC">
        <w:rPr>
          <w:rFonts w:ascii="Times New Roman" w:hAnsi="Times New Roman" w:cs="Times New Roman"/>
          <w:sz w:val="24"/>
          <w:szCs w:val="24"/>
        </w:rPr>
        <w:t>.</w:t>
      </w:r>
      <w:r w:rsidRPr="00F26A35">
        <w:rPr>
          <w:rFonts w:ascii="Times New Roman" w:hAnsi="Times New Roman" w:cs="Times New Roman"/>
          <w:sz w:val="24"/>
          <w:szCs w:val="24"/>
        </w:rPr>
        <w:t xml:space="preserve"> </w:t>
      </w:r>
    </w:p>
    <w:p w14:paraId="7D5B97BD" w14:textId="77777777" w:rsidR="00F26A35" w:rsidRPr="003F6DBC"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MacLennan, N. (2017) </w:t>
      </w:r>
      <w:r w:rsidRPr="003F6DBC">
        <w:rPr>
          <w:rFonts w:ascii="Times New Roman" w:hAnsi="Times New Roman" w:cs="Times New Roman"/>
          <w:i/>
          <w:iCs/>
          <w:sz w:val="24"/>
          <w:szCs w:val="24"/>
        </w:rPr>
        <w:t>Coaching and Mentoring</w:t>
      </w:r>
      <w:r w:rsidRPr="003F6DBC">
        <w:rPr>
          <w:rFonts w:ascii="Times New Roman" w:hAnsi="Times New Roman" w:cs="Times New Roman"/>
          <w:sz w:val="24"/>
          <w:szCs w:val="24"/>
        </w:rPr>
        <w:t>. Routledge.</w:t>
      </w:r>
    </w:p>
    <w:p w14:paraId="3DD925B2"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Panchal, S. and Riddell, P. (2020) “The GROWS model: Extending the GROW coaching model to support behavioural change,” </w:t>
      </w:r>
      <w:r w:rsidRPr="00F26A35">
        <w:rPr>
          <w:rFonts w:ascii="Times New Roman" w:hAnsi="Times New Roman" w:cs="Times New Roman"/>
          <w:i/>
          <w:iCs/>
          <w:sz w:val="24"/>
          <w:szCs w:val="24"/>
        </w:rPr>
        <w:t>The Coaching Psychologist</w:t>
      </w:r>
      <w:r w:rsidRPr="00F26A35">
        <w:rPr>
          <w:rFonts w:ascii="Times New Roman" w:hAnsi="Times New Roman" w:cs="Times New Roman"/>
          <w:sz w:val="24"/>
          <w:szCs w:val="24"/>
        </w:rPr>
        <w:t xml:space="preserve">, 16(2), pp. 12–24. Available at: </w:t>
      </w:r>
      <w:hyperlink r:id="rId9" w:history="1">
        <w:r w:rsidRPr="00F26A35">
          <w:rPr>
            <w:rStyle w:val="Hyperlink"/>
            <w:rFonts w:ascii="Times New Roman" w:hAnsi="Times New Roman" w:cs="Times New Roman"/>
            <w:sz w:val="24"/>
            <w:szCs w:val="24"/>
          </w:rPr>
          <w:t>https://doi.org/10.53841/bpstcp.2020.16.2.12</w:t>
        </w:r>
      </w:hyperlink>
      <w:r w:rsidRPr="00F26A35">
        <w:rPr>
          <w:rFonts w:ascii="Times New Roman" w:hAnsi="Times New Roman" w:cs="Times New Roman"/>
          <w:sz w:val="24"/>
          <w:szCs w:val="24"/>
        </w:rPr>
        <w:t xml:space="preserve">. </w:t>
      </w:r>
    </w:p>
    <w:p w14:paraId="4E87F734"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Roberts, R. and Kumar, B. (2019) “Clinical reflective practice,” </w:t>
      </w:r>
      <w:r w:rsidRPr="00F26A35">
        <w:rPr>
          <w:rFonts w:ascii="Times New Roman" w:hAnsi="Times New Roman" w:cs="Times New Roman"/>
          <w:i/>
          <w:iCs/>
          <w:sz w:val="24"/>
          <w:szCs w:val="24"/>
        </w:rPr>
        <w:t>The Obstetrician &amp; Gynaecologist</w:t>
      </w:r>
      <w:r w:rsidRPr="00F26A35">
        <w:rPr>
          <w:rFonts w:ascii="Times New Roman" w:hAnsi="Times New Roman" w:cs="Times New Roman"/>
          <w:sz w:val="24"/>
          <w:szCs w:val="24"/>
        </w:rPr>
        <w:t xml:space="preserve">, 22(1), pp. 75–82. Available at: </w:t>
      </w:r>
      <w:hyperlink r:id="rId10" w:history="1">
        <w:r w:rsidRPr="00F26A35">
          <w:rPr>
            <w:rStyle w:val="Hyperlink"/>
            <w:rFonts w:ascii="Times New Roman" w:hAnsi="Times New Roman" w:cs="Times New Roman"/>
            <w:sz w:val="24"/>
            <w:szCs w:val="24"/>
          </w:rPr>
          <w:t>https://doi.org/10.1111/tog.12625</w:t>
        </w:r>
      </w:hyperlink>
      <w:r w:rsidRPr="00F26A35">
        <w:rPr>
          <w:rFonts w:ascii="Times New Roman" w:hAnsi="Times New Roman" w:cs="Times New Roman"/>
          <w:sz w:val="24"/>
          <w:szCs w:val="24"/>
        </w:rPr>
        <w:t xml:space="preserve">. </w:t>
      </w:r>
    </w:p>
    <w:p w14:paraId="5123620D"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 xml:space="preserve">Robertson, F. (2016) “The Johari Window,” </w:t>
      </w:r>
      <w:r w:rsidRPr="00F26A35">
        <w:rPr>
          <w:rFonts w:ascii="Times New Roman" w:hAnsi="Times New Roman" w:cs="Times New Roman"/>
          <w:i/>
          <w:iCs/>
          <w:sz w:val="24"/>
          <w:szCs w:val="24"/>
        </w:rPr>
        <w:t>Coaching and Mentoring</w:t>
      </w:r>
      <w:r w:rsidRPr="00F26A35">
        <w:rPr>
          <w:rFonts w:ascii="Times New Roman" w:hAnsi="Times New Roman" w:cs="Times New Roman"/>
          <w:sz w:val="24"/>
          <w:szCs w:val="24"/>
        </w:rPr>
        <w:t xml:space="preserve">, pp. 163–168. Available at: </w:t>
      </w:r>
      <w:hyperlink r:id="rId11" w:history="1">
        <w:r w:rsidRPr="00F26A35">
          <w:rPr>
            <w:rStyle w:val="Hyperlink"/>
            <w:rFonts w:ascii="Times New Roman" w:hAnsi="Times New Roman" w:cs="Times New Roman"/>
            <w:sz w:val="24"/>
            <w:szCs w:val="24"/>
          </w:rPr>
          <w:t>https://doi.org/10.4324/9781315585697-22</w:t>
        </w:r>
      </w:hyperlink>
      <w:r w:rsidRPr="00F26A35">
        <w:rPr>
          <w:rFonts w:ascii="Times New Roman" w:hAnsi="Times New Roman" w:cs="Times New Roman"/>
          <w:sz w:val="24"/>
          <w:szCs w:val="24"/>
        </w:rPr>
        <w:t xml:space="preserve">. </w:t>
      </w:r>
    </w:p>
    <w:p w14:paraId="55757698" w14:textId="77777777" w:rsidR="00F26A35" w:rsidRPr="00F26A35" w:rsidRDefault="00F26A35" w:rsidP="00B90EAA">
      <w:pPr>
        <w:spacing w:line="480" w:lineRule="auto"/>
        <w:jc w:val="both"/>
        <w:rPr>
          <w:rFonts w:ascii="Times New Roman" w:hAnsi="Times New Roman" w:cs="Times New Roman"/>
          <w:sz w:val="24"/>
          <w:szCs w:val="24"/>
        </w:rPr>
      </w:pPr>
      <w:r w:rsidRPr="00F26A35">
        <w:rPr>
          <w:rFonts w:ascii="Times New Roman" w:hAnsi="Times New Roman" w:cs="Times New Roman"/>
          <w:sz w:val="24"/>
          <w:szCs w:val="24"/>
        </w:rPr>
        <w:t>Rolfe, G., Jasper, M., &amp; Freshwater, D. (2001). Critical reflection in nursing and the helping professions: A user-friendly guide. Palgrave Macmillan.</w:t>
      </w:r>
    </w:p>
    <w:p w14:paraId="4025BF45" w14:textId="25033385" w:rsidR="00EA06E8" w:rsidRPr="00F26A35" w:rsidRDefault="00F26A35" w:rsidP="00B90EAA">
      <w:pPr>
        <w:spacing w:line="480" w:lineRule="auto"/>
        <w:jc w:val="both"/>
        <w:rPr>
          <w:rFonts w:ascii="Times New Roman" w:hAnsi="Times New Roman" w:cs="Times New Roman"/>
          <w:sz w:val="24"/>
          <w:szCs w:val="24"/>
        </w:rPr>
      </w:pPr>
      <w:r w:rsidRPr="003F6DBC">
        <w:rPr>
          <w:rFonts w:ascii="Times New Roman" w:hAnsi="Times New Roman" w:cs="Times New Roman"/>
          <w:sz w:val="24"/>
          <w:szCs w:val="24"/>
        </w:rPr>
        <w:t xml:space="preserve">Whitmore, J. (2017). </w:t>
      </w:r>
      <w:r w:rsidRPr="003F6DBC">
        <w:rPr>
          <w:rFonts w:ascii="Times New Roman" w:hAnsi="Times New Roman" w:cs="Times New Roman"/>
          <w:i/>
          <w:iCs/>
          <w:sz w:val="24"/>
          <w:szCs w:val="24"/>
        </w:rPr>
        <w:t>Coaching for performance: GROWing human potential and purpose</w:t>
      </w:r>
      <w:r w:rsidRPr="003F6DBC">
        <w:rPr>
          <w:rFonts w:ascii="Times New Roman" w:hAnsi="Times New Roman" w:cs="Times New Roman"/>
          <w:sz w:val="24"/>
          <w:szCs w:val="24"/>
        </w:rPr>
        <w:t>. Nicholas Brealey Publishing.</w:t>
      </w:r>
    </w:p>
    <w:sectPr w:rsidR="00EA06E8" w:rsidRPr="00F26A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F03CF"/>
    <w:multiLevelType w:val="multilevel"/>
    <w:tmpl w:val="BC76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E9D"/>
    <w:rsid w:val="000A2861"/>
    <w:rsid w:val="001C018D"/>
    <w:rsid w:val="001C6815"/>
    <w:rsid w:val="001D1CB5"/>
    <w:rsid w:val="00272C7D"/>
    <w:rsid w:val="003B29CE"/>
    <w:rsid w:val="003F6DBC"/>
    <w:rsid w:val="004E3B93"/>
    <w:rsid w:val="004F1077"/>
    <w:rsid w:val="0051435F"/>
    <w:rsid w:val="00576E9D"/>
    <w:rsid w:val="005870B6"/>
    <w:rsid w:val="005A39D9"/>
    <w:rsid w:val="005E4CD0"/>
    <w:rsid w:val="00664506"/>
    <w:rsid w:val="006961F6"/>
    <w:rsid w:val="0069796C"/>
    <w:rsid w:val="007320C4"/>
    <w:rsid w:val="007D7CD8"/>
    <w:rsid w:val="007F3BA0"/>
    <w:rsid w:val="007F6642"/>
    <w:rsid w:val="008C6035"/>
    <w:rsid w:val="008E6CDF"/>
    <w:rsid w:val="009668C0"/>
    <w:rsid w:val="00A112F0"/>
    <w:rsid w:val="00A54B98"/>
    <w:rsid w:val="00A63235"/>
    <w:rsid w:val="00A65F69"/>
    <w:rsid w:val="00A771B9"/>
    <w:rsid w:val="00AC7F18"/>
    <w:rsid w:val="00B90EAA"/>
    <w:rsid w:val="00BD053C"/>
    <w:rsid w:val="00BF26B7"/>
    <w:rsid w:val="00C341CD"/>
    <w:rsid w:val="00C366B7"/>
    <w:rsid w:val="00C95AB3"/>
    <w:rsid w:val="00CA0C3B"/>
    <w:rsid w:val="00D000AD"/>
    <w:rsid w:val="00DB5246"/>
    <w:rsid w:val="00DE3DAA"/>
    <w:rsid w:val="00E21E3C"/>
    <w:rsid w:val="00E45F2B"/>
    <w:rsid w:val="00EA06E8"/>
    <w:rsid w:val="00EF3437"/>
    <w:rsid w:val="00F26A35"/>
    <w:rsid w:val="00F2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A0DB7"/>
  <w15:chartTrackingRefBased/>
  <w15:docId w15:val="{975B44C7-F6B5-47FB-93DE-34A76FDA9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018D"/>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C95AB3"/>
    <w:rPr>
      <w:sz w:val="16"/>
      <w:szCs w:val="16"/>
    </w:rPr>
  </w:style>
  <w:style w:type="paragraph" w:styleId="CommentText">
    <w:name w:val="annotation text"/>
    <w:basedOn w:val="Normal"/>
    <w:link w:val="CommentTextChar"/>
    <w:uiPriority w:val="99"/>
    <w:semiHidden/>
    <w:unhideWhenUsed/>
    <w:rsid w:val="00C95AB3"/>
    <w:pPr>
      <w:spacing w:line="240" w:lineRule="auto"/>
    </w:pPr>
    <w:rPr>
      <w:sz w:val="20"/>
      <w:szCs w:val="20"/>
    </w:rPr>
  </w:style>
  <w:style w:type="character" w:customStyle="1" w:styleId="CommentTextChar">
    <w:name w:val="Comment Text Char"/>
    <w:basedOn w:val="DefaultParagraphFont"/>
    <w:link w:val="CommentText"/>
    <w:uiPriority w:val="99"/>
    <w:semiHidden/>
    <w:rsid w:val="00C95AB3"/>
    <w:rPr>
      <w:sz w:val="20"/>
      <w:szCs w:val="20"/>
    </w:rPr>
  </w:style>
  <w:style w:type="paragraph" w:styleId="CommentSubject">
    <w:name w:val="annotation subject"/>
    <w:basedOn w:val="CommentText"/>
    <w:next w:val="CommentText"/>
    <w:link w:val="CommentSubjectChar"/>
    <w:uiPriority w:val="99"/>
    <w:semiHidden/>
    <w:unhideWhenUsed/>
    <w:rsid w:val="00C95AB3"/>
    <w:rPr>
      <w:b/>
      <w:bCs/>
    </w:rPr>
  </w:style>
  <w:style w:type="character" w:customStyle="1" w:styleId="CommentSubjectChar">
    <w:name w:val="Comment Subject Char"/>
    <w:basedOn w:val="CommentTextChar"/>
    <w:link w:val="CommentSubject"/>
    <w:uiPriority w:val="99"/>
    <w:semiHidden/>
    <w:rsid w:val="00C95AB3"/>
    <w:rPr>
      <w:b/>
      <w:bCs/>
      <w:sz w:val="20"/>
      <w:szCs w:val="20"/>
    </w:rPr>
  </w:style>
  <w:style w:type="character" w:styleId="Hyperlink">
    <w:name w:val="Hyperlink"/>
    <w:basedOn w:val="DefaultParagraphFont"/>
    <w:uiPriority w:val="99"/>
    <w:unhideWhenUsed/>
    <w:rsid w:val="003F6DBC"/>
    <w:rPr>
      <w:color w:val="0563C1" w:themeColor="hyperlink"/>
      <w:u w:val="single"/>
    </w:rPr>
  </w:style>
  <w:style w:type="character" w:styleId="UnresolvedMention">
    <w:name w:val="Unresolved Mention"/>
    <w:basedOn w:val="DefaultParagraphFont"/>
    <w:uiPriority w:val="99"/>
    <w:semiHidden/>
    <w:unhideWhenUsed/>
    <w:rsid w:val="003F6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9875">
      <w:bodyDiv w:val="1"/>
      <w:marLeft w:val="0"/>
      <w:marRight w:val="0"/>
      <w:marTop w:val="0"/>
      <w:marBottom w:val="0"/>
      <w:divBdr>
        <w:top w:val="none" w:sz="0" w:space="0" w:color="auto"/>
        <w:left w:val="none" w:sz="0" w:space="0" w:color="auto"/>
        <w:bottom w:val="none" w:sz="0" w:space="0" w:color="auto"/>
        <w:right w:val="none" w:sz="0" w:space="0" w:color="auto"/>
      </w:divBdr>
    </w:div>
    <w:div w:id="100925519">
      <w:bodyDiv w:val="1"/>
      <w:marLeft w:val="0"/>
      <w:marRight w:val="0"/>
      <w:marTop w:val="0"/>
      <w:marBottom w:val="0"/>
      <w:divBdr>
        <w:top w:val="none" w:sz="0" w:space="0" w:color="auto"/>
        <w:left w:val="none" w:sz="0" w:space="0" w:color="auto"/>
        <w:bottom w:val="none" w:sz="0" w:space="0" w:color="auto"/>
        <w:right w:val="none" w:sz="0" w:space="0" w:color="auto"/>
      </w:divBdr>
    </w:div>
    <w:div w:id="110982546">
      <w:bodyDiv w:val="1"/>
      <w:marLeft w:val="0"/>
      <w:marRight w:val="0"/>
      <w:marTop w:val="0"/>
      <w:marBottom w:val="0"/>
      <w:divBdr>
        <w:top w:val="none" w:sz="0" w:space="0" w:color="auto"/>
        <w:left w:val="none" w:sz="0" w:space="0" w:color="auto"/>
        <w:bottom w:val="none" w:sz="0" w:space="0" w:color="auto"/>
        <w:right w:val="none" w:sz="0" w:space="0" w:color="auto"/>
      </w:divBdr>
    </w:div>
    <w:div w:id="126628609">
      <w:bodyDiv w:val="1"/>
      <w:marLeft w:val="0"/>
      <w:marRight w:val="0"/>
      <w:marTop w:val="0"/>
      <w:marBottom w:val="0"/>
      <w:divBdr>
        <w:top w:val="none" w:sz="0" w:space="0" w:color="auto"/>
        <w:left w:val="none" w:sz="0" w:space="0" w:color="auto"/>
        <w:bottom w:val="none" w:sz="0" w:space="0" w:color="auto"/>
        <w:right w:val="none" w:sz="0" w:space="0" w:color="auto"/>
      </w:divBdr>
      <w:divsChild>
        <w:div w:id="1569414611">
          <w:marLeft w:val="-720"/>
          <w:marRight w:val="0"/>
          <w:marTop w:val="0"/>
          <w:marBottom w:val="0"/>
          <w:divBdr>
            <w:top w:val="none" w:sz="0" w:space="0" w:color="auto"/>
            <w:left w:val="none" w:sz="0" w:space="0" w:color="auto"/>
            <w:bottom w:val="none" w:sz="0" w:space="0" w:color="auto"/>
            <w:right w:val="none" w:sz="0" w:space="0" w:color="auto"/>
          </w:divBdr>
        </w:div>
      </w:divsChild>
    </w:div>
    <w:div w:id="182865872">
      <w:bodyDiv w:val="1"/>
      <w:marLeft w:val="0"/>
      <w:marRight w:val="0"/>
      <w:marTop w:val="0"/>
      <w:marBottom w:val="0"/>
      <w:divBdr>
        <w:top w:val="none" w:sz="0" w:space="0" w:color="auto"/>
        <w:left w:val="none" w:sz="0" w:space="0" w:color="auto"/>
        <w:bottom w:val="none" w:sz="0" w:space="0" w:color="auto"/>
        <w:right w:val="none" w:sz="0" w:space="0" w:color="auto"/>
      </w:divBdr>
      <w:divsChild>
        <w:div w:id="865562395">
          <w:marLeft w:val="-720"/>
          <w:marRight w:val="0"/>
          <w:marTop w:val="0"/>
          <w:marBottom w:val="0"/>
          <w:divBdr>
            <w:top w:val="none" w:sz="0" w:space="0" w:color="auto"/>
            <w:left w:val="none" w:sz="0" w:space="0" w:color="auto"/>
            <w:bottom w:val="none" w:sz="0" w:space="0" w:color="auto"/>
            <w:right w:val="none" w:sz="0" w:space="0" w:color="auto"/>
          </w:divBdr>
        </w:div>
      </w:divsChild>
    </w:div>
    <w:div w:id="211619922">
      <w:bodyDiv w:val="1"/>
      <w:marLeft w:val="0"/>
      <w:marRight w:val="0"/>
      <w:marTop w:val="0"/>
      <w:marBottom w:val="0"/>
      <w:divBdr>
        <w:top w:val="none" w:sz="0" w:space="0" w:color="auto"/>
        <w:left w:val="none" w:sz="0" w:space="0" w:color="auto"/>
        <w:bottom w:val="none" w:sz="0" w:space="0" w:color="auto"/>
        <w:right w:val="none" w:sz="0" w:space="0" w:color="auto"/>
      </w:divBdr>
    </w:div>
    <w:div w:id="277571761">
      <w:bodyDiv w:val="1"/>
      <w:marLeft w:val="0"/>
      <w:marRight w:val="0"/>
      <w:marTop w:val="0"/>
      <w:marBottom w:val="0"/>
      <w:divBdr>
        <w:top w:val="none" w:sz="0" w:space="0" w:color="auto"/>
        <w:left w:val="none" w:sz="0" w:space="0" w:color="auto"/>
        <w:bottom w:val="none" w:sz="0" w:space="0" w:color="auto"/>
        <w:right w:val="none" w:sz="0" w:space="0" w:color="auto"/>
      </w:divBdr>
    </w:div>
    <w:div w:id="295179721">
      <w:bodyDiv w:val="1"/>
      <w:marLeft w:val="0"/>
      <w:marRight w:val="0"/>
      <w:marTop w:val="0"/>
      <w:marBottom w:val="0"/>
      <w:divBdr>
        <w:top w:val="none" w:sz="0" w:space="0" w:color="auto"/>
        <w:left w:val="none" w:sz="0" w:space="0" w:color="auto"/>
        <w:bottom w:val="none" w:sz="0" w:space="0" w:color="auto"/>
        <w:right w:val="none" w:sz="0" w:space="0" w:color="auto"/>
      </w:divBdr>
    </w:div>
    <w:div w:id="325864044">
      <w:bodyDiv w:val="1"/>
      <w:marLeft w:val="0"/>
      <w:marRight w:val="0"/>
      <w:marTop w:val="0"/>
      <w:marBottom w:val="0"/>
      <w:divBdr>
        <w:top w:val="none" w:sz="0" w:space="0" w:color="auto"/>
        <w:left w:val="none" w:sz="0" w:space="0" w:color="auto"/>
        <w:bottom w:val="none" w:sz="0" w:space="0" w:color="auto"/>
        <w:right w:val="none" w:sz="0" w:space="0" w:color="auto"/>
      </w:divBdr>
      <w:divsChild>
        <w:div w:id="395856264">
          <w:marLeft w:val="-720"/>
          <w:marRight w:val="0"/>
          <w:marTop w:val="0"/>
          <w:marBottom w:val="0"/>
          <w:divBdr>
            <w:top w:val="none" w:sz="0" w:space="0" w:color="auto"/>
            <w:left w:val="none" w:sz="0" w:space="0" w:color="auto"/>
            <w:bottom w:val="none" w:sz="0" w:space="0" w:color="auto"/>
            <w:right w:val="none" w:sz="0" w:space="0" w:color="auto"/>
          </w:divBdr>
        </w:div>
      </w:divsChild>
    </w:div>
    <w:div w:id="334187554">
      <w:bodyDiv w:val="1"/>
      <w:marLeft w:val="0"/>
      <w:marRight w:val="0"/>
      <w:marTop w:val="0"/>
      <w:marBottom w:val="0"/>
      <w:divBdr>
        <w:top w:val="none" w:sz="0" w:space="0" w:color="auto"/>
        <w:left w:val="none" w:sz="0" w:space="0" w:color="auto"/>
        <w:bottom w:val="none" w:sz="0" w:space="0" w:color="auto"/>
        <w:right w:val="none" w:sz="0" w:space="0" w:color="auto"/>
      </w:divBdr>
    </w:div>
    <w:div w:id="383143571">
      <w:bodyDiv w:val="1"/>
      <w:marLeft w:val="0"/>
      <w:marRight w:val="0"/>
      <w:marTop w:val="0"/>
      <w:marBottom w:val="0"/>
      <w:divBdr>
        <w:top w:val="none" w:sz="0" w:space="0" w:color="auto"/>
        <w:left w:val="none" w:sz="0" w:space="0" w:color="auto"/>
        <w:bottom w:val="none" w:sz="0" w:space="0" w:color="auto"/>
        <w:right w:val="none" w:sz="0" w:space="0" w:color="auto"/>
      </w:divBdr>
    </w:div>
    <w:div w:id="399795959">
      <w:bodyDiv w:val="1"/>
      <w:marLeft w:val="0"/>
      <w:marRight w:val="0"/>
      <w:marTop w:val="0"/>
      <w:marBottom w:val="0"/>
      <w:divBdr>
        <w:top w:val="none" w:sz="0" w:space="0" w:color="auto"/>
        <w:left w:val="none" w:sz="0" w:space="0" w:color="auto"/>
        <w:bottom w:val="none" w:sz="0" w:space="0" w:color="auto"/>
        <w:right w:val="none" w:sz="0" w:space="0" w:color="auto"/>
      </w:divBdr>
    </w:div>
    <w:div w:id="562182339">
      <w:bodyDiv w:val="1"/>
      <w:marLeft w:val="0"/>
      <w:marRight w:val="0"/>
      <w:marTop w:val="0"/>
      <w:marBottom w:val="0"/>
      <w:divBdr>
        <w:top w:val="none" w:sz="0" w:space="0" w:color="auto"/>
        <w:left w:val="none" w:sz="0" w:space="0" w:color="auto"/>
        <w:bottom w:val="none" w:sz="0" w:space="0" w:color="auto"/>
        <w:right w:val="none" w:sz="0" w:space="0" w:color="auto"/>
      </w:divBdr>
    </w:div>
    <w:div w:id="600183363">
      <w:bodyDiv w:val="1"/>
      <w:marLeft w:val="0"/>
      <w:marRight w:val="0"/>
      <w:marTop w:val="0"/>
      <w:marBottom w:val="0"/>
      <w:divBdr>
        <w:top w:val="none" w:sz="0" w:space="0" w:color="auto"/>
        <w:left w:val="none" w:sz="0" w:space="0" w:color="auto"/>
        <w:bottom w:val="none" w:sz="0" w:space="0" w:color="auto"/>
        <w:right w:val="none" w:sz="0" w:space="0" w:color="auto"/>
      </w:divBdr>
    </w:div>
    <w:div w:id="887107063">
      <w:bodyDiv w:val="1"/>
      <w:marLeft w:val="0"/>
      <w:marRight w:val="0"/>
      <w:marTop w:val="0"/>
      <w:marBottom w:val="0"/>
      <w:divBdr>
        <w:top w:val="none" w:sz="0" w:space="0" w:color="auto"/>
        <w:left w:val="none" w:sz="0" w:space="0" w:color="auto"/>
        <w:bottom w:val="none" w:sz="0" w:space="0" w:color="auto"/>
        <w:right w:val="none" w:sz="0" w:space="0" w:color="auto"/>
      </w:divBdr>
    </w:div>
    <w:div w:id="1051687778">
      <w:bodyDiv w:val="1"/>
      <w:marLeft w:val="0"/>
      <w:marRight w:val="0"/>
      <w:marTop w:val="0"/>
      <w:marBottom w:val="0"/>
      <w:divBdr>
        <w:top w:val="none" w:sz="0" w:space="0" w:color="auto"/>
        <w:left w:val="none" w:sz="0" w:space="0" w:color="auto"/>
        <w:bottom w:val="none" w:sz="0" w:space="0" w:color="auto"/>
        <w:right w:val="none" w:sz="0" w:space="0" w:color="auto"/>
      </w:divBdr>
    </w:div>
    <w:div w:id="1060984604">
      <w:bodyDiv w:val="1"/>
      <w:marLeft w:val="0"/>
      <w:marRight w:val="0"/>
      <w:marTop w:val="0"/>
      <w:marBottom w:val="0"/>
      <w:divBdr>
        <w:top w:val="none" w:sz="0" w:space="0" w:color="auto"/>
        <w:left w:val="none" w:sz="0" w:space="0" w:color="auto"/>
        <w:bottom w:val="none" w:sz="0" w:space="0" w:color="auto"/>
        <w:right w:val="none" w:sz="0" w:space="0" w:color="auto"/>
      </w:divBdr>
    </w:div>
    <w:div w:id="1276055661">
      <w:bodyDiv w:val="1"/>
      <w:marLeft w:val="0"/>
      <w:marRight w:val="0"/>
      <w:marTop w:val="0"/>
      <w:marBottom w:val="0"/>
      <w:divBdr>
        <w:top w:val="none" w:sz="0" w:space="0" w:color="auto"/>
        <w:left w:val="none" w:sz="0" w:space="0" w:color="auto"/>
        <w:bottom w:val="none" w:sz="0" w:space="0" w:color="auto"/>
        <w:right w:val="none" w:sz="0" w:space="0" w:color="auto"/>
      </w:divBdr>
      <w:divsChild>
        <w:div w:id="2147308655">
          <w:marLeft w:val="-720"/>
          <w:marRight w:val="0"/>
          <w:marTop w:val="0"/>
          <w:marBottom w:val="0"/>
          <w:divBdr>
            <w:top w:val="none" w:sz="0" w:space="0" w:color="auto"/>
            <w:left w:val="none" w:sz="0" w:space="0" w:color="auto"/>
            <w:bottom w:val="none" w:sz="0" w:space="0" w:color="auto"/>
            <w:right w:val="none" w:sz="0" w:space="0" w:color="auto"/>
          </w:divBdr>
        </w:div>
      </w:divsChild>
    </w:div>
    <w:div w:id="1395346799">
      <w:bodyDiv w:val="1"/>
      <w:marLeft w:val="0"/>
      <w:marRight w:val="0"/>
      <w:marTop w:val="0"/>
      <w:marBottom w:val="0"/>
      <w:divBdr>
        <w:top w:val="none" w:sz="0" w:space="0" w:color="auto"/>
        <w:left w:val="none" w:sz="0" w:space="0" w:color="auto"/>
        <w:bottom w:val="none" w:sz="0" w:space="0" w:color="auto"/>
        <w:right w:val="none" w:sz="0" w:space="0" w:color="auto"/>
      </w:divBdr>
    </w:div>
    <w:div w:id="1417750578">
      <w:bodyDiv w:val="1"/>
      <w:marLeft w:val="0"/>
      <w:marRight w:val="0"/>
      <w:marTop w:val="0"/>
      <w:marBottom w:val="0"/>
      <w:divBdr>
        <w:top w:val="none" w:sz="0" w:space="0" w:color="auto"/>
        <w:left w:val="none" w:sz="0" w:space="0" w:color="auto"/>
        <w:bottom w:val="none" w:sz="0" w:space="0" w:color="auto"/>
        <w:right w:val="none" w:sz="0" w:space="0" w:color="auto"/>
      </w:divBdr>
    </w:div>
    <w:div w:id="1440831205">
      <w:bodyDiv w:val="1"/>
      <w:marLeft w:val="0"/>
      <w:marRight w:val="0"/>
      <w:marTop w:val="0"/>
      <w:marBottom w:val="0"/>
      <w:divBdr>
        <w:top w:val="none" w:sz="0" w:space="0" w:color="auto"/>
        <w:left w:val="none" w:sz="0" w:space="0" w:color="auto"/>
        <w:bottom w:val="none" w:sz="0" w:space="0" w:color="auto"/>
        <w:right w:val="none" w:sz="0" w:space="0" w:color="auto"/>
      </w:divBdr>
    </w:div>
    <w:div w:id="1463038926">
      <w:bodyDiv w:val="1"/>
      <w:marLeft w:val="0"/>
      <w:marRight w:val="0"/>
      <w:marTop w:val="0"/>
      <w:marBottom w:val="0"/>
      <w:divBdr>
        <w:top w:val="none" w:sz="0" w:space="0" w:color="auto"/>
        <w:left w:val="none" w:sz="0" w:space="0" w:color="auto"/>
        <w:bottom w:val="none" w:sz="0" w:space="0" w:color="auto"/>
        <w:right w:val="none" w:sz="0" w:space="0" w:color="auto"/>
      </w:divBdr>
      <w:divsChild>
        <w:div w:id="1813592077">
          <w:marLeft w:val="0"/>
          <w:marRight w:val="0"/>
          <w:marTop w:val="0"/>
          <w:marBottom w:val="0"/>
          <w:divBdr>
            <w:top w:val="none" w:sz="0" w:space="0" w:color="auto"/>
            <w:left w:val="none" w:sz="0" w:space="0" w:color="auto"/>
            <w:bottom w:val="none" w:sz="0" w:space="0" w:color="auto"/>
            <w:right w:val="none" w:sz="0" w:space="0" w:color="auto"/>
          </w:divBdr>
          <w:divsChild>
            <w:div w:id="298075967">
              <w:marLeft w:val="0"/>
              <w:marRight w:val="0"/>
              <w:marTop w:val="0"/>
              <w:marBottom w:val="0"/>
              <w:divBdr>
                <w:top w:val="none" w:sz="0" w:space="0" w:color="auto"/>
                <w:left w:val="none" w:sz="0" w:space="0" w:color="auto"/>
                <w:bottom w:val="none" w:sz="0" w:space="0" w:color="auto"/>
                <w:right w:val="none" w:sz="0" w:space="0" w:color="auto"/>
              </w:divBdr>
              <w:divsChild>
                <w:div w:id="2119250227">
                  <w:marLeft w:val="0"/>
                  <w:marRight w:val="0"/>
                  <w:marTop w:val="0"/>
                  <w:marBottom w:val="0"/>
                  <w:divBdr>
                    <w:top w:val="none" w:sz="0" w:space="0" w:color="auto"/>
                    <w:left w:val="none" w:sz="0" w:space="0" w:color="auto"/>
                    <w:bottom w:val="none" w:sz="0" w:space="0" w:color="auto"/>
                    <w:right w:val="none" w:sz="0" w:space="0" w:color="auto"/>
                  </w:divBdr>
                  <w:divsChild>
                    <w:div w:id="53524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958435">
      <w:bodyDiv w:val="1"/>
      <w:marLeft w:val="0"/>
      <w:marRight w:val="0"/>
      <w:marTop w:val="0"/>
      <w:marBottom w:val="0"/>
      <w:divBdr>
        <w:top w:val="none" w:sz="0" w:space="0" w:color="auto"/>
        <w:left w:val="none" w:sz="0" w:space="0" w:color="auto"/>
        <w:bottom w:val="none" w:sz="0" w:space="0" w:color="auto"/>
        <w:right w:val="none" w:sz="0" w:space="0" w:color="auto"/>
      </w:divBdr>
    </w:div>
    <w:div w:id="1538465598">
      <w:bodyDiv w:val="1"/>
      <w:marLeft w:val="0"/>
      <w:marRight w:val="0"/>
      <w:marTop w:val="0"/>
      <w:marBottom w:val="0"/>
      <w:divBdr>
        <w:top w:val="none" w:sz="0" w:space="0" w:color="auto"/>
        <w:left w:val="none" w:sz="0" w:space="0" w:color="auto"/>
        <w:bottom w:val="none" w:sz="0" w:space="0" w:color="auto"/>
        <w:right w:val="none" w:sz="0" w:space="0" w:color="auto"/>
      </w:divBdr>
    </w:div>
    <w:div w:id="1605844473">
      <w:bodyDiv w:val="1"/>
      <w:marLeft w:val="0"/>
      <w:marRight w:val="0"/>
      <w:marTop w:val="0"/>
      <w:marBottom w:val="0"/>
      <w:divBdr>
        <w:top w:val="none" w:sz="0" w:space="0" w:color="auto"/>
        <w:left w:val="none" w:sz="0" w:space="0" w:color="auto"/>
        <w:bottom w:val="none" w:sz="0" w:space="0" w:color="auto"/>
        <w:right w:val="none" w:sz="0" w:space="0" w:color="auto"/>
      </w:divBdr>
    </w:div>
    <w:div w:id="1612854009">
      <w:bodyDiv w:val="1"/>
      <w:marLeft w:val="0"/>
      <w:marRight w:val="0"/>
      <w:marTop w:val="0"/>
      <w:marBottom w:val="0"/>
      <w:divBdr>
        <w:top w:val="none" w:sz="0" w:space="0" w:color="auto"/>
        <w:left w:val="none" w:sz="0" w:space="0" w:color="auto"/>
        <w:bottom w:val="none" w:sz="0" w:space="0" w:color="auto"/>
        <w:right w:val="none" w:sz="0" w:space="0" w:color="auto"/>
      </w:divBdr>
      <w:divsChild>
        <w:div w:id="2043355741">
          <w:marLeft w:val="-720"/>
          <w:marRight w:val="0"/>
          <w:marTop w:val="0"/>
          <w:marBottom w:val="0"/>
          <w:divBdr>
            <w:top w:val="none" w:sz="0" w:space="0" w:color="auto"/>
            <w:left w:val="none" w:sz="0" w:space="0" w:color="auto"/>
            <w:bottom w:val="none" w:sz="0" w:space="0" w:color="auto"/>
            <w:right w:val="none" w:sz="0" w:space="0" w:color="auto"/>
          </w:divBdr>
        </w:div>
      </w:divsChild>
    </w:div>
    <w:div w:id="1619798494">
      <w:bodyDiv w:val="1"/>
      <w:marLeft w:val="0"/>
      <w:marRight w:val="0"/>
      <w:marTop w:val="0"/>
      <w:marBottom w:val="0"/>
      <w:divBdr>
        <w:top w:val="none" w:sz="0" w:space="0" w:color="auto"/>
        <w:left w:val="none" w:sz="0" w:space="0" w:color="auto"/>
        <w:bottom w:val="none" w:sz="0" w:space="0" w:color="auto"/>
        <w:right w:val="none" w:sz="0" w:space="0" w:color="auto"/>
      </w:divBdr>
    </w:div>
    <w:div w:id="1719940445">
      <w:bodyDiv w:val="1"/>
      <w:marLeft w:val="0"/>
      <w:marRight w:val="0"/>
      <w:marTop w:val="0"/>
      <w:marBottom w:val="0"/>
      <w:divBdr>
        <w:top w:val="none" w:sz="0" w:space="0" w:color="auto"/>
        <w:left w:val="none" w:sz="0" w:space="0" w:color="auto"/>
        <w:bottom w:val="none" w:sz="0" w:space="0" w:color="auto"/>
        <w:right w:val="none" w:sz="0" w:space="0" w:color="auto"/>
      </w:divBdr>
      <w:divsChild>
        <w:div w:id="744498278">
          <w:marLeft w:val="-720"/>
          <w:marRight w:val="0"/>
          <w:marTop w:val="0"/>
          <w:marBottom w:val="0"/>
          <w:divBdr>
            <w:top w:val="none" w:sz="0" w:space="0" w:color="auto"/>
            <w:left w:val="none" w:sz="0" w:space="0" w:color="auto"/>
            <w:bottom w:val="none" w:sz="0" w:space="0" w:color="auto"/>
            <w:right w:val="none" w:sz="0" w:space="0" w:color="auto"/>
          </w:divBdr>
        </w:div>
      </w:divsChild>
    </w:div>
    <w:div w:id="1810661349">
      <w:bodyDiv w:val="1"/>
      <w:marLeft w:val="0"/>
      <w:marRight w:val="0"/>
      <w:marTop w:val="0"/>
      <w:marBottom w:val="0"/>
      <w:divBdr>
        <w:top w:val="none" w:sz="0" w:space="0" w:color="auto"/>
        <w:left w:val="none" w:sz="0" w:space="0" w:color="auto"/>
        <w:bottom w:val="none" w:sz="0" w:space="0" w:color="auto"/>
        <w:right w:val="none" w:sz="0" w:space="0" w:color="auto"/>
      </w:divBdr>
    </w:div>
    <w:div w:id="1823691109">
      <w:bodyDiv w:val="1"/>
      <w:marLeft w:val="0"/>
      <w:marRight w:val="0"/>
      <w:marTop w:val="0"/>
      <w:marBottom w:val="0"/>
      <w:divBdr>
        <w:top w:val="none" w:sz="0" w:space="0" w:color="auto"/>
        <w:left w:val="none" w:sz="0" w:space="0" w:color="auto"/>
        <w:bottom w:val="none" w:sz="0" w:space="0" w:color="auto"/>
        <w:right w:val="none" w:sz="0" w:space="0" w:color="auto"/>
      </w:divBdr>
    </w:div>
    <w:div w:id="2007904414">
      <w:bodyDiv w:val="1"/>
      <w:marLeft w:val="0"/>
      <w:marRight w:val="0"/>
      <w:marTop w:val="0"/>
      <w:marBottom w:val="0"/>
      <w:divBdr>
        <w:top w:val="none" w:sz="0" w:space="0" w:color="auto"/>
        <w:left w:val="none" w:sz="0" w:space="0" w:color="auto"/>
        <w:bottom w:val="none" w:sz="0" w:space="0" w:color="auto"/>
        <w:right w:val="none" w:sz="0" w:space="0" w:color="auto"/>
      </w:divBdr>
    </w:div>
    <w:div w:id="2050449256">
      <w:bodyDiv w:val="1"/>
      <w:marLeft w:val="0"/>
      <w:marRight w:val="0"/>
      <w:marTop w:val="0"/>
      <w:marBottom w:val="0"/>
      <w:divBdr>
        <w:top w:val="none" w:sz="0" w:space="0" w:color="auto"/>
        <w:left w:val="none" w:sz="0" w:space="0" w:color="auto"/>
        <w:bottom w:val="none" w:sz="0" w:space="0" w:color="auto"/>
        <w:right w:val="none" w:sz="0" w:space="0" w:color="auto"/>
      </w:divBdr>
      <w:divsChild>
        <w:div w:id="1983732802">
          <w:marLeft w:val="0"/>
          <w:marRight w:val="0"/>
          <w:marTop w:val="0"/>
          <w:marBottom w:val="0"/>
          <w:divBdr>
            <w:top w:val="none" w:sz="0" w:space="0" w:color="auto"/>
            <w:left w:val="none" w:sz="0" w:space="0" w:color="auto"/>
            <w:bottom w:val="none" w:sz="0" w:space="0" w:color="auto"/>
            <w:right w:val="none" w:sz="0" w:space="0" w:color="auto"/>
          </w:divBdr>
          <w:divsChild>
            <w:div w:id="1123883673">
              <w:marLeft w:val="0"/>
              <w:marRight w:val="0"/>
              <w:marTop w:val="0"/>
              <w:marBottom w:val="0"/>
              <w:divBdr>
                <w:top w:val="none" w:sz="0" w:space="0" w:color="auto"/>
                <w:left w:val="none" w:sz="0" w:space="0" w:color="auto"/>
                <w:bottom w:val="none" w:sz="0" w:space="0" w:color="auto"/>
                <w:right w:val="none" w:sz="0" w:space="0" w:color="auto"/>
              </w:divBdr>
              <w:divsChild>
                <w:div w:id="698816535">
                  <w:marLeft w:val="0"/>
                  <w:marRight w:val="0"/>
                  <w:marTop w:val="0"/>
                  <w:marBottom w:val="0"/>
                  <w:divBdr>
                    <w:top w:val="none" w:sz="0" w:space="0" w:color="auto"/>
                    <w:left w:val="none" w:sz="0" w:space="0" w:color="auto"/>
                    <w:bottom w:val="none" w:sz="0" w:space="0" w:color="auto"/>
                    <w:right w:val="none" w:sz="0" w:space="0" w:color="auto"/>
                  </w:divBdr>
                  <w:divsChild>
                    <w:div w:id="11350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61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6912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4767333.2014.9650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doi.org/10.4324/9781315585697-22" TargetMode="External"/><Relationship Id="rId5" Type="http://schemas.openxmlformats.org/officeDocument/2006/relationships/image" Target="media/image1.png"/><Relationship Id="rId10" Type="http://schemas.openxmlformats.org/officeDocument/2006/relationships/hyperlink" Target="https://doi.org/10.1111/tog.12625" TargetMode="External"/><Relationship Id="rId4" Type="http://schemas.openxmlformats.org/officeDocument/2006/relationships/webSettings" Target="webSettings.xml"/><Relationship Id="rId9" Type="http://schemas.openxmlformats.org/officeDocument/2006/relationships/hyperlink" Target="https://doi.org/10.53841/bpstcp.2020.16.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13</Pages>
  <Words>3170</Words>
  <Characters>18074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Mohammad, Mubaraq</cp:lastModifiedBy>
  <cp:revision>41</cp:revision>
  <dcterms:created xsi:type="dcterms:W3CDTF">2024-11-14T17:05:00Z</dcterms:created>
  <dcterms:modified xsi:type="dcterms:W3CDTF">2024-11-16T05:29:00Z</dcterms:modified>
</cp:coreProperties>
</file>