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16A0F" w14:textId="77777777" w:rsidR="00796E1A" w:rsidRDefault="00796E1A" w:rsidP="00796E1A">
      <w:pPr>
        <w:jc w:val="center"/>
        <w:rPr>
          <w:b/>
          <w:bCs/>
          <w:sz w:val="28"/>
          <w:szCs w:val="28"/>
        </w:rPr>
      </w:pPr>
      <w:r>
        <w:rPr>
          <w:noProof/>
        </w:rPr>
        <w:drawing>
          <wp:inline distT="0" distB="0" distL="0" distR="0" wp14:anchorId="4FF37000" wp14:editId="491C86B1">
            <wp:extent cx="5731510" cy="2550160"/>
            <wp:effectExtent l="0" t="0" r="0" b="2540"/>
            <wp:docPr id="638942447" name="Picture 63894244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550160"/>
                    </a:xfrm>
                    <a:prstGeom prst="rect">
                      <a:avLst/>
                    </a:prstGeom>
                  </pic:spPr>
                </pic:pic>
              </a:graphicData>
            </a:graphic>
          </wp:inline>
        </w:drawing>
      </w:r>
    </w:p>
    <w:p w14:paraId="033EBF68" w14:textId="77777777" w:rsidR="00796E1A" w:rsidRDefault="00796E1A" w:rsidP="00796E1A">
      <w:pPr>
        <w:jc w:val="center"/>
        <w:rPr>
          <w:b/>
          <w:bCs/>
          <w:sz w:val="28"/>
          <w:szCs w:val="28"/>
        </w:rPr>
      </w:pPr>
    </w:p>
    <w:p w14:paraId="1941B94C" w14:textId="77777777" w:rsidR="00796E1A" w:rsidRDefault="00796E1A" w:rsidP="00796E1A">
      <w:pPr>
        <w:jc w:val="center"/>
        <w:rPr>
          <w:b/>
          <w:bCs/>
          <w:sz w:val="28"/>
          <w:szCs w:val="28"/>
        </w:rPr>
      </w:pPr>
    </w:p>
    <w:p w14:paraId="096E5B27" w14:textId="1FE1705B" w:rsidR="00796E1A" w:rsidRDefault="00454FB5" w:rsidP="00796E1A">
      <w:pPr>
        <w:jc w:val="center"/>
        <w:rPr>
          <w:b/>
          <w:bCs/>
          <w:sz w:val="28"/>
          <w:szCs w:val="28"/>
        </w:rPr>
      </w:pPr>
      <w:r>
        <w:rPr>
          <w:noProof/>
        </w:rPr>
        <mc:AlternateContent>
          <mc:Choice Requires="wpg">
            <w:drawing>
              <wp:anchor distT="0" distB="0" distL="114300" distR="114300" simplePos="0" relativeHeight="251659264" behindDoc="0" locked="0" layoutInCell="1" allowOverlap="1" wp14:anchorId="26A01BAA" wp14:editId="675222F8">
                <wp:simplePos x="0" y="0"/>
                <wp:positionH relativeFrom="page">
                  <wp:posOffset>6985</wp:posOffset>
                </wp:positionH>
                <wp:positionV relativeFrom="page">
                  <wp:posOffset>3345815</wp:posOffset>
                </wp:positionV>
                <wp:extent cx="6115795" cy="3647413"/>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115795" cy="3647413"/>
                          <a:chOff x="0" y="-245845"/>
                          <a:chExt cx="6115065" cy="3647413"/>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04840" y="-245845"/>
                            <a:ext cx="5610225" cy="1563202"/>
                          </a:xfrm>
                          <a:prstGeom prst="rect">
                            <a:avLst/>
                          </a:prstGeom>
                          <a:noFill/>
                          <a:ln w="6350">
                            <a:noFill/>
                          </a:ln>
                        </wps:spPr>
                        <wps:txbx>
                          <w:txbxContent>
                            <w:p w14:paraId="17B37C86" w14:textId="77777777" w:rsidR="00454FB5" w:rsidRDefault="00454FB5" w:rsidP="00454FB5">
                              <w:pPr>
                                <w:pStyle w:val="NoSpacing"/>
                                <w:spacing w:after="240" w:line="216" w:lineRule="auto"/>
                                <w:rPr>
                                  <w:rFonts w:asciiTheme="majorHAnsi" w:hAnsiTheme="majorHAnsi"/>
                                  <w:color w:val="0E2841" w:themeColor="text2"/>
                                  <w:spacing w:val="10"/>
                                  <w:sz w:val="36"/>
                                  <w:szCs w:val="36"/>
                                </w:rPr>
                              </w:pPr>
                            </w:p>
                            <w:sdt>
                              <w:sdtPr>
                                <w:rPr>
                                  <w:rFonts w:asciiTheme="majorHAnsi" w:hAnsiTheme="majorHAnsi"/>
                                  <w:caps/>
                                  <w:color w:val="0E2841" w:themeColor="text2"/>
                                  <w:sz w:val="56"/>
                                  <w:szCs w:val="5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BBCEA08" w14:textId="77777777" w:rsidR="00454FB5" w:rsidRPr="001C633E" w:rsidRDefault="00454FB5" w:rsidP="00454FB5">
                                  <w:pPr>
                                    <w:pStyle w:val="NoSpacing"/>
                                    <w:spacing w:line="216" w:lineRule="auto"/>
                                    <w:rPr>
                                      <w:rFonts w:asciiTheme="majorHAnsi" w:hAnsiTheme="majorHAnsi"/>
                                      <w:caps/>
                                      <w:color w:val="0E2841" w:themeColor="text2"/>
                                      <w:sz w:val="56"/>
                                      <w:szCs w:val="56"/>
                                    </w:rPr>
                                  </w:pPr>
                                  <w:r>
                                    <w:rPr>
                                      <w:rFonts w:asciiTheme="majorHAnsi" w:hAnsiTheme="majorHAnsi"/>
                                      <w:caps/>
                                      <w:color w:val="0E2841" w:themeColor="text2"/>
                                      <w:sz w:val="56"/>
                                      <w:szCs w:val="5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A01BAA" id="Group 459" o:spid="_x0000_s1026" alt="Title: Title and subtitle with crop mark graphic" style="position:absolute;left:0;text-align:left;margin-left:.55pt;margin-top:263.45pt;width:481.55pt;height:287.2pt;z-index:251659264;mso-position-horizontal-relative:page;mso-position-vertical-relative:page;mso-width-relative:margin;mso-height-relative:margin" coordorigin=",-2458" coordsize="61150,364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5048;top:-2458;width:56102;height:1563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p w14:paraId="17B37C86" w14:textId="77777777" w:rsidR="00454FB5" w:rsidRDefault="00454FB5" w:rsidP="00454FB5">
                        <w:pPr>
                          <w:pStyle w:val="NoSpacing"/>
                          <w:spacing w:after="240" w:line="216" w:lineRule="auto"/>
                          <w:rPr>
                            <w:rFonts w:asciiTheme="majorHAnsi" w:hAnsiTheme="majorHAnsi"/>
                            <w:color w:val="0E2841" w:themeColor="text2"/>
                            <w:spacing w:val="10"/>
                            <w:sz w:val="36"/>
                            <w:szCs w:val="36"/>
                          </w:rPr>
                        </w:pPr>
                      </w:p>
                      <w:sdt>
                        <w:sdtPr>
                          <w:rPr>
                            <w:rFonts w:asciiTheme="majorHAnsi" w:hAnsiTheme="majorHAnsi"/>
                            <w:caps/>
                            <w:color w:val="0E2841" w:themeColor="text2"/>
                            <w:sz w:val="56"/>
                            <w:szCs w:val="5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BBCEA08" w14:textId="77777777" w:rsidR="00454FB5" w:rsidRPr="001C633E" w:rsidRDefault="00454FB5" w:rsidP="00454FB5">
                            <w:pPr>
                              <w:pStyle w:val="NoSpacing"/>
                              <w:spacing w:line="216" w:lineRule="auto"/>
                              <w:rPr>
                                <w:rFonts w:asciiTheme="majorHAnsi" w:hAnsiTheme="majorHAnsi"/>
                                <w:caps/>
                                <w:color w:val="0E2841" w:themeColor="text2"/>
                                <w:sz w:val="56"/>
                                <w:szCs w:val="56"/>
                              </w:rPr>
                            </w:pPr>
                            <w:r>
                              <w:rPr>
                                <w:rFonts w:asciiTheme="majorHAnsi" w:hAnsiTheme="majorHAnsi"/>
                                <w:caps/>
                                <w:color w:val="0E2841" w:themeColor="text2"/>
                                <w:sz w:val="56"/>
                                <w:szCs w:val="56"/>
                              </w:rPr>
                              <w:t xml:space="preserve">     </w:t>
                            </w:r>
                          </w:p>
                        </w:sdtContent>
                      </w:sdt>
                    </w:txbxContent>
                  </v:textbox>
                </v:shape>
                <w10:wrap anchorx="page" anchory="page"/>
              </v:group>
            </w:pict>
          </mc:Fallback>
        </mc:AlternateContent>
      </w:r>
    </w:p>
    <w:p w14:paraId="69AB96AC" w14:textId="77777777" w:rsidR="00796E1A" w:rsidRPr="006E71A8" w:rsidRDefault="00796E1A" w:rsidP="00796E1A">
      <w:pPr>
        <w:rPr>
          <w:b/>
          <w:bCs/>
          <w:sz w:val="40"/>
          <w:szCs w:val="40"/>
        </w:rPr>
      </w:pPr>
      <w:r w:rsidRPr="006E71A8">
        <w:rPr>
          <w:b/>
          <w:bCs/>
          <w:sz w:val="40"/>
          <w:szCs w:val="40"/>
        </w:rPr>
        <w:t>COVER PAGE</w:t>
      </w:r>
    </w:p>
    <w:p w14:paraId="76C02477" w14:textId="59C5A5A8" w:rsidR="00796E1A" w:rsidRPr="00AD0C5E" w:rsidRDefault="00796E1A" w:rsidP="00796E1A">
      <w:pPr>
        <w:jc w:val="center"/>
        <w:rPr>
          <w:b/>
          <w:bCs/>
          <w:sz w:val="32"/>
          <w:szCs w:val="32"/>
        </w:rPr>
      </w:pPr>
    </w:p>
    <w:p w14:paraId="0E7100CA" w14:textId="20A306F4" w:rsidR="00AD0C5E" w:rsidRPr="00AD0C5E" w:rsidRDefault="00AD0C5E" w:rsidP="00AD0C5E">
      <w:pPr>
        <w:jc w:val="center"/>
        <w:rPr>
          <w:rFonts w:ascii="Arial" w:hAnsi="Arial" w:cs="Arial"/>
          <w:b/>
          <w:bCs/>
          <w:color w:val="000000" w:themeColor="text1"/>
          <w:sz w:val="24"/>
          <w:szCs w:val="24"/>
        </w:rPr>
      </w:pPr>
      <w:r w:rsidRPr="00AD0C5E">
        <w:rPr>
          <w:rFonts w:ascii="Arial" w:hAnsi="Arial" w:cs="Arial"/>
          <w:b/>
          <w:bCs/>
          <w:color w:val="000000" w:themeColor="text1"/>
          <w:sz w:val="24"/>
          <w:szCs w:val="24"/>
        </w:rPr>
        <w:t>INDEPENDENT PROJECT BMHP6020 ELEMENT 1 – PROJECT PROPOSAL</w:t>
      </w:r>
    </w:p>
    <w:p w14:paraId="4443DD38" w14:textId="6383752B" w:rsidR="00796E1A" w:rsidRDefault="00796E1A" w:rsidP="00796E1A">
      <w:pPr>
        <w:jc w:val="center"/>
        <w:rPr>
          <w:b/>
          <w:bCs/>
          <w:sz w:val="28"/>
          <w:szCs w:val="28"/>
        </w:rPr>
      </w:pPr>
      <w:r>
        <w:rPr>
          <w:b/>
          <w:bCs/>
          <w:sz w:val="28"/>
          <w:szCs w:val="28"/>
        </w:rPr>
        <w:t>BMPH6020</w:t>
      </w:r>
    </w:p>
    <w:p w14:paraId="7A8A8E13" w14:textId="77777777" w:rsidR="00796E1A" w:rsidRDefault="00796E1A" w:rsidP="00796E1A">
      <w:pPr>
        <w:jc w:val="center"/>
        <w:rPr>
          <w:b/>
          <w:bCs/>
          <w:sz w:val="28"/>
          <w:szCs w:val="28"/>
        </w:rPr>
      </w:pPr>
    </w:p>
    <w:p w14:paraId="30795BD9" w14:textId="77777777" w:rsidR="00796E1A" w:rsidRDefault="00796E1A" w:rsidP="00796E1A">
      <w:pPr>
        <w:jc w:val="center"/>
        <w:rPr>
          <w:b/>
          <w:bCs/>
          <w:sz w:val="28"/>
          <w:szCs w:val="28"/>
        </w:rPr>
      </w:pPr>
    </w:p>
    <w:p w14:paraId="3AC571DE" w14:textId="77777777" w:rsidR="00796E1A" w:rsidRDefault="00796E1A" w:rsidP="00796E1A">
      <w:pPr>
        <w:jc w:val="center"/>
        <w:rPr>
          <w:b/>
          <w:bCs/>
          <w:sz w:val="28"/>
          <w:szCs w:val="28"/>
        </w:rPr>
      </w:pPr>
      <w:r>
        <w:rPr>
          <w:b/>
          <w:bCs/>
          <w:sz w:val="28"/>
          <w:szCs w:val="28"/>
        </w:rPr>
        <w:t>Student Name: Hassana Allaiouti</w:t>
      </w:r>
    </w:p>
    <w:p w14:paraId="43AE29EA" w14:textId="77777777" w:rsidR="00796E1A" w:rsidRDefault="00796E1A" w:rsidP="00796E1A">
      <w:pPr>
        <w:jc w:val="center"/>
        <w:rPr>
          <w:b/>
          <w:bCs/>
          <w:sz w:val="28"/>
          <w:szCs w:val="28"/>
        </w:rPr>
      </w:pPr>
      <w:r>
        <w:rPr>
          <w:b/>
          <w:bCs/>
          <w:sz w:val="28"/>
          <w:szCs w:val="28"/>
        </w:rPr>
        <w:t>Student Number: 2323005</w:t>
      </w:r>
    </w:p>
    <w:p w14:paraId="0B8ACECD" w14:textId="0CCE0C58" w:rsidR="00796E1A" w:rsidRDefault="00796E1A" w:rsidP="00796E1A">
      <w:pPr>
        <w:jc w:val="center"/>
        <w:rPr>
          <w:b/>
          <w:bCs/>
          <w:sz w:val="28"/>
          <w:szCs w:val="28"/>
        </w:rPr>
      </w:pPr>
      <w:r>
        <w:rPr>
          <w:b/>
          <w:bCs/>
          <w:sz w:val="28"/>
          <w:szCs w:val="28"/>
        </w:rPr>
        <w:t xml:space="preserve">Lecturer Name: </w:t>
      </w:r>
      <w:r w:rsidR="00454FB5">
        <w:rPr>
          <w:b/>
          <w:bCs/>
          <w:sz w:val="28"/>
          <w:szCs w:val="28"/>
        </w:rPr>
        <w:t>Joanne Davies</w:t>
      </w:r>
    </w:p>
    <w:p w14:paraId="672C4B50" w14:textId="77777777" w:rsidR="00796E1A" w:rsidRDefault="00796E1A" w:rsidP="00796E1A">
      <w:pPr>
        <w:pStyle w:val="Heading3"/>
      </w:pPr>
    </w:p>
    <w:p w14:paraId="69DAB63A" w14:textId="54C9916E" w:rsidR="00796E1A" w:rsidRPr="00175C13" w:rsidRDefault="00796E1A" w:rsidP="00796E1A"/>
    <w:p w14:paraId="06EB7DE9" w14:textId="134A0A58" w:rsidR="00796E1A" w:rsidRDefault="00796E1A" w:rsidP="00796E1A">
      <w:pPr>
        <w:rPr>
          <w:rFonts w:eastAsiaTheme="majorEastAsia" w:cstheme="majorBidi"/>
          <w:color w:val="0F4761" w:themeColor="accent1" w:themeShade="BF"/>
          <w:sz w:val="28"/>
          <w:szCs w:val="28"/>
        </w:rPr>
      </w:pPr>
    </w:p>
    <w:p w14:paraId="1A7B9C60" w14:textId="132AD084" w:rsidR="00796E1A" w:rsidRDefault="00796E1A" w:rsidP="00796E1A">
      <w:pPr>
        <w:rPr>
          <w:rFonts w:eastAsiaTheme="majorEastAsia" w:cstheme="majorBidi"/>
          <w:color w:val="0F4761" w:themeColor="accent1" w:themeShade="BF"/>
          <w:sz w:val="28"/>
          <w:szCs w:val="28"/>
        </w:rPr>
      </w:pPr>
    </w:p>
    <w:p w14:paraId="6C8E0FEC" w14:textId="2105C4E0" w:rsidR="00796E1A" w:rsidRDefault="00796E1A" w:rsidP="00796E1A">
      <w:pPr>
        <w:rPr>
          <w:rFonts w:eastAsiaTheme="majorEastAsia" w:cstheme="majorBidi"/>
          <w:color w:val="0F4761" w:themeColor="accent1" w:themeShade="BF"/>
          <w:sz w:val="28"/>
          <w:szCs w:val="28"/>
        </w:rPr>
      </w:pPr>
    </w:p>
    <w:p w14:paraId="755E8DD4" w14:textId="4773F0A8" w:rsidR="00796E1A" w:rsidRDefault="00796E1A" w:rsidP="00796E1A">
      <w:pPr>
        <w:rPr>
          <w:rFonts w:eastAsiaTheme="majorEastAsia" w:cstheme="majorBidi"/>
          <w:color w:val="0F4761" w:themeColor="accent1" w:themeShade="BF"/>
          <w:sz w:val="28"/>
          <w:szCs w:val="28"/>
        </w:rPr>
      </w:pPr>
    </w:p>
    <w:p w14:paraId="3009954D" w14:textId="77777777" w:rsidR="00796E1A" w:rsidRPr="00796E1A" w:rsidRDefault="00796E1A" w:rsidP="00175C13">
      <w:pPr>
        <w:rPr>
          <w:rFonts w:ascii="Arial" w:hAnsi="Arial" w:cs="Arial"/>
          <w:b/>
          <w:bCs/>
          <w:color w:val="000000" w:themeColor="text1"/>
          <w:u w:val="single"/>
        </w:rPr>
      </w:pPr>
    </w:p>
    <w:p w14:paraId="5A2C62E1" w14:textId="77777777"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lastRenderedPageBreak/>
        <w:t>Project Title</w:t>
      </w:r>
    </w:p>
    <w:p w14:paraId="1405DB98" w14:textId="0273F00E" w:rsidR="00175C13" w:rsidRPr="00175C13" w:rsidRDefault="00175C13" w:rsidP="004D5F9B">
      <w:pPr>
        <w:pStyle w:val="Heading2"/>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A Comparative Study of Toddler Diets and Adolescent Eating Habits in the UK</w:t>
      </w:r>
    </w:p>
    <w:p w14:paraId="661927AB" w14:textId="77777777" w:rsidR="004D5F9B" w:rsidRDefault="004D5F9B" w:rsidP="004D5F9B">
      <w:pPr>
        <w:pStyle w:val="Heading2"/>
        <w:spacing w:line="360" w:lineRule="auto"/>
        <w:rPr>
          <w:rFonts w:ascii="Arial" w:hAnsi="Arial" w:cs="Arial"/>
          <w:b/>
          <w:bCs/>
          <w:color w:val="000000" w:themeColor="text1"/>
          <w:sz w:val="24"/>
          <w:szCs w:val="24"/>
        </w:rPr>
      </w:pPr>
    </w:p>
    <w:p w14:paraId="3FC621AC" w14:textId="165F6E5A"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t>Aim</w:t>
      </w:r>
    </w:p>
    <w:p w14:paraId="2F0699F4" w14:textId="77777777" w:rsidR="00175C13" w:rsidRPr="00175C13" w:rsidRDefault="00175C13" w:rsidP="004D5F9B">
      <w:pPr>
        <w:pStyle w:val="Heading2"/>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This study investigates eating behaviours among children and young people in the UK, comparing dietary patterns between toddlers and adolescents. It explores differences in nutrition, food choices, and influencing factors, and considers whether early childhood eating behaviours may influence adolescent diet and health outcomes.</w:t>
      </w:r>
    </w:p>
    <w:p w14:paraId="0516473D" w14:textId="77777777" w:rsidR="004D5F9B" w:rsidRDefault="004D5F9B" w:rsidP="004D5F9B">
      <w:pPr>
        <w:pStyle w:val="Heading2"/>
        <w:spacing w:line="360" w:lineRule="auto"/>
        <w:rPr>
          <w:rFonts w:ascii="Arial" w:hAnsi="Arial" w:cs="Arial"/>
          <w:b/>
          <w:bCs/>
          <w:color w:val="000000" w:themeColor="text1"/>
          <w:sz w:val="24"/>
          <w:szCs w:val="24"/>
        </w:rPr>
      </w:pPr>
    </w:p>
    <w:p w14:paraId="41B8BCF6" w14:textId="6E13B511"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t>Objectives</w:t>
      </w:r>
    </w:p>
    <w:p w14:paraId="67360D18" w14:textId="77777777" w:rsidR="00175C13" w:rsidRPr="00175C13" w:rsidRDefault="00175C13" w:rsidP="004D5F9B">
      <w:pPr>
        <w:pStyle w:val="Heading2"/>
        <w:numPr>
          <w:ilvl w:val="0"/>
          <w:numId w:val="22"/>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Examine eating habits of toddlers and adolescents in contemporary literature. </w:t>
      </w:r>
    </w:p>
    <w:p w14:paraId="1FA148DB" w14:textId="77777777" w:rsidR="00175C13" w:rsidRPr="00175C13" w:rsidRDefault="00175C13" w:rsidP="004D5F9B">
      <w:pPr>
        <w:pStyle w:val="Heading2"/>
        <w:numPr>
          <w:ilvl w:val="0"/>
          <w:numId w:val="22"/>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Critically evaluate literature, research evidence, and population data on physiological, psychological, sociological, and environmental influences on eating behaviours. </w:t>
      </w:r>
    </w:p>
    <w:p w14:paraId="0974CC0F" w14:textId="77777777" w:rsidR="00175C13" w:rsidRPr="00175C13" w:rsidRDefault="00175C13" w:rsidP="004D5F9B">
      <w:pPr>
        <w:pStyle w:val="Heading2"/>
        <w:numPr>
          <w:ilvl w:val="0"/>
          <w:numId w:val="22"/>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Compare toddler and adolescent dietary practices using thematic analysis to identify patterns, relationships, and continuities across development. </w:t>
      </w:r>
    </w:p>
    <w:p w14:paraId="60C50E66" w14:textId="77777777" w:rsidR="00175C13" w:rsidRPr="00175C13" w:rsidRDefault="00175C13" w:rsidP="004D5F9B">
      <w:pPr>
        <w:pStyle w:val="Heading2"/>
        <w:numPr>
          <w:ilvl w:val="0"/>
          <w:numId w:val="22"/>
        </w:numPr>
        <w:spacing w:line="360" w:lineRule="auto"/>
        <w:rPr>
          <w:rFonts w:ascii="Arial" w:hAnsi="Arial" w:cs="Arial"/>
          <w:b/>
          <w:bCs/>
          <w:color w:val="000000" w:themeColor="text1"/>
          <w:sz w:val="28"/>
          <w:szCs w:val="28"/>
        </w:rPr>
      </w:pPr>
      <w:r w:rsidRPr="00175C13">
        <w:rPr>
          <w:rFonts w:ascii="Arial" w:hAnsi="Arial" w:cs="Arial"/>
          <w:color w:val="000000" w:themeColor="text1"/>
          <w:sz w:val="22"/>
          <w:szCs w:val="22"/>
        </w:rPr>
        <w:t>Develop evidence-informed recommendations for practitioners, educators, and policymakers.</w:t>
      </w:r>
      <w:r w:rsidRPr="00175C13">
        <w:rPr>
          <w:rFonts w:ascii="Arial" w:hAnsi="Arial" w:cs="Arial"/>
          <w:b/>
          <w:bCs/>
          <w:color w:val="000000" w:themeColor="text1"/>
          <w:sz w:val="22"/>
          <w:szCs w:val="22"/>
        </w:rPr>
        <w:t xml:space="preserve"> </w:t>
      </w:r>
    </w:p>
    <w:p w14:paraId="194BDFDF" w14:textId="77777777" w:rsidR="004D5F9B" w:rsidRDefault="004D5F9B" w:rsidP="004D5F9B">
      <w:pPr>
        <w:pStyle w:val="Heading2"/>
        <w:spacing w:line="360" w:lineRule="auto"/>
        <w:rPr>
          <w:rFonts w:ascii="Arial" w:hAnsi="Arial" w:cs="Arial"/>
          <w:b/>
          <w:bCs/>
          <w:color w:val="000000" w:themeColor="text1"/>
          <w:sz w:val="24"/>
          <w:szCs w:val="24"/>
        </w:rPr>
      </w:pPr>
    </w:p>
    <w:p w14:paraId="0C7858BA" w14:textId="42B79E97"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t>Background and Rationale</w:t>
      </w:r>
    </w:p>
    <w:p w14:paraId="7FF07CCF" w14:textId="77777777" w:rsidR="00175C13" w:rsidRPr="00175C13" w:rsidRDefault="00175C13" w:rsidP="004D5F9B">
      <w:pPr>
        <w:pStyle w:val="Heading2"/>
        <w:numPr>
          <w:ilvl w:val="0"/>
          <w:numId w:val="23"/>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Childhood nutrition is essential for growth, development, and long-term health. </w:t>
      </w:r>
    </w:p>
    <w:p w14:paraId="47F10C99" w14:textId="77777777" w:rsidR="00175C13" w:rsidRPr="00175C13" w:rsidRDefault="00175C13" w:rsidP="004D5F9B">
      <w:pPr>
        <w:pStyle w:val="Heading2"/>
        <w:numPr>
          <w:ilvl w:val="0"/>
          <w:numId w:val="23"/>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Food preferences begin early and may persist into adolescence and adulthood (Birch and Doub, 2014; Moore, 2021). </w:t>
      </w:r>
    </w:p>
    <w:p w14:paraId="057D1A6F" w14:textId="77777777" w:rsidR="00175C13" w:rsidRPr="00175C13" w:rsidRDefault="00175C13" w:rsidP="004D5F9B">
      <w:pPr>
        <w:pStyle w:val="Heading2"/>
        <w:numPr>
          <w:ilvl w:val="0"/>
          <w:numId w:val="23"/>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Parents and caregivers strongly influence early eating behaviours through feeding practices and role modelling. </w:t>
      </w:r>
    </w:p>
    <w:p w14:paraId="6B89B460" w14:textId="77777777" w:rsidR="00175C13" w:rsidRPr="00175C13" w:rsidRDefault="00175C13" w:rsidP="004D5F9B">
      <w:pPr>
        <w:pStyle w:val="Heading2"/>
        <w:numPr>
          <w:ilvl w:val="0"/>
          <w:numId w:val="23"/>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Evidence suggests early eating behaviours may predict later dietary habits, but mechanisms across developmental stages remain unclear. </w:t>
      </w:r>
    </w:p>
    <w:p w14:paraId="1CD9B998" w14:textId="77777777" w:rsidR="00175C13" w:rsidRPr="00175C13" w:rsidRDefault="00175C13" w:rsidP="004D5F9B">
      <w:pPr>
        <w:pStyle w:val="Heading2"/>
        <w:numPr>
          <w:ilvl w:val="0"/>
          <w:numId w:val="23"/>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Research gap: Limited integrated research compares toddlers and adolescents within a single framework to understand behavioural continuity and change. </w:t>
      </w:r>
    </w:p>
    <w:p w14:paraId="67B1B34A" w14:textId="77777777" w:rsidR="00175C13" w:rsidRPr="00175C13" w:rsidRDefault="00175C13" w:rsidP="004D5F9B">
      <w:pPr>
        <w:pStyle w:val="Heading2"/>
        <w:numPr>
          <w:ilvl w:val="0"/>
          <w:numId w:val="23"/>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lastRenderedPageBreak/>
        <w:t xml:space="preserve">Value of study: Findings will support development of targeted interventions and inform policy, healthcare practice, education, and parental guidance. </w:t>
      </w:r>
    </w:p>
    <w:p w14:paraId="1912D5D6" w14:textId="77777777" w:rsidR="004D5F9B" w:rsidRDefault="004D5F9B" w:rsidP="004D5F9B">
      <w:pPr>
        <w:pStyle w:val="Heading2"/>
        <w:spacing w:line="360" w:lineRule="auto"/>
        <w:rPr>
          <w:rFonts w:ascii="Arial" w:hAnsi="Arial" w:cs="Arial"/>
          <w:b/>
          <w:bCs/>
          <w:color w:val="000000" w:themeColor="text1"/>
          <w:sz w:val="24"/>
          <w:szCs w:val="24"/>
        </w:rPr>
      </w:pPr>
    </w:p>
    <w:p w14:paraId="2C0FC463" w14:textId="0ED83FC3"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t>Methods</w:t>
      </w:r>
    </w:p>
    <w:p w14:paraId="73EDC3CF" w14:textId="77777777" w:rsidR="00175C13" w:rsidRPr="00175C13" w:rsidRDefault="00175C13" w:rsidP="004D5F9B">
      <w:pPr>
        <w:pStyle w:val="Heading2"/>
        <w:numPr>
          <w:ilvl w:val="0"/>
          <w:numId w:val="24"/>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Design: Secondary research using structured literature review. </w:t>
      </w:r>
    </w:p>
    <w:p w14:paraId="037DBEBC" w14:textId="77777777" w:rsidR="00175C13" w:rsidRPr="00175C13" w:rsidRDefault="00175C13" w:rsidP="004D5F9B">
      <w:pPr>
        <w:pStyle w:val="Heading2"/>
        <w:numPr>
          <w:ilvl w:val="0"/>
          <w:numId w:val="24"/>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Sources: PubMed, Google Scholar, Scopus, Web of Science, university databases, UK government and WHO reports. </w:t>
      </w:r>
    </w:p>
    <w:p w14:paraId="0A0AE062" w14:textId="77777777" w:rsidR="00175C13" w:rsidRPr="00175C13" w:rsidRDefault="00175C13" w:rsidP="004D5F9B">
      <w:pPr>
        <w:pStyle w:val="Heading2"/>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Search terms include:</w:t>
      </w:r>
    </w:p>
    <w:p w14:paraId="5E4EB7E9" w14:textId="77777777" w:rsidR="00175C13" w:rsidRPr="00175C13" w:rsidRDefault="00175C13" w:rsidP="004D5F9B">
      <w:pPr>
        <w:pStyle w:val="Heading2"/>
        <w:numPr>
          <w:ilvl w:val="0"/>
          <w:numId w:val="25"/>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toddler/adolescent eating habits </w:t>
      </w:r>
    </w:p>
    <w:p w14:paraId="0CF25B36" w14:textId="77777777" w:rsidR="00175C13" w:rsidRPr="00175C13" w:rsidRDefault="00175C13" w:rsidP="004D5F9B">
      <w:pPr>
        <w:pStyle w:val="Heading2"/>
        <w:numPr>
          <w:ilvl w:val="0"/>
          <w:numId w:val="25"/>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dietary behaviour patterns </w:t>
      </w:r>
    </w:p>
    <w:p w14:paraId="48A1D9DE" w14:textId="77777777" w:rsidR="00175C13" w:rsidRPr="00175C13" w:rsidRDefault="00175C13" w:rsidP="004D5F9B">
      <w:pPr>
        <w:pStyle w:val="Heading2"/>
        <w:numPr>
          <w:ilvl w:val="0"/>
          <w:numId w:val="25"/>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feeding practices </w:t>
      </w:r>
    </w:p>
    <w:p w14:paraId="042FFCC8" w14:textId="77777777" w:rsidR="00175C13" w:rsidRPr="00175C13" w:rsidRDefault="00175C13" w:rsidP="004D5F9B">
      <w:pPr>
        <w:pStyle w:val="Heading2"/>
        <w:numPr>
          <w:ilvl w:val="0"/>
          <w:numId w:val="25"/>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parental influence </w:t>
      </w:r>
    </w:p>
    <w:p w14:paraId="4001440C" w14:textId="77777777" w:rsidR="00175C13" w:rsidRPr="00175C13" w:rsidRDefault="00175C13" w:rsidP="004D5F9B">
      <w:pPr>
        <w:pStyle w:val="Heading2"/>
        <w:numPr>
          <w:ilvl w:val="0"/>
          <w:numId w:val="25"/>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food environment </w:t>
      </w:r>
    </w:p>
    <w:p w14:paraId="0B9C4D77" w14:textId="77777777" w:rsidR="00175C13" w:rsidRPr="00175C13" w:rsidRDefault="00175C13" w:rsidP="004D5F9B">
      <w:pPr>
        <w:pStyle w:val="Heading2"/>
        <w:numPr>
          <w:ilvl w:val="0"/>
          <w:numId w:val="25"/>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nutrition interventions </w:t>
      </w:r>
    </w:p>
    <w:p w14:paraId="06547E30" w14:textId="77777777" w:rsidR="00175C13" w:rsidRPr="00175C13" w:rsidRDefault="00175C13" w:rsidP="004D5F9B">
      <w:pPr>
        <w:pStyle w:val="Heading2"/>
        <w:numPr>
          <w:ilvl w:val="0"/>
          <w:numId w:val="25"/>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socioeconomic/psychological influences </w:t>
      </w:r>
    </w:p>
    <w:p w14:paraId="7279B480" w14:textId="77777777" w:rsidR="00175C13" w:rsidRPr="00175C13" w:rsidRDefault="00175C13" w:rsidP="004D5F9B">
      <w:pPr>
        <w:pStyle w:val="Heading2"/>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Inclusion criteria:</w:t>
      </w:r>
    </w:p>
    <w:p w14:paraId="420E9420" w14:textId="77777777" w:rsidR="00175C13" w:rsidRPr="00175C13" w:rsidRDefault="00175C13" w:rsidP="004D5F9B">
      <w:pPr>
        <w:pStyle w:val="Heading2"/>
        <w:numPr>
          <w:ilvl w:val="0"/>
          <w:numId w:val="26"/>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Peer-reviewed studies and government reports (2014–2025) </w:t>
      </w:r>
    </w:p>
    <w:p w14:paraId="445572C1" w14:textId="77777777" w:rsidR="00175C13" w:rsidRPr="00175C13" w:rsidRDefault="00175C13" w:rsidP="004D5F9B">
      <w:pPr>
        <w:pStyle w:val="Heading2"/>
        <w:numPr>
          <w:ilvl w:val="0"/>
          <w:numId w:val="26"/>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English language </w:t>
      </w:r>
    </w:p>
    <w:p w14:paraId="1D203BDE" w14:textId="77777777" w:rsidR="00175C13" w:rsidRPr="00175C13" w:rsidRDefault="00175C13" w:rsidP="004D5F9B">
      <w:pPr>
        <w:pStyle w:val="Heading2"/>
        <w:numPr>
          <w:ilvl w:val="0"/>
          <w:numId w:val="26"/>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Focus on ages 1–5 or 10–19 </w:t>
      </w:r>
    </w:p>
    <w:p w14:paraId="78A580BF" w14:textId="77777777" w:rsidR="00175C13" w:rsidRPr="00175C13" w:rsidRDefault="00175C13" w:rsidP="004D5F9B">
      <w:pPr>
        <w:pStyle w:val="Heading2"/>
        <w:numPr>
          <w:ilvl w:val="0"/>
          <w:numId w:val="26"/>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Empirical studies, reviews, or national data </w:t>
      </w:r>
    </w:p>
    <w:p w14:paraId="00491C12" w14:textId="77777777" w:rsidR="00175C13" w:rsidRPr="00175C13" w:rsidRDefault="00175C13" w:rsidP="004D5F9B">
      <w:pPr>
        <w:pStyle w:val="Heading2"/>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Exclusion criteria:</w:t>
      </w:r>
    </w:p>
    <w:p w14:paraId="0FC69B9C" w14:textId="77777777" w:rsidR="00175C13" w:rsidRPr="00175C13" w:rsidRDefault="00175C13" w:rsidP="004D5F9B">
      <w:pPr>
        <w:pStyle w:val="Heading2"/>
        <w:numPr>
          <w:ilvl w:val="0"/>
          <w:numId w:val="27"/>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Infants (&lt;1 year) or adults (&gt;19) </w:t>
      </w:r>
    </w:p>
    <w:p w14:paraId="514C6492" w14:textId="77777777" w:rsidR="00175C13" w:rsidRPr="00175C13" w:rsidRDefault="00175C13" w:rsidP="004D5F9B">
      <w:pPr>
        <w:pStyle w:val="Heading2"/>
        <w:numPr>
          <w:ilvl w:val="0"/>
          <w:numId w:val="27"/>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Opinion pieces, dissertations, non-peer-reviewed work </w:t>
      </w:r>
    </w:p>
    <w:p w14:paraId="7ABB2662" w14:textId="77777777" w:rsidR="00175C13" w:rsidRPr="00175C13" w:rsidRDefault="00175C13" w:rsidP="004D5F9B">
      <w:pPr>
        <w:pStyle w:val="Heading2"/>
        <w:numPr>
          <w:ilvl w:val="0"/>
          <w:numId w:val="27"/>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Disease-specific clinical nutrition focus </w:t>
      </w:r>
    </w:p>
    <w:p w14:paraId="25051CF6" w14:textId="77777777" w:rsidR="004D5F9B" w:rsidRDefault="004D5F9B" w:rsidP="004D5F9B">
      <w:pPr>
        <w:pStyle w:val="Heading2"/>
        <w:spacing w:line="360" w:lineRule="auto"/>
        <w:rPr>
          <w:rFonts w:ascii="Arial" w:hAnsi="Arial" w:cs="Arial"/>
          <w:b/>
          <w:bCs/>
          <w:color w:val="000000" w:themeColor="text1"/>
          <w:sz w:val="24"/>
          <w:szCs w:val="24"/>
        </w:rPr>
      </w:pPr>
    </w:p>
    <w:p w14:paraId="78BC7EDA" w14:textId="02A23CDA"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t>Analysis:</w:t>
      </w:r>
    </w:p>
    <w:p w14:paraId="725B57C5" w14:textId="77777777" w:rsidR="00175C13" w:rsidRPr="00175C13" w:rsidRDefault="00175C13" w:rsidP="004D5F9B">
      <w:pPr>
        <w:pStyle w:val="Heading2"/>
        <w:numPr>
          <w:ilvl w:val="0"/>
          <w:numId w:val="28"/>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lastRenderedPageBreak/>
        <w:t xml:space="preserve">Thematic analysis identifying physiological, psychological, sociological, and environmental themes </w:t>
      </w:r>
    </w:p>
    <w:p w14:paraId="35431408" w14:textId="77777777" w:rsidR="00175C13" w:rsidRPr="00175C13" w:rsidRDefault="00175C13" w:rsidP="004D5F9B">
      <w:pPr>
        <w:pStyle w:val="Heading2"/>
        <w:numPr>
          <w:ilvl w:val="0"/>
          <w:numId w:val="28"/>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Comparison of toddler vs adolescent dietary patterns </w:t>
      </w:r>
    </w:p>
    <w:p w14:paraId="3AAE6107" w14:textId="77777777" w:rsidR="004D5F9B" w:rsidRDefault="004D5F9B" w:rsidP="004D5F9B">
      <w:pPr>
        <w:pStyle w:val="Heading2"/>
        <w:spacing w:line="360" w:lineRule="auto"/>
        <w:rPr>
          <w:rFonts w:ascii="Arial" w:hAnsi="Arial" w:cs="Arial"/>
          <w:b/>
          <w:bCs/>
          <w:color w:val="000000" w:themeColor="text1"/>
          <w:sz w:val="24"/>
          <w:szCs w:val="24"/>
        </w:rPr>
      </w:pPr>
    </w:p>
    <w:p w14:paraId="47F64702" w14:textId="7C469426"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t>Ethics</w:t>
      </w:r>
    </w:p>
    <w:p w14:paraId="4E0EEEDE" w14:textId="77777777" w:rsidR="00175C13" w:rsidRPr="00175C13" w:rsidRDefault="00175C13" w:rsidP="004D5F9B">
      <w:pPr>
        <w:pStyle w:val="Heading2"/>
        <w:numPr>
          <w:ilvl w:val="0"/>
          <w:numId w:val="29"/>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No ethical approval required (secondary data only). </w:t>
      </w:r>
    </w:p>
    <w:p w14:paraId="2DEE9E01" w14:textId="77777777" w:rsidR="00175C13" w:rsidRPr="00175C13" w:rsidRDefault="00175C13" w:rsidP="004D5F9B">
      <w:pPr>
        <w:pStyle w:val="Heading2"/>
        <w:numPr>
          <w:ilvl w:val="0"/>
          <w:numId w:val="29"/>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Ensure accurate citation, avoidance of plagiarism, and critical appraisal of sources. </w:t>
      </w:r>
    </w:p>
    <w:p w14:paraId="15626EEF" w14:textId="77777777" w:rsidR="004D5F9B" w:rsidRDefault="004D5F9B" w:rsidP="004D5F9B">
      <w:pPr>
        <w:pStyle w:val="Heading2"/>
        <w:spacing w:line="360" w:lineRule="auto"/>
        <w:rPr>
          <w:rFonts w:ascii="Arial" w:hAnsi="Arial" w:cs="Arial"/>
          <w:b/>
          <w:bCs/>
          <w:color w:val="000000" w:themeColor="text1"/>
          <w:sz w:val="24"/>
          <w:szCs w:val="24"/>
        </w:rPr>
      </w:pPr>
    </w:p>
    <w:p w14:paraId="78F8F421" w14:textId="5034D1D3"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t>Sources of Support</w:t>
      </w:r>
    </w:p>
    <w:p w14:paraId="01BA93CC" w14:textId="77777777" w:rsidR="00175C13" w:rsidRPr="00175C13" w:rsidRDefault="00175C13" w:rsidP="004D5F9B">
      <w:pPr>
        <w:pStyle w:val="Heading2"/>
        <w:numPr>
          <w:ilvl w:val="0"/>
          <w:numId w:val="30"/>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University library and databases </w:t>
      </w:r>
    </w:p>
    <w:p w14:paraId="6DC4ABAF" w14:textId="77777777" w:rsidR="00175C13" w:rsidRPr="00175C13" w:rsidRDefault="00175C13" w:rsidP="004D5F9B">
      <w:pPr>
        <w:pStyle w:val="Heading2"/>
        <w:numPr>
          <w:ilvl w:val="0"/>
          <w:numId w:val="30"/>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Academic skills support services </w:t>
      </w:r>
    </w:p>
    <w:p w14:paraId="2CFB49B8" w14:textId="77777777" w:rsidR="00175C13" w:rsidRPr="00175C13" w:rsidRDefault="00175C13" w:rsidP="004D5F9B">
      <w:pPr>
        <w:pStyle w:val="Heading2"/>
        <w:numPr>
          <w:ilvl w:val="0"/>
          <w:numId w:val="30"/>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Lecturer/supervisor guidance </w:t>
      </w:r>
    </w:p>
    <w:p w14:paraId="3F47ED0A" w14:textId="77777777" w:rsidR="00175C13" w:rsidRPr="00175C13" w:rsidRDefault="00175C13" w:rsidP="004D5F9B">
      <w:pPr>
        <w:pStyle w:val="Heading2"/>
        <w:numPr>
          <w:ilvl w:val="0"/>
          <w:numId w:val="30"/>
        </w:numPr>
        <w:spacing w:line="360" w:lineRule="auto"/>
        <w:rPr>
          <w:rFonts w:ascii="Arial" w:hAnsi="Arial" w:cs="Arial"/>
          <w:color w:val="000000" w:themeColor="text1"/>
          <w:sz w:val="22"/>
          <w:szCs w:val="22"/>
        </w:rPr>
      </w:pPr>
      <w:r w:rsidRPr="00175C13">
        <w:rPr>
          <w:rFonts w:ascii="Arial" w:hAnsi="Arial" w:cs="Arial"/>
          <w:color w:val="000000" w:themeColor="text1"/>
          <w:sz w:val="22"/>
          <w:szCs w:val="22"/>
        </w:rPr>
        <w:t xml:space="preserve">Referencing software </w:t>
      </w:r>
    </w:p>
    <w:p w14:paraId="455D6044" w14:textId="77777777" w:rsidR="00175C13" w:rsidRPr="00175C13" w:rsidRDefault="00175C13" w:rsidP="004D5F9B">
      <w:pPr>
        <w:pStyle w:val="Heading2"/>
        <w:numPr>
          <w:ilvl w:val="0"/>
          <w:numId w:val="30"/>
        </w:numPr>
        <w:spacing w:line="360" w:lineRule="auto"/>
        <w:rPr>
          <w:rFonts w:ascii="Arial" w:hAnsi="Arial" w:cs="Arial"/>
          <w:b/>
          <w:bCs/>
          <w:color w:val="000000" w:themeColor="text1"/>
          <w:sz w:val="28"/>
          <w:szCs w:val="28"/>
        </w:rPr>
      </w:pPr>
      <w:r w:rsidRPr="00175C13">
        <w:rPr>
          <w:rFonts w:ascii="Arial" w:hAnsi="Arial" w:cs="Arial"/>
          <w:color w:val="000000" w:themeColor="text1"/>
          <w:sz w:val="22"/>
          <w:szCs w:val="22"/>
        </w:rPr>
        <w:t xml:space="preserve">Study skills workshops and peer groups </w:t>
      </w:r>
    </w:p>
    <w:p w14:paraId="346BA34E" w14:textId="77777777" w:rsidR="00175C13" w:rsidRDefault="00175C13" w:rsidP="004D5F9B">
      <w:pPr>
        <w:pStyle w:val="Heading2"/>
        <w:spacing w:line="360" w:lineRule="auto"/>
        <w:rPr>
          <w:rFonts w:ascii="Arial" w:hAnsi="Arial" w:cs="Arial"/>
          <w:b/>
          <w:bCs/>
          <w:color w:val="000000" w:themeColor="text1"/>
          <w:sz w:val="24"/>
          <w:szCs w:val="24"/>
        </w:rPr>
      </w:pPr>
    </w:p>
    <w:p w14:paraId="62273F72" w14:textId="7FF6A6D8" w:rsidR="00175C13" w:rsidRPr="00175C13" w:rsidRDefault="00175C13" w:rsidP="004D5F9B">
      <w:pPr>
        <w:pStyle w:val="Heading2"/>
        <w:spacing w:line="360" w:lineRule="auto"/>
        <w:rPr>
          <w:rFonts w:ascii="Arial" w:hAnsi="Arial" w:cs="Arial"/>
          <w:b/>
          <w:bCs/>
          <w:color w:val="000000" w:themeColor="text1"/>
          <w:sz w:val="24"/>
          <w:szCs w:val="24"/>
        </w:rPr>
      </w:pPr>
      <w:r w:rsidRPr="00175C13">
        <w:rPr>
          <w:rFonts w:ascii="Arial" w:hAnsi="Arial" w:cs="Arial"/>
          <w:b/>
          <w:bCs/>
          <w:color w:val="000000" w:themeColor="text1"/>
          <w:sz w:val="24"/>
          <w:szCs w:val="24"/>
        </w:rPr>
        <w:t>Timeline (Summary)</w:t>
      </w:r>
    </w:p>
    <w:p w14:paraId="16B9DEB2" w14:textId="77777777" w:rsidR="00175C13" w:rsidRPr="004D5F9B" w:rsidRDefault="00175C13" w:rsidP="004D5F9B">
      <w:pPr>
        <w:pStyle w:val="Heading2"/>
        <w:numPr>
          <w:ilvl w:val="0"/>
          <w:numId w:val="31"/>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June: Proposal development, feedback, refine aims/methods </w:t>
      </w:r>
    </w:p>
    <w:p w14:paraId="73A103D0" w14:textId="77777777" w:rsidR="00175C13" w:rsidRPr="004D5F9B" w:rsidRDefault="00175C13" w:rsidP="004D5F9B">
      <w:pPr>
        <w:pStyle w:val="Heading2"/>
        <w:numPr>
          <w:ilvl w:val="0"/>
          <w:numId w:val="31"/>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July: Chapter 1 + methods poster </w:t>
      </w:r>
    </w:p>
    <w:p w14:paraId="031C48C3" w14:textId="77777777" w:rsidR="00175C13" w:rsidRPr="004D5F9B" w:rsidRDefault="00175C13" w:rsidP="004D5F9B">
      <w:pPr>
        <w:pStyle w:val="Heading2"/>
        <w:numPr>
          <w:ilvl w:val="0"/>
          <w:numId w:val="31"/>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August: Chapter 2 literature review </w:t>
      </w:r>
    </w:p>
    <w:p w14:paraId="6F20209A" w14:textId="77777777" w:rsidR="00175C13" w:rsidRPr="004D5F9B" w:rsidRDefault="00175C13" w:rsidP="004D5F9B">
      <w:pPr>
        <w:pStyle w:val="Heading2"/>
        <w:numPr>
          <w:ilvl w:val="0"/>
          <w:numId w:val="31"/>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September: Chapter 3 methodology + thematic analysis </w:t>
      </w:r>
    </w:p>
    <w:p w14:paraId="3E8FA3E4" w14:textId="77777777" w:rsidR="00175C13" w:rsidRPr="004D5F9B" w:rsidRDefault="00175C13" w:rsidP="004D5F9B">
      <w:pPr>
        <w:pStyle w:val="Heading2"/>
        <w:numPr>
          <w:ilvl w:val="0"/>
          <w:numId w:val="31"/>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October: Chapters 4–5 (results, discussion, recommendations) </w:t>
      </w:r>
    </w:p>
    <w:p w14:paraId="7812DAAA" w14:textId="18DCD4C0" w:rsidR="00175C13" w:rsidRDefault="00175C13" w:rsidP="004D5F9B">
      <w:pPr>
        <w:pStyle w:val="Heading2"/>
        <w:numPr>
          <w:ilvl w:val="0"/>
          <w:numId w:val="31"/>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November: Full draft review and revisions</w:t>
      </w:r>
      <w:r w:rsidR="004D5F9B" w:rsidRPr="004D5F9B">
        <w:rPr>
          <w:rFonts w:ascii="Arial" w:hAnsi="Arial" w:cs="Arial"/>
          <w:color w:val="000000" w:themeColor="text1"/>
          <w:sz w:val="22"/>
          <w:szCs w:val="22"/>
        </w:rPr>
        <w:t>, submission</w:t>
      </w:r>
    </w:p>
    <w:p w14:paraId="5E69E48E" w14:textId="77777777" w:rsidR="004D5F9B" w:rsidRPr="004D5F9B" w:rsidRDefault="004D5F9B" w:rsidP="004D5F9B">
      <w:pPr>
        <w:spacing w:line="360" w:lineRule="auto"/>
      </w:pPr>
    </w:p>
    <w:p w14:paraId="065B9B1B" w14:textId="77777777" w:rsidR="00175C13" w:rsidRPr="004D5F9B" w:rsidRDefault="00175C13" w:rsidP="004D5F9B">
      <w:pPr>
        <w:pStyle w:val="Heading2"/>
        <w:spacing w:line="360" w:lineRule="auto"/>
        <w:rPr>
          <w:rFonts w:ascii="Arial" w:hAnsi="Arial" w:cs="Arial"/>
          <w:b/>
          <w:bCs/>
          <w:color w:val="000000" w:themeColor="text1"/>
          <w:sz w:val="24"/>
          <w:szCs w:val="24"/>
        </w:rPr>
      </w:pPr>
      <w:r w:rsidRPr="004D5F9B">
        <w:rPr>
          <w:rFonts w:ascii="Arial" w:hAnsi="Arial" w:cs="Arial"/>
          <w:b/>
          <w:bCs/>
          <w:color w:val="000000" w:themeColor="text1"/>
          <w:sz w:val="24"/>
          <w:szCs w:val="24"/>
        </w:rPr>
        <w:lastRenderedPageBreak/>
        <w:t>Self-Reflection</w:t>
      </w:r>
    </w:p>
    <w:p w14:paraId="035A0B4B" w14:textId="77777777" w:rsidR="00175C13" w:rsidRPr="004D5F9B" w:rsidRDefault="00175C13" w:rsidP="004D5F9B">
      <w:pPr>
        <w:pStyle w:val="Heading2"/>
        <w:numPr>
          <w:ilvl w:val="0"/>
          <w:numId w:val="32"/>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Strength: Strong organisation and time management skills support structured research and meeting deadlines. </w:t>
      </w:r>
    </w:p>
    <w:p w14:paraId="306FDD5E" w14:textId="77777777" w:rsidR="00175C13" w:rsidRPr="004D5F9B" w:rsidRDefault="00175C13" w:rsidP="004D5F9B">
      <w:pPr>
        <w:pStyle w:val="Heading2"/>
        <w:numPr>
          <w:ilvl w:val="0"/>
          <w:numId w:val="32"/>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Development area: Limited experience in thematic analysis and critical writing. </w:t>
      </w:r>
    </w:p>
    <w:p w14:paraId="2E6BBCEE" w14:textId="77777777" w:rsidR="004D5F9B" w:rsidRDefault="004D5F9B" w:rsidP="004D5F9B">
      <w:pPr>
        <w:pStyle w:val="Heading2"/>
        <w:spacing w:line="360" w:lineRule="auto"/>
        <w:rPr>
          <w:rFonts w:ascii="Arial" w:hAnsi="Arial" w:cs="Arial"/>
          <w:b/>
          <w:bCs/>
          <w:color w:val="000000" w:themeColor="text1"/>
          <w:sz w:val="24"/>
          <w:szCs w:val="24"/>
        </w:rPr>
      </w:pPr>
    </w:p>
    <w:p w14:paraId="4E8C1D90" w14:textId="4ECD20AF" w:rsidR="00175C13" w:rsidRPr="004D5F9B" w:rsidRDefault="00175C13" w:rsidP="004D5F9B">
      <w:pPr>
        <w:pStyle w:val="Heading2"/>
        <w:spacing w:line="360" w:lineRule="auto"/>
        <w:rPr>
          <w:rFonts w:ascii="Arial" w:hAnsi="Arial" w:cs="Arial"/>
          <w:b/>
          <w:bCs/>
          <w:color w:val="000000" w:themeColor="text1"/>
          <w:sz w:val="24"/>
          <w:szCs w:val="24"/>
        </w:rPr>
      </w:pPr>
      <w:r w:rsidRPr="004D5F9B">
        <w:rPr>
          <w:rFonts w:ascii="Arial" w:hAnsi="Arial" w:cs="Arial"/>
          <w:b/>
          <w:bCs/>
          <w:color w:val="000000" w:themeColor="text1"/>
          <w:sz w:val="24"/>
          <w:szCs w:val="24"/>
        </w:rPr>
        <w:t>Improvement plan:</w:t>
      </w:r>
    </w:p>
    <w:p w14:paraId="705702EA" w14:textId="77777777" w:rsidR="00175C13" w:rsidRPr="004D5F9B" w:rsidRDefault="00175C13" w:rsidP="004D5F9B">
      <w:pPr>
        <w:pStyle w:val="Heading2"/>
        <w:numPr>
          <w:ilvl w:val="0"/>
          <w:numId w:val="33"/>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Use university writing workshops, library guides, and academic skills support </w:t>
      </w:r>
    </w:p>
    <w:p w14:paraId="5517B089" w14:textId="77777777" w:rsidR="00175C13" w:rsidRPr="004D5F9B" w:rsidRDefault="00175C13" w:rsidP="004D5F9B">
      <w:pPr>
        <w:pStyle w:val="Heading2"/>
        <w:numPr>
          <w:ilvl w:val="0"/>
          <w:numId w:val="33"/>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Study high-quality journal articles and dissertations for critical writing models </w:t>
      </w:r>
    </w:p>
    <w:p w14:paraId="08DC5668" w14:textId="77777777" w:rsidR="00175C13" w:rsidRPr="004D5F9B" w:rsidRDefault="00175C13" w:rsidP="004D5F9B">
      <w:pPr>
        <w:pStyle w:val="Heading2"/>
        <w:numPr>
          <w:ilvl w:val="0"/>
          <w:numId w:val="33"/>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Apply Braun &amp; Clarke thematic analysis framework and practice coding exercises </w:t>
      </w:r>
    </w:p>
    <w:p w14:paraId="07EB9712" w14:textId="77777777" w:rsidR="00175C13" w:rsidRPr="004D5F9B" w:rsidRDefault="00175C13" w:rsidP="004D5F9B">
      <w:pPr>
        <w:pStyle w:val="Heading2"/>
        <w:numPr>
          <w:ilvl w:val="0"/>
          <w:numId w:val="33"/>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Seek regular supervisor feedback and maintain an audit trail of analysis </w:t>
      </w:r>
    </w:p>
    <w:p w14:paraId="6EDE3536" w14:textId="77777777" w:rsidR="004D5F9B" w:rsidRDefault="004D5F9B" w:rsidP="004D5F9B">
      <w:pPr>
        <w:pStyle w:val="Heading2"/>
        <w:spacing w:line="360" w:lineRule="auto"/>
        <w:rPr>
          <w:rFonts w:ascii="Arial" w:hAnsi="Arial" w:cs="Arial"/>
          <w:b/>
          <w:bCs/>
          <w:color w:val="000000" w:themeColor="text1"/>
          <w:sz w:val="24"/>
          <w:szCs w:val="24"/>
        </w:rPr>
      </w:pPr>
    </w:p>
    <w:p w14:paraId="740F455C" w14:textId="763BCAC1" w:rsidR="00175C13" w:rsidRPr="004D5F9B" w:rsidRDefault="00175C13" w:rsidP="004D5F9B">
      <w:pPr>
        <w:pStyle w:val="Heading2"/>
        <w:spacing w:line="360" w:lineRule="auto"/>
        <w:rPr>
          <w:rFonts w:ascii="Arial" w:hAnsi="Arial" w:cs="Arial"/>
          <w:b/>
          <w:bCs/>
          <w:color w:val="000000" w:themeColor="text1"/>
          <w:sz w:val="24"/>
          <w:szCs w:val="24"/>
        </w:rPr>
      </w:pPr>
      <w:r w:rsidRPr="004D5F9B">
        <w:rPr>
          <w:rFonts w:ascii="Arial" w:hAnsi="Arial" w:cs="Arial"/>
          <w:b/>
          <w:bCs/>
          <w:color w:val="000000" w:themeColor="text1"/>
          <w:sz w:val="24"/>
          <w:szCs w:val="24"/>
        </w:rPr>
        <w:t>Time management strategy:</w:t>
      </w:r>
    </w:p>
    <w:p w14:paraId="08E4C0A1" w14:textId="77777777" w:rsidR="00175C13" w:rsidRPr="004D5F9B" w:rsidRDefault="00175C13" w:rsidP="004D5F9B">
      <w:pPr>
        <w:pStyle w:val="Heading2"/>
        <w:numPr>
          <w:ilvl w:val="0"/>
          <w:numId w:val="34"/>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Break work into weekly milestones aligned with timeline </w:t>
      </w:r>
    </w:p>
    <w:p w14:paraId="4ABE8AAC" w14:textId="77777777" w:rsidR="00175C13" w:rsidRPr="004D5F9B" w:rsidRDefault="00175C13" w:rsidP="004D5F9B">
      <w:pPr>
        <w:pStyle w:val="Heading2"/>
        <w:numPr>
          <w:ilvl w:val="0"/>
          <w:numId w:val="34"/>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 xml:space="preserve">Use structured planning tools and reference management software </w:t>
      </w:r>
    </w:p>
    <w:p w14:paraId="0ADACC71" w14:textId="77777777" w:rsidR="00175C13" w:rsidRPr="004D5F9B" w:rsidRDefault="00175C13" w:rsidP="004D5F9B">
      <w:pPr>
        <w:pStyle w:val="Heading2"/>
        <w:numPr>
          <w:ilvl w:val="0"/>
          <w:numId w:val="34"/>
        </w:numPr>
        <w:spacing w:line="360" w:lineRule="auto"/>
        <w:rPr>
          <w:rFonts w:ascii="Arial" w:hAnsi="Arial" w:cs="Arial"/>
          <w:color w:val="000000" w:themeColor="text1"/>
          <w:sz w:val="22"/>
          <w:szCs w:val="22"/>
        </w:rPr>
      </w:pPr>
      <w:r w:rsidRPr="004D5F9B">
        <w:rPr>
          <w:rFonts w:ascii="Arial" w:hAnsi="Arial" w:cs="Arial"/>
          <w:color w:val="000000" w:themeColor="text1"/>
          <w:sz w:val="22"/>
          <w:szCs w:val="22"/>
        </w:rPr>
        <w:t>Schedule regular review points to track progress and address issues early</w:t>
      </w:r>
    </w:p>
    <w:p w14:paraId="131D2E21" w14:textId="77777777" w:rsidR="00AD70B1" w:rsidRPr="00175C13" w:rsidRDefault="00AD70B1" w:rsidP="00175C13">
      <w:pPr>
        <w:pStyle w:val="Heading2"/>
        <w:spacing w:line="360" w:lineRule="auto"/>
        <w:rPr>
          <w:rFonts w:ascii="Arial" w:hAnsi="Arial" w:cs="Arial"/>
          <w:b/>
          <w:bCs/>
          <w:color w:val="000000" w:themeColor="text1"/>
          <w:sz w:val="22"/>
          <w:szCs w:val="22"/>
        </w:rPr>
      </w:pPr>
    </w:p>
    <w:p w14:paraId="715FCDCF" w14:textId="77777777" w:rsidR="00AD70B1" w:rsidRDefault="00AD70B1" w:rsidP="00FF31A2">
      <w:pPr>
        <w:pStyle w:val="Heading2"/>
        <w:spacing w:line="360" w:lineRule="auto"/>
        <w:rPr>
          <w:rFonts w:ascii="Arial" w:hAnsi="Arial" w:cs="Arial"/>
          <w:b/>
          <w:bCs/>
          <w:color w:val="000000" w:themeColor="text1"/>
          <w:sz w:val="22"/>
          <w:szCs w:val="22"/>
        </w:rPr>
      </w:pPr>
    </w:p>
    <w:p w14:paraId="329D1BDC" w14:textId="77777777" w:rsidR="00AD70B1" w:rsidRDefault="00AD70B1" w:rsidP="00FF31A2">
      <w:pPr>
        <w:pStyle w:val="Heading2"/>
        <w:spacing w:line="360" w:lineRule="auto"/>
        <w:rPr>
          <w:rFonts w:ascii="Arial" w:hAnsi="Arial" w:cs="Arial"/>
          <w:b/>
          <w:bCs/>
          <w:color w:val="000000" w:themeColor="text1"/>
          <w:sz w:val="22"/>
          <w:szCs w:val="22"/>
        </w:rPr>
      </w:pPr>
    </w:p>
    <w:p w14:paraId="0651F14B" w14:textId="77777777" w:rsidR="00067F3A" w:rsidRDefault="00067F3A" w:rsidP="00FF31A2">
      <w:pPr>
        <w:pStyle w:val="Heading2"/>
        <w:spacing w:line="360" w:lineRule="auto"/>
        <w:rPr>
          <w:rFonts w:ascii="Arial" w:hAnsi="Arial" w:cs="Arial"/>
          <w:b/>
          <w:bCs/>
          <w:color w:val="000000" w:themeColor="text1"/>
          <w:sz w:val="22"/>
          <w:szCs w:val="22"/>
        </w:rPr>
      </w:pPr>
    </w:p>
    <w:p w14:paraId="09660527" w14:textId="77777777" w:rsidR="004E7920" w:rsidRDefault="004E7920" w:rsidP="00FF31A2">
      <w:pPr>
        <w:pStyle w:val="Heading2"/>
        <w:spacing w:line="360" w:lineRule="auto"/>
        <w:rPr>
          <w:rFonts w:ascii="Arial" w:hAnsi="Arial" w:cs="Arial"/>
          <w:b/>
          <w:bCs/>
          <w:color w:val="000000" w:themeColor="text1"/>
          <w:sz w:val="22"/>
          <w:szCs w:val="22"/>
        </w:rPr>
      </w:pPr>
    </w:p>
    <w:p w14:paraId="13960CD4" w14:textId="77777777" w:rsidR="00175C13" w:rsidRDefault="00175C13" w:rsidP="00175C13"/>
    <w:p w14:paraId="377C462D" w14:textId="77777777" w:rsidR="004D5F9B" w:rsidRDefault="004D5F9B" w:rsidP="00175C13"/>
    <w:p w14:paraId="61C16B1A" w14:textId="77777777" w:rsidR="004D5F9B" w:rsidRDefault="004D5F9B" w:rsidP="00175C13"/>
    <w:p w14:paraId="51B8E1C8" w14:textId="77777777" w:rsidR="004D5F9B" w:rsidRPr="00175C13" w:rsidRDefault="004D5F9B" w:rsidP="00175C13"/>
    <w:p w14:paraId="3295FE38" w14:textId="6FCF93CD" w:rsidR="00E55F1C" w:rsidRPr="00175C13" w:rsidRDefault="00E55F1C" w:rsidP="00FF31A2">
      <w:pPr>
        <w:pStyle w:val="Heading2"/>
        <w:spacing w:line="360" w:lineRule="auto"/>
        <w:rPr>
          <w:rFonts w:ascii="Arial" w:hAnsi="Arial" w:cs="Arial"/>
          <w:b/>
          <w:bCs/>
          <w:color w:val="000000" w:themeColor="text1"/>
          <w:sz w:val="24"/>
          <w:szCs w:val="24"/>
          <w:u w:val="single"/>
        </w:rPr>
      </w:pPr>
      <w:r w:rsidRPr="00175C13">
        <w:rPr>
          <w:rFonts w:ascii="Arial" w:hAnsi="Arial" w:cs="Arial"/>
          <w:b/>
          <w:bCs/>
          <w:color w:val="000000" w:themeColor="text1"/>
          <w:sz w:val="24"/>
          <w:szCs w:val="24"/>
          <w:u w:val="single"/>
        </w:rPr>
        <w:lastRenderedPageBreak/>
        <w:t>REFERENCES</w:t>
      </w:r>
    </w:p>
    <w:p w14:paraId="100B71C3" w14:textId="77777777" w:rsidR="00036ED2" w:rsidRPr="00796E1A" w:rsidRDefault="00036ED2" w:rsidP="00175C13">
      <w:pPr>
        <w:spacing w:line="360" w:lineRule="auto"/>
        <w:rPr>
          <w:rFonts w:ascii="Arial" w:hAnsi="Arial" w:cs="Arial"/>
        </w:rPr>
      </w:pPr>
      <w:r w:rsidRPr="00796E1A">
        <w:rPr>
          <w:rFonts w:ascii="Arial" w:hAnsi="Arial" w:cs="Arial"/>
        </w:rPr>
        <w:t xml:space="preserve">Albon, D. and Mukherji, P. (2008) </w:t>
      </w:r>
      <w:r w:rsidRPr="00796E1A">
        <w:rPr>
          <w:rFonts w:ascii="Arial" w:hAnsi="Arial" w:cs="Arial"/>
          <w:i/>
          <w:iCs/>
        </w:rPr>
        <w:t>Food and Health in Early Childhood: A Holistic Approach</w:t>
      </w:r>
      <w:r w:rsidRPr="00796E1A">
        <w:rPr>
          <w:rFonts w:ascii="Arial" w:hAnsi="Arial" w:cs="Arial"/>
        </w:rPr>
        <w:t xml:space="preserve">. London: Sage Publications. Available at: </w:t>
      </w:r>
      <w:hyperlink r:id="rId9" w:history="1">
        <w:r w:rsidRPr="00796E1A">
          <w:rPr>
            <w:rStyle w:val="Hyperlink"/>
            <w:rFonts w:ascii="Arial" w:hAnsi="Arial" w:cs="Arial"/>
          </w:rPr>
          <w:t>https://uk.sagepub.com/en-gb/eur/food-and-health-in-early-childhood/book231896</w:t>
        </w:r>
      </w:hyperlink>
      <w:r w:rsidRPr="00796E1A">
        <w:rPr>
          <w:rFonts w:ascii="Arial" w:hAnsi="Arial" w:cs="Arial"/>
        </w:rPr>
        <w:t xml:space="preserve"> (Accessed: 3 June 2026).</w:t>
      </w:r>
    </w:p>
    <w:p w14:paraId="2218071B" w14:textId="1CAF01B8" w:rsidR="00036ED2" w:rsidRPr="00796E1A" w:rsidRDefault="00036ED2" w:rsidP="00175C13">
      <w:pPr>
        <w:spacing w:line="360" w:lineRule="auto"/>
        <w:rPr>
          <w:rFonts w:ascii="Arial" w:hAnsi="Arial" w:cs="Arial"/>
        </w:rPr>
      </w:pPr>
      <w:r w:rsidRPr="00796E1A">
        <w:rPr>
          <w:rFonts w:ascii="Arial" w:hAnsi="Arial" w:cs="Arial"/>
        </w:rPr>
        <w:t xml:space="preserve">Archives of Disease in Childhood (2014) ‘Can toddlers’ diets influence cognitive development?’, </w:t>
      </w:r>
      <w:r w:rsidRPr="00796E1A">
        <w:rPr>
          <w:rFonts w:ascii="Arial" w:hAnsi="Arial" w:cs="Arial"/>
          <w:i/>
          <w:iCs/>
        </w:rPr>
        <w:t>Archives of Disease in Childhood</w:t>
      </w:r>
      <w:r w:rsidRPr="00796E1A">
        <w:rPr>
          <w:rFonts w:ascii="Arial" w:hAnsi="Arial" w:cs="Arial"/>
        </w:rPr>
        <w:t xml:space="preserve">, 99(2), p. 157. Available at: </w:t>
      </w:r>
      <w:hyperlink r:id="rId10" w:history="1">
        <w:r w:rsidRPr="00796E1A">
          <w:rPr>
            <w:rStyle w:val="Hyperlink"/>
            <w:rFonts w:ascii="Arial" w:hAnsi="Arial" w:cs="Arial"/>
          </w:rPr>
          <w:t>https://doi.org/10.1136/archdischild-2013-305833</w:t>
        </w:r>
      </w:hyperlink>
      <w:r w:rsidRPr="00796E1A">
        <w:rPr>
          <w:rFonts w:ascii="Arial" w:hAnsi="Arial" w:cs="Arial"/>
        </w:rPr>
        <w:t xml:space="preserve"> (Accessed: </w:t>
      </w:r>
      <w:r w:rsidR="008B0B6F" w:rsidRPr="00796E1A">
        <w:rPr>
          <w:rFonts w:ascii="Arial" w:hAnsi="Arial" w:cs="Arial"/>
        </w:rPr>
        <w:t>1</w:t>
      </w:r>
      <w:r w:rsidRPr="00796E1A">
        <w:rPr>
          <w:rFonts w:ascii="Arial" w:hAnsi="Arial" w:cs="Arial"/>
        </w:rPr>
        <w:t xml:space="preserve"> June 2026).</w:t>
      </w:r>
    </w:p>
    <w:p w14:paraId="0ED5524E" w14:textId="43730847" w:rsidR="00036ED2" w:rsidRPr="00796E1A" w:rsidRDefault="00036ED2" w:rsidP="00175C13">
      <w:pPr>
        <w:spacing w:line="360" w:lineRule="auto"/>
        <w:rPr>
          <w:rFonts w:ascii="Arial" w:hAnsi="Arial" w:cs="Arial"/>
        </w:rPr>
      </w:pPr>
      <w:r w:rsidRPr="00796E1A">
        <w:rPr>
          <w:rFonts w:ascii="Arial" w:hAnsi="Arial" w:cs="Arial"/>
        </w:rPr>
        <w:t xml:space="preserve">Birch, L.L. and Doub, A.E. (2014) ‘Learning to eat: birth to age 2 y’, </w:t>
      </w:r>
      <w:r w:rsidRPr="00796E1A">
        <w:rPr>
          <w:rFonts w:ascii="Arial" w:hAnsi="Arial" w:cs="Arial"/>
          <w:i/>
          <w:iCs/>
        </w:rPr>
        <w:t>The American Journal of Clinical Nutrition</w:t>
      </w:r>
      <w:r w:rsidRPr="00796E1A">
        <w:rPr>
          <w:rFonts w:ascii="Arial" w:hAnsi="Arial" w:cs="Arial"/>
        </w:rPr>
        <w:t xml:space="preserve">, 99(3), pp. 723S–728S. Available at: </w:t>
      </w:r>
      <w:hyperlink r:id="rId11" w:history="1">
        <w:r w:rsidRPr="00796E1A">
          <w:rPr>
            <w:rStyle w:val="Hyperlink"/>
            <w:rFonts w:ascii="Arial" w:hAnsi="Arial" w:cs="Arial"/>
          </w:rPr>
          <w:t>https://doi.org/10.3945/ajcn.113.069047</w:t>
        </w:r>
      </w:hyperlink>
      <w:r w:rsidRPr="00796E1A">
        <w:rPr>
          <w:rFonts w:ascii="Arial" w:hAnsi="Arial" w:cs="Arial"/>
        </w:rPr>
        <w:t xml:space="preserve"> (Accessed: </w:t>
      </w:r>
      <w:r w:rsidR="008B0B6F" w:rsidRPr="00796E1A">
        <w:rPr>
          <w:rFonts w:ascii="Arial" w:hAnsi="Arial" w:cs="Arial"/>
        </w:rPr>
        <w:t>27 May</w:t>
      </w:r>
      <w:r w:rsidRPr="00796E1A">
        <w:rPr>
          <w:rFonts w:ascii="Arial" w:hAnsi="Arial" w:cs="Arial"/>
        </w:rPr>
        <w:t xml:space="preserve"> 2026).</w:t>
      </w:r>
    </w:p>
    <w:p w14:paraId="28C3365B" w14:textId="436E880C" w:rsidR="00036ED2" w:rsidRPr="00796E1A" w:rsidRDefault="00036ED2" w:rsidP="00175C13">
      <w:pPr>
        <w:spacing w:line="360" w:lineRule="auto"/>
        <w:rPr>
          <w:rFonts w:ascii="Arial" w:hAnsi="Arial" w:cs="Arial"/>
        </w:rPr>
      </w:pPr>
      <w:r w:rsidRPr="00796E1A">
        <w:rPr>
          <w:rFonts w:ascii="Arial" w:hAnsi="Arial" w:cs="Arial"/>
        </w:rPr>
        <w:t xml:space="preserve">Campbell, K.L., Babiarz, A., Wang, Y., Tilton, N.A., Black, M.M. et al. (2018) ‘Factors in the home environment associated with toddler diet: an ecological momentary assessment study’, </w:t>
      </w:r>
      <w:r w:rsidRPr="00796E1A">
        <w:rPr>
          <w:rFonts w:ascii="Arial" w:hAnsi="Arial" w:cs="Arial"/>
          <w:i/>
          <w:iCs/>
        </w:rPr>
        <w:t>Public Health Nutrition</w:t>
      </w:r>
      <w:r w:rsidRPr="00796E1A">
        <w:rPr>
          <w:rFonts w:ascii="Arial" w:hAnsi="Arial" w:cs="Arial"/>
        </w:rPr>
        <w:t xml:space="preserve">, 21(10), pp. 1855–1864. Available at: </w:t>
      </w:r>
      <w:hyperlink r:id="rId12" w:history="1">
        <w:r w:rsidRPr="00796E1A">
          <w:rPr>
            <w:rStyle w:val="Hyperlink"/>
            <w:rFonts w:ascii="Arial" w:hAnsi="Arial" w:cs="Arial"/>
          </w:rPr>
          <w:t>https://doi.org/10.1017/S1368980018000186</w:t>
        </w:r>
      </w:hyperlink>
      <w:r w:rsidRPr="00796E1A">
        <w:rPr>
          <w:rFonts w:ascii="Arial" w:hAnsi="Arial" w:cs="Arial"/>
        </w:rPr>
        <w:t xml:space="preserve"> (Accessed: 3</w:t>
      </w:r>
      <w:r w:rsidR="008B0B6F" w:rsidRPr="00796E1A">
        <w:rPr>
          <w:rFonts w:ascii="Arial" w:hAnsi="Arial" w:cs="Arial"/>
        </w:rPr>
        <w:t>0 May</w:t>
      </w:r>
      <w:r w:rsidRPr="00796E1A">
        <w:rPr>
          <w:rFonts w:ascii="Arial" w:hAnsi="Arial" w:cs="Arial"/>
        </w:rPr>
        <w:t xml:space="preserve"> 2026).</w:t>
      </w:r>
    </w:p>
    <w:p w14:paraId="6409077D" w14:textId="77777777" w:rsidR="00036ED2" w:rsidRPr="00796E1A" w:rsidRDefault="00036ED2" w:rsidP="00175C13">
      <w:pPr>
        <w:spacing w:line="360" w:lineRule="auto"/>
        <w:rPr>
          <w:rFonts w:ascii="Arial" w:hAnsi="Arial" w:cs="Arial"/>
        </w:rPr>
      </w:pPr>
      <w:r w:rsidRPr="00796E1A">
        <w:rPr>
          <w:rFonts w:ascii="Arial" w:hAnsi="Arial" w:cs="Arial"/>
        </w:rPr>
        <w:t xml:space="preserve">Chung, A., McCann, J., Esdaile, E., Hull, N., Baker, P., Laws, R. et al. (2025) ‘Driving research and advocacy for healthy infant and toddler diets: The Infant and Toddler Foods Research Alliance’, </w:t>
      </w:r>
      <w:r w:rsidRPr="00796E1A">
        <w:rPr>
          <w:rFonts w:ascii="Arial" w:hAnsi="Arial" w:cs="Arial"/>
          <w:i/>
          <w:iCs/>
        </w:rPr>
        <w:t>Maternal &amp; Child Nutrition</w:t>
      </w:r>
      <w:r w:rsidRPr="00796E1A">
        <w:rPr>
          <w:rFonts w:ascii="Arial" w:hAnsi="Arial" w:cs="Arial"/>
        </w:rPr>
        <w:t xml:space="preserve">, 21(1), e70013. Available at: </w:t>
      </w:r>
      <w:hyperlink r:id="rId13" w:history="1">
        <w:r w:rsidRPr="00796E1A">
          <w:rPr>
            <w:rStyle w:val="Hyperlink"/>
            <w:rFonts w:ascii="Arial" w:hAnsi="Arial" w:cs="Arial"/>
          </w:rPr>
          <w:t>https://doi.org/10.1111/mcn.70013</w:t>
        </w:r>
      </w:hyperlink>
      <w:r w:rsidRPr="00796E1A">
        <w:rPr>
          <w:rFonts w:ascii="Arial" w:hAnsi="Arial" w:cs="Arial"/>
        </w:rPr>
        <w:t xml:space="preserve"> (Accessed: 3 June 2026).</w:t>
      </w:r>
    </w:p>
    <w:p w14:paraId="49713CB9" w14:textId="77777777" w:rsidR="00036ED2" w:rsidRPr="00796E1A" w:rsidRDefault="00036ED2" w:rsidP="00175C13">
      <w:pPr>
        <w:spacing w:line="360" w:lineRule="auto"/>
        <w:rPr>
          <w:rFonts w:ascii="Arial" w:hAnsi="Arial" w:cs="Arial"/>
        </w:rPr>
      </w:pPr>
      <w:r w:rsidRPr="00796E1A">
        <w:rPr>
          <w:rFonts w:ascii="Arial" w:hAnsi="Arial" w:cs="Arial"/>
        </w:rPr>
        <w:t xml:space="preserve">Eating </w:t>
      </w:r>
      <w:proofErr w:type="spellStart"/>
      <w:r w:rsidRPr="00796E1A">
        <w:rPr>
          <w:rFonts w:ascii="Arial" w:hAnsi="Arial" w:cs="Arial"/>
        </w:rPr>
        <w:t>Behaviors</w:t>
      </w:r>
      <w:proofErr w:type="spellEnd"/>
      <w:r w:rsidRPr="00796E1A">
        <w:rPr>
          <w:rFonts w:ascii="Arial" w:hAnsi="Arial" w:cs="Arial"/>
        </w:rPr>
        <w:t xml:space="preserve"> (no date) </w:t>
      </w:r>
      <w:r w:rsidRPr="00796E1A">
        <w:rPr>
          <w:rFonts w:ascii="Arial" w:hAnsi="Arial" w:cs="Arial"/>
          <w:i/>
          <w:iCs/>
        </w:rPr>
        <w:t>Journal homepage</w:t>
      </w:r>
      <w:r w:rsidRPr="00796E1A">
        <w:rPr>
          <w:rFonts w:ascii="Arial" w:hAnsi="Arial" w:cs="Arial"/>
        </w:rPr>
        <w:t xml:space="preserve">. Elsevier. Available at: </w:t>
      </w:r>
      <w:hyperlink r:id="rId14" w:history="1">
        <w:r w:rsidRPr="00796E1A">
          <w:rPr>
            <w:rStyle w:val="Hyperlink"/>
            <w:rFonts w:ascii="Arial" w:hAnsi="Arial" w:cs="Arial"/>
          </w:rPr>
          <w:t>https://www.sciencedirect.com/journal/eating-behaviors</w:t>
        </w:r>
      </w:hyperlink>
      <w:r w:rsidRPr="00796E1A">
        <w:rPr>
          <w:rFonts w:ascii="Arial" w:hAnsi="Arial" w:cs="Arial"/>
        </w:rPr>
        <w:t xml:space="preserve"> (Accessed: 27 May 2026).</w:t>
      </w:r>
    </w:p>
    <w:p w14:paraId="183357C8" w14:textId="11D99F7C" w:rsidR="00036ED2" w:rsidRPr="00796E1A" w:rsidRDefault="00036ED2" w:rsidP="00175C13">
      <w:pPr>
        <w:spacing w:line="360" w:lineRule="auto"/>
        <w:rPr>
          <w:rFonts w:ascii="Arial" w:hAnsi="Arial" w:cs="Arial"/>
        </w:rPr>
      </w:pPr>
      <w:r w:rsidRPr="00796E1A">
        <w:rPr>
          <w:rFonts w:ascii="Arial" w:hAnsi="Arial" w:cs="Arial"/>
        </w:rPr>
        <w:t xml:space="preserve">Engels, L., Mons, C., </w:t>
      </w:r>
      <w:proofErr w:type="spellStart"/>
      <w:r w:rsidRPr="00796E1A">
        <w:rPr>
          <w:rFonts w:ascii="Arial" w:hAnsi="Arial" w:cs="Arial"/>
        </w:rPr>
        <w:t>Mergelsberg</w:t>
      </w:r>
      <w:proofErr w:type="spellEnd"/>
      <w:r w:rsidRPr="00796E1A">
        <w:rPr>
          <w:rFonts w:ascii="Arial" w:hAnsi="Arial" w:cs="Arial"/>
        </w:rPr>
        <w:t xml:space="preserve">, E., Kothe, E., Hamilton, K. and Gardner, B. (2022) ‘How to improve the diet of toddlers? The feasibility of an online, habit-based intervention targeting parental feeding behaviour’, </w:t>
      </w:r>
      <w:r w:rsidRPr="00796E1A">
        <w:rPr>
          <w:rFonts w:ascii="Arial" w:hAnsi="Arial" w:cs="Arial"/>
          <w:i/>
          <w:iCs/>
        </w:rPr>
        <w:t xml:space="preserve">Health Psychology and </w:t>
      </w:r>
      <w:proofErr w:type="spellStart"/>
      <w:r w:rsidRPr="00796E1A">
        <w:rPr>
          <w:rFonts w:ascii="Arial" w:hAnsi="Arial" w:cs="Arial"/>
          <w:i/>
          <w:iCs/>
        </w:rPr>
        <w:t>Behavioral</w:t>
      </w:r>
      <w:proofErr w:type="spellEnd"/>
      <w:r w:rsidRPr="00796E1A">
        <w:rPr>
          <w:rFonts w:ascii="Arial" w:hAnsi="Arial" w:cs="Arial"/>
          <w:i/>
          <w:iCs/>
        </w:rPr>
        <w:t xml:space="preserve"> Medicine</w:t>
      </w:r>
      <w:r w:rsidRPr="00796E1A">
        <w:rPr>
          <w:rFonts w:ascii="Arial" w:hAnsi="Arial" w:cs="Arial"/>
        </w:rPr>
        <w:t xml:space="preserve">, 10(1), pp. 1020–1037. Available at: </w:t>
      </w:r>
      <w:hyperlink r:id="rId15" w:history="1">
        <w:r w:rsidRPr="00796E1A">
          <w:rPr>
            <w:rStyle w:val="Hyperlink"/>
            <w:rFonts w:ascii="Arial" w:hAnsi="Arial" w:cs="Arial"/>
          </w:rPr>
          <w:t>https://doi.org/10.1080/21642850.2022.2134869</w:t>
        </w:r>
      </w:hyperlink>
      <w:r w:rsidRPr="00796E1A">
        <w:rPr>
          <w:rFonts w:ascii="Arial" w:hAnsi="Arial" w:cs="Arial"/>
        </w:rPr>
        <w:t xml:space="preserve"> (Accessed: </w:t>
      </w:r>
      <w:r w:rsidR="008B0B6F" w:rsidRPr="00796E1A">
        <w:rPr>
          <w:rFonts w:ascii="Arial" w:hAnsi="Arial" w:cs="Arial"/>
        </w:rPr>
        <w:t>27</w:t>
      </w:r>
      <w:r w:rsidRPr="00796E1A">
        <w:rPr>
          <w:rFonts w:ascii="Arial" w:hAnsi="Arial" w:cs="Arial"/>
        </w:rPr>
        <w:t xml:space="preserve"> </w:t>
      </w:r>
      <w:r w:rsidR="008B0B6F" w:rsidRPr="00796E1A">
        <w:rPr>
          <w:rFonts w:ascii="Arial" w:hAnsi="Arial" w:cs="Arial"/>
        </w:rPr>
        <w:t>May</w:t>
      </w:r>
      <w:r w:rsidRPr="00796E1A">
        <w:rPr>
          <w:rFonts w:ascii="Arial" w:hAnsi="Arial" w:cs="Arial"/>
        </w:rPr>
        <w:t xml:space="preserve"> 2026).</w:t>
      </w:r>
    </w:p>
    <w:p w14:paraId="04BB4D94" w14:textId="6D5FD7F5" w:rsidR="00036ED2" w:rsidRPr="00796E1A" w:rsidRDefault="00036ED2" w:rsidP="00175C13">
      <w:pPr>
        <w:spacing w:line="360" w:lineRule="auto"/>
        <w:rPr>
          <w:rFonts w:ascii="Arial" w:hAnsi="Arial" w:cs="Arial"/>
        </w:rPr>
      </w:pPr>
      <w:r w:rsidRPr="00796E1A">
        <w:rPr>
          <w:rFonts w:ascii="Arial" w:hAnsi="Arial" w:cs="Arial"/>
        </w:rPr>
        <w:t>Johannessen, B., Glavin, K. and Andersson-</w:t>
      </w:r>
      <w:proofErr w:type="spellStart"/>
      <w:r w:rsidRPr="00796E1A">
        <w:rPr>
          <w:rFonts w:ascii="Arial" w:hAnsi="Arial" w:cs="Arial"/>
        </w:rPr>
        <w:t>Gäre</w:t>
      </w:r>
      <w:proofErr w:type="spellEnd"/>
      <w:r w:rsidRPr="00796E1A">
        <w:rPr>
          <w:rFonts w:ascii="Arial" w:hAnsi="Arial" w:cs="Arial"/>
        </w:rPr>
        <w:t xml:space="preserve">, B. (2018) ‘“A bumpy road”: Kindergarten staff’s experiences with an intervention to promote healthy diets in toddlers’, </w:t>
      </w:r>
      <w:r w:rsidRPr="00796E1A">
        <w:rPr>
          <w:rFonts w:ascii="Arial" w:hAnsi="Arial" w:cs="Arial"/>
          <w:i/>
          <w:iCs/>
        </w:rPr>
        <w:t>Appetite</w:t>
      </w:r>
      <w:r w:rsidRPr="00796E1A">
        <w:rPr>
          <w:rFonts w:ascii="Arial" w:hAnsi="Arial" w:cs="Arial"/>
        </w:rPr>
        <w:t xml:space="preserve">, 127, pp. 37–43. Available at: </w:t>
      </w:r>
      <w:hyperlink r:id="rId16" w:history="1">
        <w:r w:rsidRPr="00796E1A">
          <w:rPr>
            <w:rStyle w:val="Hyperlink"/>
            <w:rFonts w:ascii="Arial" w:hAnsi="Arial" w:cs="Arial"/>
          </w:rPr>
          <w:t>https://doi.org/10.1016/j.appet.2018.04.018</w:t>
        </w:r>
      </w:hyperlink>
      <w:r w:rsidRPr="00796E1A">
        <w:rPr>
          <w:rFonts w:ascii="Arial" w:hAnsi="Arial" w:cs="Arial"/>
        </w:rPr>
        <w:t xml:space="preserve"> (Accessed: </w:t>
      </w:r>
      <w:r w:rsidR="008B0B6F" w:rsidRPr="00796E1A">
        <w:rPr>
          <w:rFonts w:ascii="Arial" w:hAnsi="Arial" w:cs="Arial"/>
        </w:rPr>
        <w:t>1</w:t>
      </w:r>
      <w:r w:rsidRPr="00796E1A">
        <w:rPr>
          <w:rFonts w:ascii="Arial" w:hAnsi="Arial" w:cs="Arial"/>
        </w:rPr>
        <w:t xml:space="preserve"> June 2026).</w:t>
      </w:r>
    </w:p>
    <w:p w14:paraId="209BE9E7" w14:textId="77777777" w:rsidR="00036ED2" w:rsidRPr="00796E1A" w:rsidRDefault="00036ED2" w:rsidP="00175C13">
      <w:pPr>
        <w:spacing w:line="360" w:lineRule="auto"/>
        <w:rPr>
          <w:rFonts w:ascii="Arial" w:hAnsi="Arial" w:cs="Arial"/>
        </w:rPr>
      </w:pPr>
      <w:r w:rsidRPr="00796E1A">
        <w:rPr>
          <w:rFonts w:ascii="Arial" w:hAnsi="Arial" w:cs="Arial"/>
        </w:rPr>
        <w:t xml:space="preserve">Mahmood, L., Flores-Barrantes, P., Moreno, L.A., </w:t>
      </w:r>
      <w:proofErr w:type="spellStart"/>
      <w:r w:rsidRPr="00796E1A">
        <w:rPr>
          <w:rFonts w:ascii="Arial" w:hAnsi="Arial" w:cs="Arial"/>
        </w:rPr>
        <w:t>Manios</w:t>
      </w:r>
      <w:proofErr w:type="spellEnd"/>
      <w:r w:rsidRPr="00796E1A">
        <w:rPr>
          <w:rFonts w:ascii="Arial" w:hAnsi="Arial" w:cs="Arial"/>
        </w:rPr>
        <w:t xml:space="preserve">, Y. and Gonzalez-Gil, E.M. (2021) ‘The influence of parental dietary </w:t>
      </w:r>
      <w:proofErr w:type="spellStart"/>
      <w:r w:rsidRPr="00796E1A">
        <w:rPr>
          <w:rFonts w:ascii="Arial" w:hAnsi="Arial" w:cs="Arial"/>
        </w:rPr>
        <w:t>behaviors</w:t>
      </w:r>
      <w:proofErr w:type="spellEnd"/>
      <w:r w:rsidRPr="00796E1A">
        <w:rPr>
          <w:rFonts w:ascii="Arial" w:hAnsi="Arial" w:cs="Arial"/>
        </w:rPr>
        <w:t xml:space="preserve"> and practices on children’s eating habits’, </w:t>
      </w:r>
      <w:r w:rsidRPr="00796E1A">
        <w:rPr>
          <w:rFonts w:ascii="Arial" w:hAnsi="Arial" w:cs="Arial"/>
          <w:i/>
          <w:iCs/>
        </w:rPr>
        <w:t>Nutrients</w:t>
      </w:r>
      <w:r w:rsidRPr="00796E1A">
        <w:rPr>
          <w:rFonts w:ascii="Arial" w:hAnsi="Arial" w:cs="Arial"/>
        </w:rPr>
        <w:t xml:space="preserve">, 13(4), p. 1138. Available at: </w:t>
      </w:r>
      <w:hyperlink r:id="rId17" w:history="1">
        <w:r w:rsidRPr="00796E1A">
          <w:rPr>
            <w:rStyle w:val="Hyperlink"/>
            <w:rFonts w:ascii="Arial" w:hAnsi="Arial" w:cs="Arial"/>
          </w:rPr>
          <w:t>https://doi.org/10.3390/nu13041138</w:t>
        </w:r>
      </w:hyperlink>
      <w:r w:rsidRPr="00796E1A">
        <w:rPr>
          <w:rFonts w:ascii="Arial" w:hAnsi="Arial" w:cs="Arial"/>
        </w:rPr>
        <w:t xml:space="preserve"> (Accessed: 3 June 2026).</w:t>
      </w:r>
    </w:p>
    <w:p w14:paraId="1869132B" w14:textId="6AA70F2E" w:rsidR="00036ED2" w:rsidRPr="00796E1A" w:rsidRDefault="00036ED2" w:rsidP="00175C13">
      <w:pPr>
        <w:spacing w:line="360" w:lineRule="auto"/>
        <w:rPr>
          <w:rFonts w:ascii="Arial" w:hAnsi="Arial" w:cs="Arial"/>
        </w:rPr>
      </w:pPr>
      <w:r w:rsidRPr="00796E1A">
        <w:rPr>
          <w:rFonts w:ascii="Arial" w:hAnsi="Arial" w:cs="Arial"/>
        </w:rPr>
        <w:lastRenderedPageBreak/>
        <w:t xml:space="preserve">More, J. (2021) </w:t>
      </w:r>
      <w:r w:rsidRPr="00796E1A">
        <w:rPr>
          <w:rFonts w:ascii="Arial" w:hAnsi="Arial" w:cs="Arial"/>
          <w:i/>
          <w:iCs/>
        </w:rPr>
        <w:t>Infant, Child and Adolescent Nutrition: A Practical Handbook</w:t>
      </w:r>
      <w:r w:rsidRPr="00796E1A">
        <w:rPr>
          <w:rFonts w:ascii="Arial" w:hAnsi="Arial" w:cs="Arial"/>
        </w:rPr>
        <w:t xml:space="preserve">. 2nd </w:t>
      </w:r>
      <w:proofErr w:type="spellStart"/>
      <w:r w:rsidRPr="00796E1A">
        <w:rPr>
          <w:rFonts w:ascii="Arial" w:hAnsi="Arial" w:cs="Arial"/>
        </w:rPr>
        <w:t>edn</w:t>
      </w:r>
      <w:proofErr w:type="spellEnd"/>
      <w:r w:rsidRPr="00796E1A">
        <w:rPr>
          <w:rFonts w:ascii="Arial" w:hAnsi="Arial" w:cs="Arial"/>
        </w:rPr>
        <w:t xml:space="preserve">. Boca Raton, FL: CRC Press. Available at: </w:t>
      </w:r>
      <w:hyperlink r:id="rId18" w:history="1">
        <w:r w:rsidRPr="00796E1A">
          <w:rPr>
            <w:rStyle w:val="Hyperlink"/>
            <w:rFonts w:ascii="Arial" w:hAnsi="Arial" w:cs="Arial"/>
          </w:rPr>
          <w:t>https://www.routledge.com/Infant-Child-and-Adolescent-Nutrition-A-Practical-Handbook/More/p/book/9780367554552</w:t>
        </w:r>
      </w:hyperlink>
      <w:r w:rsidRPr="00796E1A">
        <w:rPr>
          <w:rFonts w:ascii="Arial" w:hAnsi="Arial" w:cs="Arial"/>
        </w:rPr>
        <w:t xml:space="preserve"> (Accessed: </w:t>
      </w:r>
      <w:r w:rsidR="008B0B6F" w:rsidRPr="00796E1A">
        <w:rPr>
          <w:rFonts w:ascii="Arial" w:hAnsi="Arial" w:cs="Arial"/>
        </w:rPr>
        <w:t xml:space="preserve">28 May </w:t>
      </w:r>
      <w:r w:rsidRPr="00796E1A">
        <w:rPr>
          <w:rFonts w:ascii="Arial" w:hAnsi="Arial" w:cs="Arial"/>
        </w:rPr>
        <w:t>2026).</w:t>
      </w:r>
    </w:p>
    <w:p w14:paraId="121120B5" w14:textId="4457099A" w:rsidR="00036ED2" w:rsidRPr="00796E1A" w:rsidRDefault="00036ED2" w:rsidP="00175C13">
      <w:pPr>
        <w:spacing w:line="360" w:lineRule="auto"/>
        <w:rPr>
          <w:rFonts w:ascii="Arial" w:hAnsi="Arial" w:cs="Arial"/>
        </w:rPr>
      </w:pPr>
      <w:r w:rsidRPr="00796E1A">
        <w:rPr>
          <w:rFonts w:ascii="Arial" w:hAnsi="Arial" w:cs="Arial"/>
        </w:rPr>
        <w:t xml:space="preserve">Røed, M., </w:t>
      </w:r>
      <w:proofErr w:type="spellStart"/>
      <w:r w:rsidRPr="00796E1A">
        <w:rPr>
          <w:rFonts w:ascii="Arial" w:hAnsi="Arial" w:cs="Arial"/>
        </w:rPr>
        <w:t>Hillesund</w:t>
      </w:r>
      <w:proofErr w:type="spellEnd"/>
      <w:r w:rsidRPr="00796E1A">
        <w:rPr>
          <w:rFonts w:ascii="Arial" w:hAnsi="Arial" w:cs="Arial"/>
        </w:rPr>
        <w:t xml:space="preserve">, E.R., Vik, F.N., Van Lippevelde, W. and Øverby, N.C. (2019) ‘The Food4toddlers study – study protocol for a web-based intervention to promote healthy diets for toddlers: a randomized controlled trial’, </w:t>
      </w:r>
      <w:r w:rsidRPr="00796E1A">
        <w:rPr>
          <w:rFonts w:ascii="Arial" w:hAnsi="Arial" w:cs="Arial"/>
          <w:i/>
          <w:iCs/>
        </w:rPr>
        <w:t>BMC Public Health</w:t>
      </w:r>
      <w:r w:rsidRPr="00796E1A">
        <w:rPr>
          <w:rFonts w:ascii="Arial" w:hAnsi="Arial" w:cs="Arial"/>
        </w:rPr>
        <w:t xml:space="preserve">, 19, p. 563. Available at: </w:t>
      </w:r>
      <w:hyperlink r:id="rId19" w:history="1">
        <w:r w:rsidRPr="00796E1A">
          <w:rPr>
            <w:rStyle w:val="Hyperlink"/>
            <w:rFonts w:ascii="Arial" w:hAnsi="Arial" w:cs="Arial"/>
          </w:rPr>
          <w:t>https://doi.org/10.1186/s12889-019-6915-x</w:t>
        </w:r>
      </w:hyperlink>
      <w:r w:rsidRPr="00796E1A">
        <w:rPr>
          <w:rFonts w:ascii="Arial" w:hAnsi="Arial" w:cs="Arial"/>
        </w:rPr>
        <w:t xml:space="preserve"> (Accessed: 3</w:t>
      </w:r>
      <w:r w:rsidR="008B0B6F" w:rsidRPr="00796E1A">
        <w:rPr>
          <w:rFonts w:ascii="Arial" w:hAnsi="Arial" w:cs="Arial"/>
        </w:rPr>
        <w:t xml:space="preserve">0 May </w:t>
      </w:r>
      <w:r w:rsidRPr="00796E1A">
        <w:rPr>
          <w:rFonts w:ascii="Arial" w:hAnsi="Arial" w:cs="Arial"/>
        </w:rPr>
        <w:t>2026).</w:t>
      </w:r>
    </w:p>
    <w:p w14:paraId="36206931" w14:textId="77777777" w:rsidR="00036ED2" w:rsidRPr="00796E1A" w:rsidRDefault="00036ED2" w:rsidP="00175C13">
      <w:pPr>
        <w:spacing w:line="360" w:lineRule="auto"/>
        <w:rPr>
          <w:rFonts w:ascii="Arial" w:hAnsi="Arial" w:cs="Arial"/>
        </w:rPr>
      </w:pPr>
      <w:r w:rsidRPr="00796E1A">
        <w:rPr>
          <w:rFonts w:ascii="Arial" w:hAnsi="Arial" w:cs="Arial"/>
        </w:rPr>
        <w:t xml:space="preserve">Scientific Advisory Committee on Nutrition (SACN) (2023) </w:t>
      </w:r>
      <w:r w:rsidRPr="00796E1A">
        <w:rPr>
          <w:rFonts w:ascii="Arial" w:hAnsi="Arial" w:cs="Arial"/>
          <w:i/>
          <w:iCs/>
        </w:rPr>
        <w:t>Feeding Young Children Aged 1 to 5 Years: Practical Considerations</w:t>
      </w:r>
      <w:r w:rsidRPr="00796E1A">
        <w:rPr>
          <w:rFonts w:ascii="Arial" w:hAnsi="Arial" w:cs="Arial"/>
        </w:rPr>
        <w:t xml:space="preserve">. London: UK Government. Available at: </w:t>
      </w:r>
      <w:hyperlink r:id="rId20" w:history="1">
        <w:r w:rsidRPr="00796E1A">
          <w:rPr>
            <w:rStyle w:val="Hyperlink"/>
            <w:rFonts w:ascii="Arial" w:hAnsi="Arial" w:cs="Arial"/>
          </w:rPr>
          <w:t>https://www.gov.uk/government/groups/scientific-advisory-committee-on-nutrition</w:t>
        </w:r>
      </w:hyperlink>
      <w:r w:rsidRPr="00796E1A">
        <w:rPr>
          <w:rFonts w:ascii="Arial" w:hAnsi="Arial" w:cs="Arial"/>
        </w:rPr>
        <w:t xml:space="preserve"> (Accessed: 3 June 2026).</w:t>
      </w:r>
    </w:p>
    <w:p w14:paraId="09320B07" w14:textId="3FF077CC" w:rsidR="00726C6E" w:rsidRDefault="00036ED2" w:rsidP="00175C13">
      <w:pPr>
        <w:spacing w:line="360" w:lineRule="auto"/>
        <w:rPr>
          <w:rFonts w:ascii="Arial" w:hAnsi="Arial" w:cs="Arial"/>
        </w:rPr>
      </w:pPr>
      <w:r w:rsidRPr="00796E1A">
        <w:rPr>
          <w:rFonts w:ascii="Arial" w:hAnsi="Arial" w:cs="Arial"/>
        </w:rPr>
        <w:t xml:space="preserve">Souza, R.V., Sarmento, R.A., Almeida, J.C. de and Canuto, R. (2019) ‘The effect of shift work on eating habits: a systematic review’, </w:t>
      </w:r>
      <w:r w:rsidRPr="00796E1A">
        <w:rPr>
          <w:rFonts w:ascii="Arial" w:hAnsi="Arial" w:cs="Arial"/>
          <w:i/>
          <w:iCs/>
        </w:rPr>
        <w:t>Scandinavian Journal of Work, Environment &amp; Health</w:t>
      </w:r>
      <w:r w:rsidRPr="00796E1A">
        <w:rPr>
          <w:rFonts w:ascii="Arial" w:hAnsi="Arial" w:cs="Arial"/>
        </w:rPr>
        <w:t xml:space="preserve">, 45(1), pp. 7–21. Available at: </w:t>
      </w:r>
      <w:hyperlink r:id="rId21" w:history="1">
        <w:r w:rsidRPr="00796E1A">
          <w:rPr>
            <w:rStyle w:val="Hyperlink"/>
            <w:rFonts w:ascii="Arial" w:hAnsi="Arial" w:cs="Arial"/>
          </w:rPr>
          <w:t>https://www.jstor.org/stable/26567055</w:t>
        </w:r>
      </w:hyperlink>
      <w:r w:rsidRPr="00796E1A">
        <w:rPr>
          <w:rFonts w:ascii="Arial" w:hAnsi="Arial" w:cs="Arial"/>
        </w:rPr>
        <w:t xml:space="preserve"> (Accessed: 3</w:t>
      </w:r>
      <w:r w:rsidR="008B0B6F" w:rsidRPr="00796E1A">
        <w:rPr>
          <w:rFonts w:ascii="Arial" w:hAnsi="Arial" w:cs="Arial"/>
        </w:rPr>
        <w:t xml:space="preserve">0 May </w:t>
      </w:r>
      <w:r w:rsidRPr="00796E1A">
        <w:rPr>
          <w:rFonts w:ascii="Arial" w:hAnsi="Arial" w:cs="Arial"/>
        </w:rPr>
        <w:t>2026).</w:t>
      </w:r>
    </w:p>
    <w:p w14:paraId="21128949" w14:textId="653FBBA6" w:rsidR="00A353AA" w:rsidRPr="00067F3A" w:rsidRDefault="00A353AA" w:rsidP="00175C13">
      <w:pPr>
        <w:spacing w:line="360" w:lineRule="auto"/>
        <w:rPr>
          <w:rFonts w:ascii="Arial" w:hAnsi="Arial" w:cs="Arial"/>
        </w:rPr>
      </w:pPr>
    </w:p>
    <w:sectPr w:rsidR="00A353AA" w:rsidRPr="00067F3A" w:rsidSect="00A271B9">
      <w:footerReference w:type="even" r:id="rId22"/>
      <w:footerReference w:type="default" r:id="rId23"/>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917EB" w14:textId="77777777" w:rsidR="00226AE0" w:rsidRDefault="00226AE0" w:rsidP="00796E1A">
      <w:pPr>
        <w:spacing w:after="0" w:line="240" w:lineRule="auto"/>
      </w:pPr>
      <w:r>
        <w:separator/>
      </w:r>
    </w:p>
  </w:endnote>
  <w:endnote w:type="continuationSeparator" w:id="0">
    <w:p w14:paraId="35F9B691" w14:textId="77777777" w:rsidR="00226AE0" w:rsidRDefault="00226AE0" w:rsidP="00796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0878879"/>
      <w:docPartObj>
        <w:docPartGallery w:val="Page Numbers (Bottom of Page)"/>
        <w:docPartUnique/>
      </w:docPartObj>
    </w:sdtPr>
    <w:sdtContent>
      <w:p w14:paraId="1E08048B" w14:textId="6E1BF4EF" w:rsidR="00796E1A" w:rsidRDefault="00796E1A" w:rsidP="00BD51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222591" w14:textId="77777777" w:rsidR="00796E1A" w:rsidRDefault="00796E1A" w:rsidP="00796E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7462656"/>
      <w:docPartObj>
        <w:docPartGallery w:val="Page Numbers (Bottom of Page)"/>
        <w:docPartUnique/>
      </w:docPartObj>
    </w:sdtPr>
    <w:sdtContent>
      <w:p w14:paraId="6FC24CBF" w14:textId="1DF81E7C" w:rsidR="00796E1A" w:rsidRDefault="00796E1A" w:rsidP="00BD51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539686" w14:textId="77777777" w:rsidR="00796E1A" w:rsidRDefault="00796E1A" w:rsidP="00796E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FF17B" w14:textId="77777777" w:rsidR="00226AE0" w:rsidRDefault="00226AE0" w:rsidP="00796E1A">
      <w:pPr>
        <w:spacing w:after="0" w:line="240" w:lineRule="auto"/>
      </w:pPr>
      <w:r>
        <w:separator/>
      </w:r>
    </w:p>
  </w:footnote>
  <w:footnote w:type="continuationSeparator" w:id="0">
    <w:p w14:paraId="6D771DF7" w14:textId="77777777" w:rsidR="00226AE0" w:rsidRDefault="00226AE0" w:rsidP="00796E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E0D4E"/>
    <w:multiLevelType w:val="multilevel"/>
    <w:tmpl w:val="3120E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C13BC"/>
    <w:multiLevelType w:val="multilevel"/>
    <w:tmpl w:val="925E8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15A1F"/>
    <w:multiLevelType w:val="multilevel"/>
    <w:tmpl w:val="1B06F374"/>
    <w:lvl w:ilvl="0">
      <w:start w:val="1"/>
      <w:numFmt w:val="decimal"/>
      <w:lvlText w:val="%1."/>
      <w:lvlJc w:val="left"/>
      <w:pPr>
        <w:tabs>
          <w:tab w:val="num" w:pos="720"/>
        </w:tabs>
        <w:ind w:left="720" w:hanging="360"/>
      </w:pPr>
      <w:rPr>
        <w:b w:val="0"/>
        <w:bCs w:val="0"/>
        <w:sz w:val="22"/>
        <w:szCs w:val="22"/>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091DFA"/>
    <w:multiLevelType w:val="multilevel"/>
    <w:tmpl w:val="8AF0A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D7971"/>
    <w:multiLevelType w:val="multilevel"/>
    <w:tmpl w:val="8156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CF481E"/>
    <w:multiLevelType w:val="multilevel"/>
    <w:tmpl w:val="EC82F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773464"/>
    <w:multiLevelType w:val="hybridMultilevel"/>
    <w:tmpl w:val="5FEC6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E23E0"/>
    <w:multiLevelType w:val="multilevel"/>
    <w:tmpl w:val="268C3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5A40B6"/>
    <w:multiLevelType w:val="hybridMultilevel"/>
    <w:tmpl w:val="996EB6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4A420C"/>
    <w:multiLevelType w:val="multilevel"/>
    <w:tmpl w:val="05CCC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866EF7"/>
    <w:multiLevelType w:val="multilevel"/>
    <w:tmpl w:val="978A1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E33D5F"/>
    <w:multiLevelType w:val="multilevel"/>
    <w:tmpl w:val="3CE44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FE3148"/>
    <w:multiLevelType w:val="multilevel"/>
    <w:tmpl w:val="A732D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867C2C"/>
    <w:multiLevelType w:val="multilevel"/>
    <w:tmpl w:val="01743B0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7E417C"/>
    <w:multiLevelType w:val="hybridMultilevel"/>
    <w:tmpl w:val="102E1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C132E9"/>
    <w:multiLevelType w:val="multilevel"/>
    <w:tmpl w:val="AB8EE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2D7A21"/>
    <w:multiLevelType w:val="multilevel"/>
    <w:tmpl w:val="35CE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D87745"/>
    <w:multiLevelType w:val="multilevel"/>
    <w:tmpl w:val="E9C85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FA2AE7"/>
    <w:multiLevelType w:val="multilevel"/>
    <w:tmpl w:val="5C2C7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9566A0"/>
    <w:multiLevelType w:val="multilevel"/>
    <w:tmpl w:val="BA526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7C7E1C"/>
    <w:multiLevelType w:val="multilevel"/>
    <w:tmpl w:val="AE220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EE61F8"/>
    <w:multiLevelType w:val="multilevel"/>
    <w:tmpl w:val="62803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473605"/>
    <w:multiLevelType w:val="hybridMultilevel"/>
    <w:tmpl w:val="44EEC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5D575A"/>
    <w:multiLevelType w:val="hybridMultilevel"/>
    <w:tmpl w:val="B420C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266970"/>
    <w:multiLevelType w:val="multilevel"/>
    <w:tmpl w:val="5B8C7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AE580E"/>
    <w:multiLevelType w:val="hybridMultilevel"/>
    <w:tmpl w:val="B2B8B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7D087E"/>
    <w:multiLevelType w:val="hybridMultilevel"/>
    <w:tmpl w:val="E8C45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EF42DB"/>
    <w:multiLevelType w:val="multilevel"/>
    <w:tmpl w:val="2DC2F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DA6D59"/>
    <w:multiLevelType w:val="multilevel"/>
    <w:tmpl w:val="832C9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594CED"/>
    <w:multiLevelType w:val="multilevel"/>
    <w:tmpl w:val="B5622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5405B9"/>
    <w:multiLevelType w:val="multilevel"/>
    <w:tmpl w:val="80E65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A84C0F"/>
    <w:multiLevelType w:val="hybridMultilevel"/>
    <w:tmpl w:val="36467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451073"/>
    <w:multiLevelType w:val="hybridMultilevel"/>
    <w:tmpl w:val="9216C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EA4FFA"/>
    <w:multiLevelType w:val="multilevel"/>
    <w:tmpl w:val="FBCA0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3645987">
    <w:abstractNumId w:val="32"/>
  </w:num>
  <w:num w:numId="2" w16cid:durableId="948122787">
    <w:abstractNumId w:val="23"/>
  </w:num>
  <w:num w:numId="3" w16cid:durableId="1751854550">
    <w:abstractNumId w:val="20"/>
  </w:num>
  <w:num w:numId="4" w16cid:durableId="1571116550">
    <w:abstractNumId w:val="25"/>
  </w:num>
  <w:num w:numId="5" w16cid:durableId="409893232">
    <w:abstractNumId w:val="14"/>
  </w:num>
  <w:num w:numId="6" w16cid:durableId="803932621">
    <w:abstractNumId w:val="8"/>
  </w:num>
  <w:num w:numId="7" w16cid:durableId="264726464">
    <w:abstractNumId w:val="31"/>
  </w:num>
  <w:num w:numId="8" w16cid:durableId="842428519">
    <w:abstractNumId w:val="26"/>
  </w:num>
  <w:num w:numId="9" w16cid:durableId="824787051">
    <w:abstractNumId w:val="6"/>
  </w:num>
  <w:num w:numId="10" w16cid:durableId="1003627316">
    <w:abstractNumId w:val="13"/>
  </w:num>
  <w:num w:numId="11" w16cid:durableId="1362634146">
    <w:abstractNumId w:val="12"/>
  </w:num>
  <w:num w:numId="12" w16cid:durableId="570887884">
    <w:abstractNumId w:val="33"/>
  </w:num>
  <w:num w:numId="13" w16cid:durableId="393745244">
    <w:abstractNumId w:val="21"/>
  </w:num>
  <w:num w:numId="14" w16cid:durableId="560795180">
    <w:abstractNumId w:val="22"/>
  </w:num>
  <w:num w:numId="15" w16cid:durableId="1557665426">
    <w:abstractNumId w:val="15"/>
  </w:num>
  <w:num w:numId="16" w16cid:durableId="564029966">
    <w:abstractNumId w:val="4"/>
  </w:num>
  <w:num w:numId="17" w16cid:durableId="747577527">
    <w:abstractNumId w:val="30"/>
  </w:num>
  <w:num w:numId="18" w16cid:durableId="1311784444">
    <w:abstractNumId w:val="18"/>
  </w:num>
  <w:num w:numId="19" w16cid:durableId="1186796789">
    <w:abstractNumId w:val="10"/>
  </w:num>
  <w:num w:numId="20" w16cid:durableId="443620891">
    <w:abstractNumId w:val="19"/>
  </w:num>
  <w:num w:numId="21" w16cid:durableId="1914466079">
    <w:abstractNumId w:val="11"/>
  </w:num>
  <w:num w:numId="22" w16cid:durableId="294213529">
    <w:abstractNumId w:val="2"/>
  </w:num>
  <w:num w:numId="23" w16cid:durableId="995650401">
    <w:abstractNumId w:val="24"/>
  </w:num>
  <w:num w:numId="24" w16cid:durableId="1364787911">
    <w:abstractNumId w:val="16"/>
  </w:num>
  <w:num w:numId="25" w16cid:durableId="2048290806">
    <w:abstractNumId w:val="17"/>
  </w:num>
  <w:num w:numId="26" w16cid:durableId="549149966">
    <w:abstractNumId w:val="0"/>
  </w:num>
  <w:num w:numId="27" w16cid:durableId="1125736855">
    <w:abstractNumId w:val="9"/>
  </w:num>
  <w:num w:numId="28" w16cid:durableId="1842164572">
    <w:abstractNumId w:val="7"/>
  </w:num>
  <w:num w:numId="29" w16cid:durableId="923104774">
    <w:abstractNumId w:val="3"/>
  </w:num>
  <w:num w:numId="30" w16cid:durableId="2135050855">
    <w:abstractNumId w:val="1"/>
  </w:num>
  <w:num w:numId="31" w16cid:durableId="751511833">
    <w:abstractNumId w:val="5"/>
  </w:num>
  <w:num w:numId="32" w16cid:durableId="1358117317">
    <w:abstractNumId w:val="27"/>
  </w:num>
  <w:num w:numId="33" w16cid:durableId="2027320186">
    <w:abstractNumId w:val="29"/>
  </w:num>
  <w:num w:numId="34" w16cid:durableId="132331785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A66"/>
    <w:rsid w:val="00004DAC"/>
    <w:rsid w:val="00036ED2"/>
    <w:rsid w:val="000524BB"/>
    <w:rsid w:val="00067F3A"/>
    <w:rsid w:val="00071C38"/>
    <w:rsid w:val="000A2B78"/>
    <w:rsid w:val="000A7481"/>
    <w:rsid w:val="000C785D"/>
    <w:rsid w:val="00125670"/>
    <w:rsid w:val="00131552"/>
    <w:rsid w:val="00156E2E"/>
    <w:rsid w:val="00175C13"/>
    <w:rsid w:val="001825C5"/>
    <w:rsid w:val="001B2B4D"/>
    <w:rsid w:val="001E2D6F"/>
    <w:rsid w:val="002159E4"/>
    <w:rsid w:val="00226AE0"/>
    <w:rsid w:val="002C66B7"/>
    <w:rsid w:val="003B60CE"/>
    <w:rsid w:val="003C4235"/>
    <w:rsid w:val="003D695E"/>
    <w:rsid w:val="004072A9"/>
    <w:rsid w:val="00454FB5"/>
    <w:rsid w:val="004A22B4"/>
    <w:rsid w:val="004A7D68"/>
    <w:rsid w:val="004B06F6"/>
    <w:rsid w:val="004D5F9B"/>
    <w:rsid w:val="004E7920"/>
    <w:rsid w:val="00581D91"/>
    <w:rsid w:val="005D75E1"/>
    <w:rsid w:val="006E2CC9"/>
    <w:rsid w:val="00726C6E"/>
    <w:rsid w:val="00780919"/>
    <w:rsid w:val="00796E1A"/>
    <w:rsid w:val="007F1B6C"/>
    <w:rsid w:val="00800F0C"/>
    <w:rsid w:val="00832057"/>
    <w:rsid w:val="0086384E"/>
    <w:rsid w:val="008A7AD1"/>
    <w:rsid w:val="008B0B6F"/>
    <w:rsid w:val="00923698"/>
    <w:rsid w:val="00931494"/>
    <w:rsid w:val="00945352"/>
    <w:rsid w:val="009C1BA1"/>
    <w:rsid w:val="009C732E"/>
    <w:rsid w:val="009D7024"/>
    <w:rsid w:val="00A23AF4"/>
    <w:rsid w:val="00A271B9"/>
    <w:rsid w:val="00A353AA"/>
    <w:rsid w:val="00A666EA"/>
    <w:rsid w:val="00A74636"/>
    <w:rsid w:val="00AC23D1"/>
    <w:rsid w:val="00AD0C5E"/>
    <w:rsid w:val="00AD70B1"/>
    <w:rsid w:val="00AF708B"/>
    <w:rsid w:val="00B0248F"/>
    <w:rsid w:val="00B20320"/>
    <w:rsid w:val="00B23A66"/>
    <w:rsid w:val="00B45426"/>
    <w:rsid w:val="00B4723E"/>
    <w:rsid w:val="00B4767F"/>
    <w:rsid w:val="00B5541A"/>
    <w:rsid w:val="00B91D6B"/>
    <w:rsid w:val="00BA5EC6"/>
    <w:rsid w:val="00BD5309"/>
    <w:rsid w:val="00BF6E22"/>
    <w:rsid w:val="00C033D3"/>
    <w:rsid w:val="00C16708"/>
    <w:rsid w:val="00C208B9"/>
    <w:rsid w:val="00D06F2B"/>
    <w:rsid w:val="00DD4404"/>
    <w:rsid w:val="00DE1AB7"/>
    <w:rsid w:val="00E034E7"/>
    <w:rsid w:val="00E55F1C"/>
    <w:rsid w:val="00E600CA"/>
    <w:rsid w:val="00E769DC"/>
    <w:rsid w:val="00E90C69"/>
    <w:rsid w:val="00FE4086"/>
    <w:rsid w:val="00FF3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12699"/>
  <w15:chartTrackingRefBased/>
  <w15:docId w15:val="{453DE915-22A6-4AF4-B427-4D9768674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32E"/>
  </w:style>
  <w:style w:type="paragraph" w:styleId="Heading1">
    <w:name w:val="heading 1"/>
    <w:basedOn w:val="Normal"/>
    <w:next w:val="Normal"/>
    <w:link w:val="Heading1Char"/>
    <w:uiPriority w:val="9"/>
    <w:qFormat/>
    <w:rsid w:val="00B23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3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3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A66"/>
    <w:rPr>
      <w:rFonts w:eastAsiaTheme="majorEastAsia" w:cstheme="majorBidi"/>
      <w:color w:val="272727" w:themeColor="text1" w:themeTint="D8"/>
    </w:rPr>
  </w:style>
  <w:style w:type="paragraph" w:styleId="Title">
    <w:name w:val="Title"/>
    <w:basedOn w:val="Normal"/>
    <w:next w:val="Normal"/>
    <w:link w:val="TitleChar"/>
    <w:uiPriority w:val="10"/>
    <w:qFormat/>
    <w:rsid w:val="00B23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A66"/>
    <w:pPr>
      <w:spacing w:before="160"/>
      <w:jc w:val="center"/>
    </w:pPr>
    <w:rPr>
      <w:i/>
      <w:iCs/>
      <w:color w:val="404040" w:themeColor="text1" w:themeTint="BF"/>
    </w:rPr>
  </w:style>
  <w:style w:type="character" w:customStyle="1" w:styleId="QuoteChar">
    <w:name w:val="Quote Char"/>
    <w:basedOn w:val="DefaultParagraphFont"/>
    <w:link w:val="Quote"/>
    <w:uiPriority w:val="29"/>
    <w:rsid w:val="00B23A66"/>
    <w:rPr>
      <w:i/>
      <w:iCs/>
      <w:color w:val="404040" w:themeColor="text1" w:themeTint="BF"/>
    </w:rPr>
  </w:style>
  <w:style w:type="paragraph" w:styleId="ListParagraph">
    <w:name w:val="List Paragraph"/>
    <w:basedOn w:val="Normal"/>
    <w:uiPriority w:val="34"/>
    <w:qFormat/>
    <w:rsid w:val="00B23A66"/>
    <w:pPr>
      <w:ind w:left="720"/>
      <w:contextualSpacing/>
    </w:pPr>
  </w:style>
  <w:style w:type="character" w:styleId="IntenseEmphasis">
    <w:name w:val="Intense Emphasis"/>
    <w:basedOn w:val="DefaultParagraphFont"/>
    <w:uiPriority w:val="21"/>
    <w:qFormat/>
    <w:rsid w:val="00B23A66"/>
    <w:rPr>
      <w:i/>
      <w:iCs/>
      <w:color w:val="0F4761" w:themeColor="accent1" w:themeShade="BF"/>
    </w:rPr>
  </w:style>
  <w:style w:type="paragraph" w:styleId="IntenseQuote">
    <w:name w:val="Intense Quote"/>
    <w:basedOn w:val="Normal"/>
    <w:next w:val="Normal"/>
    <w:link w:val="IntenseQuoteChar"/>
    <w:uiPriority w:val="30"/>
    <w:qFormat/>
    <w:rsid w:val="00B23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A66"/>
    <w:rPr>
      <w:i/>
      <w:iCs/>
      <w:color w:val="0F4761" w:themeColor="accent1" w:themeShade="BF"/>
    </w:rPr>
  </w:style>
  <w:style w:type="character" w:styleId="IntenseReference">
    <w:name w:val="Intense Reference"/>
    <w:basedOn w:val="DefaultParagraphFont"/>
    <w:uiPriority w:val="32"/>
    <w:qFormat/>
    <w:rsid w:val="00B23A66"/>
    <w:rPr>
      <w:b/>
      <w:bCs/>
      <w:smallCaps/>
      <w:color w:val="0F4761" w:themeColor="accent1" w:themeShade="BF"/>
      <w:spacing w:val="5"/>
    </w:rPr>
  </w:style>
  <w:style w:type="character" w:styleId="Hyperlink">
    <w:name w:val="Hyperlink"/>
    <w:basedOn w:val="DefaultParagraphFont"/>
    <w:uiPriority w:val="99"/>
    <w:unhideWhenUsed/>
    <w:rsid w:val="00B5541A"/>
    <w:rPr>
      <w:color w:val="467886" w:themeColor="hyperlink"/>
      <w:u w:val="single"/>
    </w:rPr>
  </w:style>
  <w:style w:type="character" w:styleId="UnresolvedMention">
    <w:name w:val="Unresolved Mention"/>
    <w:basedOn w:val="DefaultParagraphFont"/>
    <w:uiPriority w:val="99"/>
    <w:semiHidden/>
    <w:unhideWhenUsed/>
    <w:rsid w:val="00B5541A"/>
    <w:rPr>
      <w:color w:val="605E5C"/>
      <w:shd w:val="clear" w:color="auto" w:fill="E1DFDD"/>
    </w:rPr>
  </w:style>
  <w:style w:type="character" w:styleId="FollowedHyperlink">
    <w:name w:val="FollowedHyperlink"/>
    <w:basedOn w:val="DefaultParagraphFont"/>
    <w:uiPriority w:val="99"/>
    <w:semiHidden/>
    <w:unhideWhenUsed/>
    <w:rsid w:val="00AC23D1"/>
    <w:rPr>
      <w:color w:val="96607D" w:themeColor="followedHyperlink"/>
      <w:u w:val="single"/>
    </w:rPr>
  </w:style>
  <w:style w:type="paragraph" w:styleId="Footer">
    <w:name w:val="footer"/>
    <w:basedOn w:val="Normal"/>
    <w:link w:val="FooterChar"/>
    <w:uiPriority w:val="99"/>
    <w:unhideWhenUsed/>
    <w:rsid w:val="00796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E1A"/>
  </w:style>
  <w:style w:type="character" w:styleId="PageNumber">
    <w:name w:val="page number"/>
    <w:basedOn w:val="DefaultParagraphFont"/>
    <w:uiPriority w:val="99"/>
    <w:semiHidden/>
    <w:unhideWhenUsed/>
    <w:rsid w:val="00796E1A"/>
  </w:style>
  <w:style w:type="paragraph" w:styleId="TOCHeading">
    <w:name w:val="TOC Heading"/>
    <w:basedOn w:val="Heading1"/>
    <w:next w:val="Normal"/>
    <w:uiPriority w:val="39"/>
    <w:unhideWhenUsed/>
    <w:qFormat/>
    <w:rsid w:val="00796E1A"/>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796E1A"/>
    <w:pPr>
      <w:spacing w:before="120" w:after="0"/>
      <w:ind w:left="220"/>
    </w:pPr>
    <w:rPr>
      <w:b/>
      <w:bCs/>
    </w:rPr>
  </w:style>
  <w:style w:type="paragraph" w:styleId="TOC1">
    <w:name w:val="toc 1"/>
    <w:basedOn w:val="Normal"/>
    <w:next w:val="Normal"/>
    <w:autoRedefine/>
    <w:uiPriority w:val="39"/>
    <w:semiHidden/>
    <w:unhideWhenUsed/>
    <w:rsid w:val="00796E1A"/>
    <w:pPr>
      <w:spacing w:before="120" w:after="0"/>
    </w:pPr>
    <w:rPr>
      <w:b/>
      <w:bCs/>
      <w:i/>
      <w:iCs/>
      <w:sz w:val="24"/>
      <w:szCs w:val="24"/>
    </w:rPr>
  </w:style>
  <w:style w:type="paragraph" w:styleId="TOC3">
    <w:name w:val="toc 3"/>
    <w:basedOn w:val="Normal"/>
    <w:next w:val="Normal"/>
    <w:autoRedefine/>
    <w:uiPriority w:val="39"/>
    <w:semiHidden/>
    <w:unhideWhenUsed/>
    <w:rsid w:val="00796E1A"/>
    <w:pPr>
      <w:spacing w:after="0"/>
      <w:ind w:left="440"/>
    </w:pPr>
    <w:rPr>
      <w:sz w:val="20"/>
      <w:szCs w:val="20"/>
    </w:rPr>
  </w:style>
  <w:style w:type="paragraph" w:styleId="TOC4">
    <w:name w:val="toc 4"/>
    <w:basedOn w:val="Normal"/>
    <w:next w:val="Normal"/>
    <w:autoRedefine/>
    <w:uiPriority w:val="39"/>
    <w:semiHidden/>
    <w:unhideWhenUsed/>
    <w:rsid w:val="00796E1A"/>
    <w:pPr>
      <w:spacing w:after="0"/>
      <w:ind w:left="660"/>
    </w:pPr>
    <w:rPr>
      <w:sz w:val="20"/>
      <w:szCs w:val="20"/>
    </w:rPr>
  </w:style>
  <w:style w:type="paragraph" w:styleId="TOC5">
    <w:name w:val="toc 5"/>
    <w:basedOn w:val="Normal"/>
    <w:next w:val="Normal"/>
    <w:autoRedefine/>
    <w:uiPriority w:val="39"/>
    <w:semiHidden/>
    <w:unhideWhenUsed/>
    <w:rsid w:val="00796E1A"/>
    <w:pPr>
      <w:spacing w:after="0"/>
      <w:ind w:left="880"/>
    </w:pPr>
    <w:rPr>
      <w:sz w:val="20"/>
      <w:szCs w:val="20"/>
    </w:rPr>
  </w:style>
  <w:style w:type="paragraph" w:styleId="TOC6">
    <w:name w:val="toc 6"/>
    <w:basedOn w:val="Normal"/>
    <w:next w:val="Normal"/>
    <w:autoRedefine/>
    <w:uiPriority w:val="39"/>
    <w:semiHidden/>
    <w:unhideWhenUsed/>
    <w:rsid w:val="00796E1A"/>
    <w:pPr>
      <w:spacing w:after="0"/>
      <w:ind w:left="1100"/>
    </w:pPr>
    <w:rPr>
      <w:sz w:val="20"/>
      <w:szCs w:val="20"/>
    </w:rPr>
  </w:style>
  <w:style w:type="paragraph" w:styleId="TOC7">
    <w:name w:val="toc 7"/>
    <w:basedOn w:val="Normal"/>
    <w:next w:val="Normal"/>
    <w:autoRedefine/>
    <w:uiPriority w:val="39"/>
    <w:semiHidden/>
    <w:unhideWhenUsed/>
    <w:rsid w:val="00796E1A"/>
    <w:pPr>
      <w:spacing w:after="0"/>
      <w:ind w:left="1320"/>
    </w:pPr>
    <w:rPr>
      <w:sz w:val="20"/>
      <w:szCs w:val="20"/>
    </w:rPr>
  </w:style>
  <w:style w:type="paragraph" w:styleId="TOC8">
    <w:name w:val="toc 8"/>
    <w:basedOn w:val="Normal"/>
    <w:next w:val="Normal"/>
    <w:autoRedefine/>
    <w:uiPriority w:val="39"/>
    <w:semiHidden/>
    <w:unhideWhenUsed/>
    <w:rsid w:val="00796E1A"/>
    <w:pPr>
      <w:spacing w:after="0"/>
      <w:ind w:left="1540"/>
    </w:pPr>
    <w:rPr>
      <w:sz w:val="20"/>
      <w:szCs w:val="20"/>
    </w:rPr>
  </w:style>
  <w:style w:type="paragraph" w:styleId="TOC9">
    <w:name w:val="toc 9"/>
    <w:basedOn w:val="Normal"/>
    <w:next w:val="Normal"/>
    <w:autoRedefine/>
    <w:uiPriority w:val="39"/>
    <w:semiHidden/>
    <w:unhideWhenUsed/>
    <w:rsid w:val="00796E1A"/>
    <w:pPr>
      <w:spacing w:after="0"/>
      <w:ind w:left="1760"/>
    </w:pPr>
    <w:rPr>
      <w:sz w:val="20"/>
      <w:szCs w:val="20"/>
    </w:rPr>
  </w:style>
  <w:style w:type="paragraph" w:styleId="NoSpacing">
    <w:name w:val="No Spacing"/>
    <w:link w:val="NoSpacingChar"/>
    <w:uiPriority w:val="1"/>
    <w:qFormat/>
    <w:rsid w:val="00454FB5"/>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454FB5"/>
    <w:rPr>
      <w:rFonts w:eastAsiaTheme="minorEastAsia"/>
      <w:kern w:val="0"/>
      <w:lang w:val="en-US" w:eastAsia="zh-CN"/>
      <w14:ligatures w14:val="none"/>
    </w:rPr>
  </w:style>
  <w:style w:type="paragraph" w:styleId="NormalWeb">
    <w:name w:val="Normal (Web)"/>
    <w:basedOn w:val="Normal"/>
    <w:uiPriority w:val="99"/>
    <w:semiHidden/>
    <w:unhideWhenUsed/>
    <w:rsid w:val="00726C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26C6E"/>
    <w:rPr>
      <w:b/>
      <w:bCs/>
    </w:rPr>
  </w:style>
  <w:style w:type="paragraph" w:customStyle="1" w:styleId="isselectedend">
    <w:name w:val="isselectedend"/>
    <w:basedOn w:val="Normal"/>
    <w:rsid w:val="00B02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333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mcn.70013" TargetMode="External"/><Relationship Id="rId18" Type="http://schemas.openxmlformats.org/officeDocument/2006/relationships/hyperlink" Target="https://www.routledge.com/Infant-Child-and-Adolescent-Nutrition-A-Practical-Handbook/More/p/book/9780367554552" TargetMode="External"/><Relationship Id="rId3" Type="http://schemas.openxmlformats.org/officeDocument/2006/relationships/styles" Target="styles.xml"/><Relationship Id="rId21" Type="http://schemas.openxmlformats.org/officeDocument/2006/relationships/hyperlink" Target="https://www.jstor.org/stable/26567055" TargetMode="External"/><Relationship Id="rId7" Type="http://schemas.openxmlformats.org/officeDocument/2006/relationships/endnotes" Target="endnotes.xml"/><Relationship Id="rId12" Type="http://schemas.openxmlformats.org/officeDocument/2006/relationships/hyperlink" Target="https://doi.org/10.1017/S1368980018000186" TargetMode="External"/><Relationship Id="rId17" Type="http://schemas.openxmlformats.org/officeDocument/2006/relationships/hyperlink" Target="https://doi.org/10.3390/nu1304113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appet.2018.04.018" TargetMode="External"/><Relationship Id="rId20" Type="http://schemas.openxmlformats.org/officeDocument/2006/relationships/hyperlink" Target="https://www.gov.uk/government/groups/scientific-advisory-committee-on-nutri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945/ajcn.113.06904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21642850.2022.2134869" TargetMode="External"/><Relationship Id="rId23" Type="http://schemas.openxmlformats.org/officeDocument/2006/relationships/footer" Target="footer2.xml"/><Relationship Id="rId10" Type="http://schemas.openxmlformats.org/officeDocument/2006/relationships/hyperlink" Target="https://doi.org/10.1136/archdischild-2013-305833" TargetMode="External"/><Relationship Id="rId19" Type="http://schemas.openxmlformats.org/officeDocument/2006/relationships/hyperlink" Target="https://doi.org/10.1186/s12889-019-6915-x" TargetMode="External"/><Relationship Id="rId4" Type="http://schemas.openxmlformats.org/officeDocument/2006/relationships/settings" Target="settings.xml"/><Relationship Id="rId9" Type="http://schemas.openxmlformats.org/officeDocument/2006/relationships/hyperlink" Target="https://uk.sagepub.com/en-gb/eur/food-and-health-in-early-childhood/book231896" TargetMode="External"/><Relationship Id="rId14" Type="http://schemas.openxmlformats.org/officeDocument/2006/relationships/hyperlink" Target="https://www.sciencedirect.com/journal/eating-behavior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648E4-2430-734D-AD4D-E595EF25D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1285</Words>
  <Characters>7327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Dounia Allaiouti</dc:creator>
  <cp:keywords/>
  <dc:description/>
  <cp:lastModifiedBy>Dounia Allaiouti</cp:lastModifiedBy>
  <cp:revision>5</cp:revision>
  <dcterms:created xsi:type="dcterms:W3CDTF">2026-06-06T19:41:00Z</dcterms:created>
  <dcterms:modified xsi:type="dcterms:W3CDTF">2026-06-16T12:04:00Z</dcterms:modified>
</cp:coreProperties>
</file>