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C6A25" w14:textId="77777777" w:rsidR="00773139" w:rsidRPr="00773139" w:rsidRDefault="00773139" w:rsidP="00773139">
      <w:pPr>
        <w:rPr>
          <w:rFonts w:ascii="Arial" w:hAnsi="Arial" w:cs="Arial"/>
          <w:b/>
          <w:bCs/>
        </w:rPr>
      </w:pPr>
      <w:r w:rsidRPr="00773139">
        <w:rPr>
          <w:rFonts w:ascii="Arial" w:hAnsi="Arial" w:cs="Arial"/>
          <w:b/>
          <w:bCs/>
        </w:rPr>
        <w:t>Adults, outdoor pedagogy and early conceptual development: a Reggio–Vygotskian evaluation</w:t>
      </w:r>
    </w:p>
    <w:p w14:paraId="32B0DB11" w14:textId="77777777" w:rsidR="00773139" w:rsidRPr="00773139" w:rsidRDefault="00773139" w:rsidP="00773139">
      <w:pPr>
        <w:rPr>
          <w:rFonts w:ascii="Arial" w:hAnsi="Arial" w:cs="Arial"/>
          <w:b/>
          <w:bCs/>
        </w:rPr>
      </w:pPr>
      <w:r w:rsidRPr="00773139">
        <w:rPr>
          <w:rFonts w:ascii="Arial" w:hAnsi="Arial" w:cs="Arial"/>
          <w:b/>
          <w:bCs/>
        </w:rPr>
        <w:t>Introduction</w:t>
      </w:r>
    </w:p>
    <w:p w14:paraId="45D0FBE8" w14:textId="77777777" w:rsidR="00773139" w:rsidRPr="00773139" w:rsidRDefault="00773139" w:rsidP="00EA496B">
      <w:pPr>
        <w:spacing w:line="360" w:lineRule="auto"/>
        <w:rPr>
          <w:rFonts w:ascii="Arial" w:hAnsi="Arial" w:cs="Arial"/>
        </w:rPr>
      </w:pPr>
      <w:r w:rsidRPr="00773139">
        <w:rPr>
          <w:rFonts w:ascii="Arial" w:hAnsi="Arial" w:cs="Arial"/>
        </w:rPr>
        <w:t>Outdoor spaces in early childhood education can offer powerful opportunities for learning, but being outside alone does not guarantee deep engagement with scientific or mathematical ideas. Outcomes hinge on adult decisions: how the environment is set up, how interactions are guided in the moment, and how children are helped to make sense of what they notice. This essay evaluates those adult roles in outdoor settings, examining environment design, moment-to-moment pedagogy, and ways of making thinking visible, while also weighing common constraints such as risk culture, time pressures, subject knowledge, and equity of access. It concludes with clear, practical principles for strengthening practice.</w:t>
      </w:r>
    </w:p>
    <w:p w14:paraId="7D5CE039" w14:textId="77777777" w:rsidR="00773139" w:rsidRPr="00773139" w:rsidRDefault="00773139" w:rsidP="00EA496B">
      <w:pPr>
        <w:spacing w:line="360" w:lineRule="auto"/>
        <w:rPr>
          <w:rFonts w:ascii="Arial" w:hAnsi="Arial" w:cs="Arial"/>
        </w:rPr>
      </w:pPr>
      <w:r w:rsidRPr="00773139">
        <w:rPr>
          <w:rFonts w:ascii="Arial" w:hAnsi="Arial" w:cs="Arial"/>
        </w:rPr>
        <w:t>The discussion is framed by Reggio Emilia principles—particularly the view of the environment as a “third teacher,” the centrality of documentation, and the stance of adults as co-researchers with children—alongside a Vygotskian explanation of why dialogic scaffolding works. The argument draws on UK-relevant guidance and research on outdoor provision, early years inquiry, and early mathematics, and aligns with the expectations of the Curriculum for Wales.</w:t>
      </w:r>
    </w:p>
    <w:p w14:paraId="6F12EEF4" w14:textId="77777777" w:rsidR="00773139" w:rsidRPr="00773139" w:rsidRDefault="00773139" w:rsidP="00773139">
      <w:pPr>
        <w:rPr>
          <w:rFonts w:ascii="Arial" w:hAnsi="Arial" w:cs="Arial"/>
          <w:b/>
          <w:bCs/>
        </w:rPr>
      </w:pPr>
      <w:r w:rsidRPr="00773139">
        <w:rPr>
          <w:rFonts w:ascii="Arial" w:hAnsi="Arial" w:cs="Arial"/>
          <w:b/>
          <w:bCs/>
        </w:rPr>
        <w:t>Why outdoors for science and mathematics</w:t>
      </w:r>
    </w:p>
    <w:p w14:paraId="4465F768" w14:textId="77777777" w:rsidR="00773139" w:rsidRPr="00773139" w:rsidRDefault="00773139" w:rsidP="00EA496B">
      <w:pPr>
        <w:spacing w:line="360" w:lineRule="auto"/>
        <w:rPr>
          <w:rFonts w:ascii="Arial" w:hAnsi="Arial" w:cs="Arial"/>
        </w:rPr>
      </w:pPr>
      <w:r w:rsidRPr="00773139">
        <w:rPr>
          <w:rFonts w:ascii="Arial" w:hAnsi="Arial" w:cs="Arial"/>
        </w:rPr>
        <w:t>The Reggio tradition treats the environment as pedagogical. Spaces and materials communicate possibilities and values and can be shaped to invite complex thinking when adults design them deliberately (Edwards, Gandini and Forman, 2012). Outdoors, these possibilities multiply. Gradients, textures, wind, water, shadow and seasonal change provide real phenomena that are felt and seen rather than simply told. From an ecological perspective, such features offer affordances—action possibilities that are perceived and acted upon—so a slope affords rolling, a puddle affords floating and sinking, and a log affords balancing (Gibson, 1979). Each affordance connects naturally to concepts in science, including forces, material properties and change, and to mathematical activity, including comparing, ordering, measuring and mapping.</w:t>
      </w:r>
    </w:p>
    <w:p w14:paraId="16D138DC" w14:textId="39FD0B77" w:rsidR="00773139" w:rsidRPr="00773139" w:rsidRDefault="00773139" w:rsidP="00EA496B">
      <w:pPr>
        <w:spacing w:line="360" w:lineRule="auto"/>
        <w:rPr>
          <w:rFonts w:ascii="Arial" w:hAnsi="Arial" w:cs="Arial"/>
        </w:rPr>
      </w:pPr>
      <w:r w:rsidRPr="00773139">
        <w:rPr>
          <w:rFonts w:ascii="Arial" w:hAnsi="Arial" w:cs="Arial"/>
        </w:rPr>
        <w:t xml:space="preserve">The use of loose parts strengthens these affordances. Nicholson (1971) proposed that open-ended materials which can be moved, combined and transformed lead to </w:t>
      </w:r>
      <w:r w:rsidRPr="00773139">
        <w:rPr>
          <w:rFonts w:ascii="Arial" w:hAnsi="Arial" w:cs="Arial"/>
        </w:rPr>
        <w:lastRenderedPageBreak/>
        <w:t xml:space="preserve">higher levels of creativity and problem solving. In early years practice, loose parts include planks, tubes, crates, fabrics, stones, sticks and containers that children reconfigure at body scale. </w:t>
      </w:r>
      <w:r w:rsidR="00732012" w:rsidRPr="00773139">
        <w:rPr>
          <w:rFonts w:ascii="Arial" w:hAnsi="Arial" w:cs="Arial"/>
        </w:rPr>
        <w:t xml:space="preserve">White, </w:t>
      </w:r>
      <w:r w:rsidR="00732012" w:rsidRPr="00EA496B">
        <w:rPr>
          <w:rFonts w:ascii="Arial" w:hAnsi="Arial" w:cs="Arial"/>
        </w:rPr>
        <w:t>(</w:t>
      </w:r>
      <w:r w:rsidR="00732012" w:rsidRPr="00773139">
        <w:rPr>
          <w:rFonts w:ascii="Arial" w:hAnsi="Arial" w:cs="Arial"/>
        </w:rPr>
        <w:t>2011</w:t>
      </w:r>
      <w:r w:rsidR="00732012" w:rsidRPr="00EA496B">
        <w:rPr>
          <w:rFonts w:ascii="Arial" w:hAnsi="Arial" w:cs="Arial"/>
        </w:rPr>
        <w:t xml:space="preserve">) </w:t>
      </w:r>
      <w:r w:rsidRPr="00773139">
        <w:rPr>
          <w:rFonts w:ascii="Arial" w:hAnsi="Arial" w:cs="Arial"/>
        </w:rPr>
        <w:t xml:space="preserve"> argue that such collections allow children to manipulate variables—size, weight, shape, angle and texture—and to encounter ideas like friction, stability, distance and duration in ways that are both physical and thinkable. For mathematics, an outdoor approach that legitimises estimating, measuring and representing—using rope start lines, pegs to mark stopping points, metre sticks and simple tallying—supports reasoning without reducing play to worksheets (Robertson, 2017). For science, short cycles of looking, predicting, testing and evaluating, beginning in sensory experience and moving towards simple explanations, are recommended as developmentally appropriate (Brunton and Thornton, 2010).</w:t>
      </w:r>
    </w:p>
    <w:p w14:paraId="737F0EDC" w14:textId="14963124" w:rsidR="00773139" w:rsidRPr="00773139" w:rsidRDefault="00773139" w:rsidP="00EA496B">
      <w:pPr>
        <w:spacing w:line="360" w:lineRule="auto"/>
        <w:rPr>
          <w:rFonts w:ascii="Arial" w:hAnsi="Arial" w:cs="Arial"/>
        </w:rPr>
      </w:pPr>
      <w:r w:rsidRPr="00773139">
        <w:rPr>
          <w:rFonts w:ascii="Arial" w:hAnsi="Arial" w:cs="Arial"/>
        </w:rPr>
        <w:t xml:space="preserve">These practices sit comfortably with the Curriculum for Wales, which expects learners to observe and explore, to use evidence to explain how things work, and to apply number and measure in meaningful contexts. The framework also places emphasis on language-rich dialogue and purposeful play as routes to progression (Welsh Government, 2022). The implication is clear: outdoor spaces hold promise, but it is the adult’s planning and interaction, before, during and after the encounter, </w:t>
      </w:r>
      <w:r w:rsidR="00DF0297" w:rsidRPr="00EA496B">
        <w:rPr>
          <w:rFonts w:ascii="Arial" w:hAnsi="Arial" w:cs="Arial"/>
        </w:rPr>
        <w:t>which</w:t>
      </w:r>
      <w:r w:rsidRPr="00773139">
        <w:rPr>
          <w:rFonts w:ascii="Arial" w:hAnsi="Arial" w:cs="Arial"/>
        </w:rPr>
        <w:t xml:space="preserve"> turn potential into progress.</w:t>
      </w:r>
    </w:p>
    <w:p w14:paraId="6C69FDF0" w14:textId="77777777" w:rsidR="00773139" w:rsidRPr="00773139" w:rsidRDefault="00773139" w:rsidP="00773139">
      <w:pPr>
        <w:rPr>
          <w:rFonts w:ascii="Arial" w:hAnsi="Arial" w:cs="Arial"/>
          <w:b/>
          <w:bCs/>
        </w:rPr>
      </w:pPr>
      <w:r w:rsidRPr="00773139">
        <w:rPr>
          <w:rFonts w:ascii="Arial" w:hAnsi="Arial" w:cs="Arial"/>
          <w:b/>
          <w:bCs/>
        </w:rPr>
        <w:t>A theoretical alignment: Reggio Emilia and Vygotsky</w:t>
      </w:r>
    </w:p>
    <w:p w14:paraId="393FCF4F" w14:textId="5F805F05" w:rsidR="00773139" w:rsidRPr="00773139" w:rsidRDefault="00773139" w:rsidP="00EA496B">
      <w:pPr>
        <w:spacing w:line="360" w:lineRule="auto"/>
        <w:rPr>
          <w:rFonts w:ascii="Arial" w:hAnsi="Arial" w:cs="Arial"/>
        </w:rPr>
      </w:pPr>
      <w:r w:rsidRPr="00773139">
        <w:rPr>
          <w:rFonts w:ascii="Arial" w:hAnsi="Arial" w:cs="Arial"/>
        </w:rPr>
        <w:t>Vygotsky’s sociocultural theory explains why adult interaction is</w:t>
      </w:r>
      <w:r w:rsidR="00723CE1" w:rsidRPr="00EA496B">
        <w:rPr>
          <w:rFonts w:ascii="Arial" w:hAnsi="Arial" w:cs="Arial"/>
        </w:rPr>
        <w:t xml:space="preserve"> vital</w:t>
      </w:r>
      <w:r w:rsidRPr="00773139">
        <w:rPr>
          <w:rFonts w:ascii="Arial" w:hAnsi="Arial" w:cs="Arial"/>
        </w:rPr>
        <w:t>. New forms of thinking appear first in social interaction and are later</w:t>
      </w:r>
      <w:r w:rsidR="008664E0" w:rsidRPr="00EA496B">
        <w:rPr>
          <w:rFonts w:ascii="Arial" w:hAnsi="Arial" w:cs="Arial"/>
        </w:rPr>
        <w:t xml:space="preserve"> </w:t>
      </w:r>
      <w:r w:rsidR="008664E0" w:rsidRPr="00EA496B">
        <w:rPr>
          <w:rFonts w:ascii="Arial" w:hAnsi="Arial" w:cs="Arial"/>
        </w:rPr>
        <w:t>Incorporated</w:t>
      </w:r>
      <w:r w:rsidR="00DB2158" w:rsidRPr="00EA496B">
        <w:rPr>
          <w:rFonts w:ascii="Arial" w:hAnsi="Arial" w:cs="Arial"/>
        </w:rPr>
        <w:t>,</w:t>
      </w:r>
      <w:r w:rsidRPr="00773139">
        <w:rPr>
          <w:rFonts w:ascii="Arial" w:hAnsi="Arial" w:cs="Arial"/>
        </w:rPr>
        <w:t xml:space="preserve"> development proceeds through mediation by tools, signs and language (Vygotsky, 1978). The zone of </w:t>
      </w:r>
      <w:r w:rsidR="001C1B16" w:rsidRPr="00EA496B">
        <w:rPr>
          <w:rFonts w:ascii="Arial" w:hAnsi="Arial" w:cs="Arial"/>
        </w:rPr>
        <w:t>attainable</w:t>
      </w:r>
      <w:r w:rsidRPr="00773139">
        <w:rPr>
          <w:rFonts w:ascii="Arial" w:hAnsi="Arial" w:cs="Arial"/>
        </w:rPr>
        <w:t xml:space="preserve"> development captures the distance between what a child can do unaided and what becomes possible with  support, while scaffolding describes the temporary, responsive help that enables success. Reggio practice, although distinct, is highly compatible with this picture. It treats children as competent co-researchers, gives status to documentation—photographs, transcripts, drawings and artefacts that make thinking visible—and uses revisiting to refine ideas over time (Edwards et al., 2012). Documentation functions as a cultural tool in Vygotsky’s sense: it stabilises fleeting events so that children and adults can compare and analyse. Bruner’s account of representation—enactive action, iconic image and symbolic language or number—adds an explanatory layer, since moving between actions such as rolling or </w:t>
      </w:r>
      <w:r w:rsidRPr="00773139">
        <w:rPr>
          <w:rFonts w:ascii="Arial" w:hAnsi="Arial" w:cs="Arial"/>
        </w:rPr>
        <w:lastRenderedPageBreak/>
        <w:t>pouring, images such as photos or sketches, and symbols such as measures or labels scaffolds conceptual growth (Bruner, 1966).</w:t>
      </w:r>
    </w:p>
    <w:p w14:paraId="6000CB8F" w14:textId="3552881D" w:rsidR="00773139" w:rsidRPr="00773139" w:rsidRDefault="00773139" w:rsidP="00EA496B">
      <w:pPr>
        <w:spacing w:line="360" w:lineRule="auto"/>
        <w:rPr>
          <w:rFonts w:ascii="Arial" w:hAnsi="Arial" w:cs="Arial"/>
        </w:rPr>
      </w:pPr>
      <w:r w:rsidRPr="00773139">
        <w:rPr>
          <w:rFonts w:ascii="Arial" w:hAnsi="Arial" w:cs="Arial"/>
        </w:rPr>
        <w:t xml:space="preserve">UK evidence strengthens the case for </w:t>
      </w:r>
      <w:r w:rsidR="00DF0297" w:rsidRPr="00EA496B">
        <w:rPr>
          <w:rFonts w:ascii="Arial" w:hAnsi="Arial" w:cs="Arial"/>
        </w:rPr>
        <w:t>an</w:t>
      </w:r>
      <w:r w:rsidRPr="00773139">
        <w:rPr>
          <w:rFonts w:ascii="Arial" w:hAnsi="Arial" w:cs="Arial"/>
        </w:rPr>
        <w:t xml:space="preserve"> </w:t>
      </w:r>
      <w:r w:rsidR="005E1D3A" w:rsidRPr="00EA496B">
        <w:rPr>
          <w:rFonts w:ascii="Arial" w:hAnsi="Arial" w:cs="Arial"/>
        </w:rPr>
        <w:t>interactive</w:t>
      </w:r>
      <w:r w:rsidRPr="00773139">
        <w:rPr>
          <w:rFonts w:ascii="Arial" w:hAnsi="Arial" w:cs="Arial"/>
        </w:rPr>
        <w:t xml:space="preserve">, co-constructive stance. The REPEY/EPPE studies associated episodes of sustained shared thinking—where adults and children co-construct meaning by posing genuine questions, hypothesising, testing and explaining—with stronger cognitive outcomes (Siraj-Blatchford et al., 2002; Sylva et al., 2004). Outdoors, where </w:t>
      </w:r>
      <w:r w:rsidR="00E17888" w:rsidRPr="00EA496B">
        <w:rPr>
          <w:rFonts w:ascii="Arial" w:hAnsi="Arial" w:cs="Arial"/>
        </w:rPr>
        <w:t xml:space="preserve"> events </w:t>
      </w:r>
      <w:r w:rsidRPr="00773139">
        <w:rPr>
          <w:rFonts w:ascii="Arial" w:hAnsi="Arial" w:cs="Arial"/>
        </w:rPr>
        <w:t>are immediate and variable, such episodes can transform casual noticing—“it went far”—into causal reasoning, for example, “which surface made it go further, and how can that be checked fairly?”, and into quantitative reasoning, for example, “how could distance be shown so that results can be compared?”. A Reggio–Vygotskian stance therefore supports a cautious but robust evaluative claim: high-quality adult interaction predicts depth of learning more reliably than the outdoor setting alone.</w:t>
      </w:r>
    </w:p>
    <w:p w14:paraId="02A49DE1" w14:textId="77777777" w:rsidR="00EA496B" w:rsidRDefault="00EA496B" w:rsidP="00773139">
      <w:pPr>
        <w:rPr>
          <w:rFonts w:ascii="Arial" w:hAnsi="Arial" w:cs="Arial"/>
          <w:b/>
          <w:bCs/>
        </w:rPr>
      </w:pPr>
    </w:p>
    <w:p w14:paraId="1DCB2A58" w14:textId="77777777" w:rsidR="00EA496B" w:rsidRDefault="00EA496B" w:rsidP="00773139">
      <w:pPr>
        <w:rPr>
          <w:rFonts w:ascii="Arial" w:hAnsi="Arial" w:cs="Arial"/>
          <w:b/>
          <w:bCs/>
        </w:rPr>
      </w:pPr>
    </w:p>
    <w:p w14:paraId="198E2031" w14:textId="0049799D" w:rsidR="00773139" w:rsidRPr="00773139" w:rsidRDefault="00773139" w:rsidP="00773139">
      <w:pPr>
        <w:rPr>
          <w:rFonts w:ascii="Arial" w:hAnsi="Arial" w:cs="Arial"/>
          <w:b/>
          <w:bCs/>
        </w:rPr>
      </w:pPr>
      <w:r w:rsidRPr="00773139">
        <w:rPr>
          <w:rFonts w:ascii="Arial" w:hAnsi="Arial" w:cs="Arial"/>
          <w:b/>
          <w:bCs/>
        </w:rPr>
        <w:t xml:space="preserve">What effective adults do outside and why it </w:t>
      </w:r>
      <w:proofErr w:type="gramStart"/>
      <w:r w:rsidR="00DF0297" w:rsidRPr="00EA496B">
        <w:rPr>
          <w:rFonts w:ascii="Arial" w:hAnsi="Arial" w:cs="Arial"/>
          <w:b/>
          <w:bCs/>
        </w:rPr>
        <w:t>works</w:t>
      </w:r>
      <w:proofErr w:type="gramEnd"/>
      <w:r w:rsidR="00E05490" w:rsidRPr="00EA496B">
        <w:rPr>
          <w:rFonts w:ascii="Arial" w:hAnsi="Arial" w:cs="Arial"/>
          <w:b/>
          <w:bCs/>
        </w:rPr>
        <w:t>?</w:t>
      </w:r>
    </w:p>
    <w:p w14:paraId="7C75B936" w14:textId="15BF43FD" w:rsidR="00773139" w:rsidRPr="00773139" w:rsidRDefault="00B125E8" w:rsidP="00EA496B">
      <w:pPr>
        <w:spacing w:line="360" w:lineRule="auto"/>
        <w:rPr>
          <w:rFonts w:ascii="Arial" w:hAnsi="Arial" w:cs="Arial"/>
        </w:rPr>
      </w:pPr>
      <w:r w:rsidRPr="00EA496B">
        <w:rPr>
          <w:rFonts w:ascii="Arial" w:hAnsi="Arial" w:cs="Arial"/>
        </w:rPr>
        <w:t>One strand focuses on creating spaces with lots of opportunities for play through loose parts</w:t>
      </w:r>
      <w:r w:rsidR="00CA0903" w:rsidRPr="00EA496B">
        <w:rPr>
          <w:rFonts w:ascii="Arial" w:hAnsi="Arial" w:cs="Arial"/>
        </w:rPr>
        <w:t xml:space="preserve">. </w:t>
      </w:r>
      <w:r w:rsidR="00773139" w:rsidRPr="00773139">
        <w:rPr>
          <w:rFonts w:ascii="Arial" w:hAnsi="Arial" w:cs="Arial"/>
        </w:rPr>
        <w:t>Effective adults plan variables rather than narrow tasks. Ramps with different surfaces and adjustable heights, water channels with varied gradients and junctions, sets of containers for capacity, and natural collections for classification are not worksheets in disguise; they are invitations to</w:t>
      </w:r>
      <w:r w:rsidR="00644EBA" w:rsidRPr="00EA496B">
        <w:rPr>
          <w:rFonts w:ascii="Arial" w:hAnsi="Arial" w:cs="Arial"/>
        </w:rPr>
        <w:t xml:space="preserve"> investigate</w:t>
      </w:r>
      <w:r w:rsidR="00773139" w:rsidRPr="00773139">
        <w:rPr>
          <w:rFonts w:ascii="Arial" w:hAnsi="Arial" w:cs="Arial"/>
        </w:rPr>
        <w:t xml:space="preserve"> that preserve children’s choice. Guidance on outdoor provision emphasises simple, durable materials that invite full-body action—pushing, carrying, balancing—so that ideas such as friction, stability, distance and duration are both felt and named (White, 2011; Warden, 2012). For mathematics, small additions such as metre sticks, timers, rope lines and pegs or flags give children legitimate tools for estimating and measuring without turning play into a recording exercise (Robertson, 2017). For science, adults choose materials so that children can change only one variable at a time—surface, slope or mass—laying foundations for fair-test thinking (Brunton and Thornton, 2010). Through a Vygotskian lens, the environment then becomes a set of </w:t>
      </w:r>
      <w:r w:rsidR="00DF0297" w:rsidRPr="00EA496B">
        <w:rPr>
          <w:rFonts w:ascii="Arial" w:hAnsi="Arial" w:cs="Arial"/>
        </w:rPr>
        <w:t>m</w:t>
      </w:r>
      <w:r w:rsidR="00DF0297" w:rsidRPr="00EA496B">
        <w:rPr>
          <w:rFonts w:ascii="Arial" w:hAnsi="Arial" w:cs="Arial"/>
        </w:rPr>
        <w:t xml:space="preserve">ediational means </w:t>
      </w:r>
      <w:r w:rsidR="00DF0297" w:rsidRPr="00EA496B">
        <w:rPr>
          <w:rFonts w:ascii="Arial" w:hAnsi="Arial" w:cs="Arial"/>
        </w:rPr>
        <w:t xml:space="preserve">that </w:t>
      </w:r>
      <w:r w:rsidR="00DF0297" w:rsidRPr="00EA496B">
        <w:rPr>
          <w:rFonts w:ascii="Arial" w:hAnsi="Arial" w:cs="Arial"/>
        </w:rPr>
        <w:t xml:space="preserve">serve to widen the kinds of problems children can bring into their zone of </w:t>
      </w:r>
      <w:r w:rsidR="00DF0297" w:rsidRPr="00EA496B">
        <w:rPr>
          <w:rFonts w:ascii="Arial" w:hAnsi="Arial" w:cs="Arial"/>
        </w:rPr>
        <w:lastRenderedPageBreak/>
        <w:t>development.</w:t>
      </w:r>
      <w:r w:rsidR="00DF0297" w:rsidRPr="00EA496B">
        <w:rPr>
          <w:rFonts w:ascii="Arial" w:hAnsi="Arial" w:cs="Arial"/>
        </w:rPr>
        <w:t xml:space="preserve"> </w:t>
      </w:r>
      <w:r w:rsidR="00773139" w:rsidRPr="00773139">
        <w:rPr>
          <w:rFonts w:ascii="Arial" w:hAnsi="Arial" w:cs="Arial"/>
        </w:rPr>
        <w:t>Through a Reggio lens, the curated space respects agency, because adults make possible what children decide to try.</w:t>
      </w:r>
    </w:p>
    <w:p w14:paraId="4B4F3C69" w14:textId="44E24677" w:rsidR="00773139" w:rsidRPr="00773139" w:rsidRDefault="00773139" w:rsidP="00EA496B">
      <w:pPr>
        <w:spacing w:line="360" w:lineRule="auto"/>
        <w:rPr>
          <w:rFonts w:ascii="Arial" w:hAnsi="Arial" w:cs="Arial"/>
        </w:rPr>
      </w:pPr>
      <w:r w:rsidRPr="00773139">
        <w:rPr>
          <w:rFonts w:ascii="Arial" w:hAnsi="Arial" w:cs="Arial"/>
        </w:rPr>
        <w:t>A second strand relates to interaction. Observation precedes intervention, and adults choose when and how to join children’s thinking. When a child offers a theory such as “smooth is faster,” the adult responds with light, open prompts that invite explanation, propose comparisons and encourage careful description. The style is consistent with sustained shared thinking and with early years inquiry cycles in science and mathematics, and it includes modelling of precise but sparing vocabulary, so that everyday terms such as slipp</w:t>
      </w:r>
      <w:r w:rsidR="00DF0297" w:rsidRPr="00EA496B">
        <w:rPr>
          <w:rFonts w:ascii="Arial" w:hAnsi="Arial" w:cs="Arial"/>
        </w:rPr>
        <w:t>er</w:t>
      </w:r>
      <w:r w:rsidRPr="00773139">
        <w:rPr>
          <w:rFonts w:ascii="Arial" w:hAnsi="Arial" w:cs="Arial"/>
        </w:rPr>
        <w:t>y, bumpy or grippy sharpen into surface, friction, steep or measure in context (Brunton and Thornton, 2010; Robertson, 2017; Siraj-Blatchford et al., 2002). In Vygotsky’s terms, the adult supplies temporary scaffolds—conceptual, procedural and representational—and then fades. In Reggio terms, the adult acts as a co-learner who honours children’s theories and strengthens them with evidence while resisting over-direction.</w:t>
      </w:r>
    </w:p>
    <w:p w14:paraId="39CD6249" w14:textId="77777777" w:rsidR="00773139" w:rsidRPr="00773139" w:rsidRDefault="00773139" w:rsidP="00EA496B">
      <w:pPr>
        <w:spacing w:line="360" w:lineRule="auto"/>
        <w:rPr>
          <w:rFonts w:ascii="Arial" w:hAnsi="Arial" w:cs="Arial"/>
        </w:rPr>
      </w:pPr>
      <w:r w:rsidRPr="00773139">
        <w:rPr>
          <w:rFonts w:ascii="Arial" w:hAnsi="Arial" w:cs="Arial"/>
        </w:rPr>
        <w:t>A third strand concerns representation and revisiting. Because outdoor events are transient, making thinking visible is central to continuity. Adults use rope start lines, pegs or flags at stopping points, photos of set-ups, sketches of gradients and simple labels such as “2 m”. These artefacts allow revisiting: children compare sequences, argue from evidence and refine explanations. Recording is deliberately light so that it serves thinking rather than interrupts it (Edwards et al., 2012; Robertson, 2017). Representation moves experience along Bruner’s pathway from enactive to iconic and symbolic forms and also meets Curriculum for Wales expectations for reasoning and communicating findings in authentic contexts (Bruner, 1966; Welsh Government, 2022).</w:t>
      </w:r>
    </w:p>
    <w:p w14:paraId="174051B4" w14:textId="6CE6CA34" w:rsidR="00773139" w:rsidRPr="00773139" w:rsidRDefault="00773139" w:rsidP="00EA496B">
      <w:pPr>
        <w:spacing w:line="360" w:lineRule="auto"/>
        <w:rPr>
          <w:rFonts w:ascii="Arial" w:hAnsi="Arial" w:cs="Arial"/>
        </w:rPr>
      </w:pPr>
      <w:r w:rsidRPr="00773139">
        <w:rPr>
          <w:rFonts w:ascii="Arial" w:hAnsi="Arial" w:cs="Arial"/>
        </w:rPr>
        <w:t xml:space="preserve">A fourth strand is inclusion and </w:t>
      </w:r>
      <w:r w:rsidR="00DF0297" w:rsidRPr="00EA496B">
        <w:rPr>
          <w:rFonts w:ascii="Arial" w:hAnsi="Arial" w:cs="Arial"/>
        </w:rPr>
        <w:t>fair</w:t>
      </w:r>
      <w:r w:rsidRPr="00773139">
        <w:rPr>
          <w:rFonts w:ascii="Arial" w:hAnsi="Arial" w:cs="Arial"/>
        </w:rPr>
        <w:t xml:space="preserve"> participation. Effective adults widen access by providing multiple ways in. Physical adjustments such as lower ramps or lighter items, communicative supports such as first–then visuals, bilingual word banks and gesture, and rotating roles such as releaser, marker, measurer and explainer ensure that all children participate in core thinking, not just confident movers or fluent speakers. Outdoor guidance stresses a risk–benefit approach that keeps meaningful challenge while managing </w:t>
      </w:r>
      <w:r w:rsidR="00DF0297" w:rsidRPr="00EA496B">
        <w:rPr>
          <w:rFonts w:ascii="Arial" w:hAnsi="Arial" w:cs="Arial"/>
        </w:rPr>
        <w:t>hazards and</w:t>
      </w:r>
      <w:r w:rsidRPr="00773139">
        <w:rPr>
          <w:rFonts w:ascii="Arial" w:hAnsi="Arial" w:cs="Arial"/>
        </w:rPr>
        <w:t xml:space="preserve"> recognises that doing difficult things safely is itself a route to conceptual understanding (White, 2011; Warden, 2012). Inclusion is </w:t>
      </w:r>
      <w:r w:rsidRPr="00773139">
        <w:rPr>
          <w:rFonts w:ascii="Arial" w:hAnsi="Arial" w:cs="Arial"/>
        </w:rPr>
        <w:lastRenderedPageBreak/>
        <w:t xml:space="preserve">pedagogically generative: when roles and modalities vary, more evidence is created, more explanations are </w:t>
      </w:r>
      <w:r w:rsidR="00DF0297" w:rsidRPr="00EA496B">
        <w:rPr>
          <w:rFonts w:ascii="Arial" w:hAnsi="Arial" w:cs="Arial"/>
        </w:rPr>
        <w:t>offered,</w:t>
      </w:r>
      <w:r w:rsidRPr="00773139">
        <w:rPr>
          <w:rFonts w:ascii="Arial" w:hAnsi="Arial" w:cs="Arial"/>
        </w:rPr>
        <w:t xml:space="preserve"> and more children practise the language and tools of science and mathematics. This resonates with the Curriculum for Wales purposes for ambitious, capable and healthy, confident learners.</w:t>
      </w:r>
    </w:p>
    <w:p w14:paraId="198B2F4C" w14:textId="77777777" w:rsidR="00773139" w:rsidRPr="00773139" w:rsidRDefault="00773139" w:rsidP="00773139">
      <w:pPr>
        <w:rPr>
          <w:rFonts w:ascii="Arial" w:hAnsi="Arial" w:cs="Arial"/>
          <w:b/>
          <w:bCs/>
        </w:rPr>
      </w:pPr>
      <w:r w:rsidRPr="00773139">
        <w:rPr>
          <w:rFonts w:ascii="Arial" w:hAnsi="Arial" w:cs="Arial"/>
          <w:b/>
          <w:bCs/>
        </w:rPr>
        <w:t>Challenges, tensions and limits</w:t>
      </w:r>
    </w:p>
    <w:p w14:paraId="0BA24656" w14:textId="208FE098" w:rsidR="00773139" w:rsidRPr="00773139" w:rsidRDefault="00773139" w:rsidP="00EA496B">
      <w:pPr>
        <w:spacing w:line="360" w:lineRule="auto"/>
        <w:rPr>
          <w:rFonts w:ascii="Arial" w:hAnsi="Arial" w:cs="Arial"/>
        </w:rPr>
      </w:pPr>
      <w:r w:rsidRPr="00773139">
        <w:rPr>
          <w:rFonts w:ascii="Arial" w:hAnsi="Arial" w:cs="Arial"/>
        </w:rPr>
        <w:t>The promise of outdoor learning is often diluted by structural and cultural constraints. One persistent tension is the relationship between risk culture and authentic challenge. Over-cautious policies can remove weight, height, speed and texture—the very conditions that make forces and measurement meaningful. A risk–benefit stance is more productive than simple risk-</w:t>
      </w:r>
      <w:r w:rsidR="00DF0297" w:rsidRPr="00EA496B">
        <w:rPr>
          <w:rFonts w:ascii="Arial" w:hAnsi="Arial" w:cs="Arial"/>
        </w:rPr>
        <w:t>avoidance because</w:t>
      </w:r>
      <w:r w:rsidRPr="00773139">
        <w:rPr>
          <w:rFonts w:ascii="Arial" w:hAnsi="Arial" w:cs="Arial"/>
        </w:rPr>
        <w:t xml:space="preserve"> it mitigates hazards, teaches routines and retains productive risk. Without leadership support for this stance, outdoor sessions tend to shrink into safe but concept-thin activities (Warden, 2012).</w:t>
      </w:r>
    </w:p>
    <w:p w14:paraId="6B710EE8" w14:textId="77777777" w:rsidR="00773139" w:rsidRPr="00773139" w:rsidRDefault="00773139" w:rsidP="00EA496B">
      <w:pPr>
        <w:spacing w:line="360" w:lineRule="auto"/>
        <w:rPr>
          <w:rFonts w:ascii="Arial" w:hAnsi="Arial" w:cs="Arial"/>
        </w:rPr>
      </w:pPr>
      <w:r w:rsidRPr="00773139">
        <w:rPr>
          <w:rFonts w:ascii="Arial" w:hAnsi="Arial" w:cs="Arial"/>
        </w:rPr>
        <w:t>Time and evidence pressures create a second difficulty. Accountability can push adults towards over-documentation or towards tidy, quick outcomes that curtail dialogue. The REPEY/EPPE work warns that sustained shared thinking is easily squeezed when paperwork dominates the day (Siraj-Blatchford et al., 2002; Sylva et al., 2004). Reggio practice suggests selective documentation that captures hinge moments of reasoning rather than everything, while Robertson argues that mathematical recording should remain in the service of thinking. Settings therefore benefit from a shared view of what good evidence outdoors looks like so that adults can prioritise interaction over administration (Edwards et al., 2012; Robertson, 2017).</w:t>
      </w:r>
    </w:p>
    <w:p w14:paraId="6B55C6ED" w14:textId="77777777" w:rsidR="00773139" w:rsidRPr="00773139" w:rsidRDefault="00773139" w:rsidP="00EA496B">
      <w:pPr>
        <w:spacing w:line="360" w:lineRule="auto"/>
        <w:rPr>
          <w:rFonts w:ascii="Arial" w:hAnsi="Arial" w:cs="Arial"/>
        </w:rPr>
      </w:pPr>
      <w:r w:rsidRPr="00773139">
        <w:rPr>
          <w:rFonts w:ascii="Arial" w:hAnsi="Arial" w:cs="Arial"/>
        </w:rPr>
        <w:t>A third issue relates to subject knowledge. Many practitioners report lower confidence with physics concepts such as forces and material properties and with measurement progressions outdoors. This can lead either to over-control, in which telling replaces probing, or to under-scaffolding, in which misconceptions go unchallenged. Focused professional development on a small number of high-leverage ideas—fair testing with one changing variable, moving from non-standard to standard units, and sharpening everyday talk into precise terms—can make a strong difference to practice (Brunton and Thornton, 2010; Robertson, 2017).</w:t>
      </w:r>
    </w:p>
    <w:p w14:paraId="54BD5A9F" w14:textId="77777777" w:rsidR="00773139" w:rsidRPr="00773139" w:rsidRDefault="00773139" w:rsidP="00EA496B">
      <w:pPr>
        <w:spacing w:line="360" w:lineRule="auto"/>
        <w:rPr>
          <w:rFonts w:ascii="Arial" w:hAnsi="Arial" w:cs="Arial"/>
        </w:rPr>
      </w:pPr>
      <w:r w:rsidRPr="00773139">
        <w:rPr>
          <w:rFonts w:ascii="Arial" w:hAnsi="Arial" w:cs="Arial"/>
        </w:rPr>
        <w:t xml:space="preserve">A fourth concern is equity and access. Access to quality outdoor spaces and storage for loose parts is uneven across settings. Practical guidance shows how small or urban spaces can still be designed for affordances, but structural inequities remain </w:t>
      </w:r>
      <w:r w:rsidRPr="00773139">
        <w:rPr>
          <w:rFonts w:ascii="Arial" w:hAnsi="Arial" w:cs="Arial"/>
        </w:rPr>
        <w:lastRenderedPageBreak/>
        <w:t>and can limit who experiences concept-rich play. Leaders are more likely to protect this entitlement if outdoor affordances are treated as core infrastructure rather than as extras (White, 2011).</w:t>
      </w:r>
    </w:p>
    <w:p w14:paraId="7F4A6E95" w14:textId="77777777" w:rsidR="00773139" w:rsidRPr="00773139" w:rsidRDefault="00773139" w:rsidP="00EA496B">
      <w:pPr>
        <w:spacing w:line="360" w:lineRule="auto"/>
        <w:rPr>
          <w:rFonts w:ascii="Arial" w:hAnsi="Arial" w:cs="Arial"/>
        </w:rPr>
      </w:pPr>
      <w:r w:rsidRPr="00773139">
        <w:rPr>
          <w:rFonts w:ascii="Arial" w:hAnsi="Arial" w:cs="Arial"/>
        </w:rPr>
        <w:t>Finally, cultural expectations about “real learning” can be a barrier. Families and some staff may equate learning with tables and neat pages. The Curriculum for Wales, by contrast, values purposeful, contextualised science and mathematics and accepts diverse forms of evidence. Adults therefore need to make learning visible through photographs, child quotes and simple measures, and to communicate clearly why such evidence is credible and sufficient for judgment (Welsh Government, 2022).</w:t>
      </w:r>
    </w:p>
    <w:p w14:paraId="65814EC0" w14:textId="77777777" w:rsidR="00773139" w:rsidRPr="00773139" w:rsidRDefault="00773139" w:rsidP="00773139">
      <w:pPr>
        <w:rPr>
          <w:rFonts w:ascii="Arial" w:hAnsi="Arial" w:cs="Arial"/>
          <w:b/>
          <w:bCs/>
        </w:rPr>
      </w:pPr>
      <w:r w:rsidRPr="00773139">
        <w:rPr>
          <w:rFonts w:ascii="Arial" w:hAnsi="Arial" w:cs="Arial"/>
          <w:b/>
          <w:bCs/>
        </w:rPr>
        <w:t>Synthesis and implications</w:t>
      </w:r>
    </w:p>
    <w:p w14:paraId="2CB70912" w14:textId="749D6076" w:rsidR="00773139" w:rsidRPr="00773139" w:rsidRDefault="00773139" w:rsidP="00EA496B">
      <w:pPr>
        <w:spacing w:line="360" w:lineRule="auto"/>
        <w:rPr>
          <w:rFonts w:ascii="Arial" w:hAnsi="Arial" w:cs="Arial"/>
        </w:rPr>
      </w:pPr>
      <w:r w:rsidRPr="00773139">
        <w:rPr>
          <w:rFonts w:ascii="Arial" w:hAnsi="Arial" w:cs="Arial"/>
        </w:rPr>
        <w:t xml:space="preserve">A consistent mechanism runs through the theoretical and practice literature. Adults design environments so that affordances and loose parts make key ideas tangible. Children act on the environment and propose provisional theories, for example that smooth surfaces make objects travel further. Adults then mediate using language and tools: they press for reasons, propose ways to hold one variable steady, and introduce representational means that stabilise evidence in manageable forms. Through sustained shared thinking, adults and children co-construct explanations and revisit them using documentation. Over time, children move from </w:t>
      </w:r>
      <w:r w:rsidR="00DF0297" w:rsidRPr="00EA496B">
        <w:rPr>
          <w:rFonts w:ascii="Arial" w:hAnsi="Arial" w:cs="Arial"/>
        </w:rPr>
        <w:t>every day</w:t>
      </w:r>
      <w:r w:rsidRPr="00773139">
        <w:rPr>
          <w:rFonts w:ascii="Arial" w:hAnsi="Arial" w:cs="Arial"/>
        </w:rPr>
        <w:t xml:space="preserve"> to more precise concepts and from non-standard to standard measures in the manner expected by the Curriculum for Wales (Bruner, 1966; Brunton and Thornton, 2010; Edwards et al., 2012; Robertson, 2017; Siraj-Blatchford et al., 2002; Welsh Government, 2022).</w:t>
      </w:r>
    </w:p>
    <w:p w14:paraId="04E3D1E8" w14:textId="77777777" w:rsidR="00773139" w:rsidRPr="00773139" w:rsidRDefault="00773139" w:rsidP="00EA496B">
      <w:pPr>
        <w:spacing w:line="360" w:lineRule="auto"/>
        <w:rPr>
          <w:rFonts w:ascii="Arial" w:hAnsi="Arial" w:cs="Arial"/>
        </w:rPr>
      </w:pPr>
      <w:r w:rsidRPr="00773139">
        <w:rPr>
          <w:rFonts w:ascii="Arial" w:hAnsi="Arial" w:cs="Arial"/>
        </w:rPr>
        <w:t>This synthesis helps explain why a Reggio–Vygotskian alignment is useful in practice. It protects agency because children lead and shape the inquiry, yet it also protects rigour because adults help to test, name and represent ideas. The same outdoor area can therefore produce either shallow activity or deep learning, depending on whether adults orchestrate affordances, dialogue and representation with intention.</w:t>
      </w:r>
    </w:p>
    <w:p w14:paraId="32F86702" w14:textId="64E111D8" w:rsidR="00773139" w:rsidRPr="00773139" w:rsidRDefault="00773139" w:rsidP="00EA496B">
      <w:pPr>
        <w:spacing w:line="360" w:lineRule="auto"/>
        <w:rPr>
          <w:rFonts w:ascii="Arial" w:hAnsi="Arial" w:cs="Arial"/>
        </w:rPr>
      </w:pPr>
      <w:r w:rsidRPr="00773139">
        <w:rPr>
          <w:rFonts w:ascii="Arial" w:hAnsi="Arial" w:cs="Arial"/>
        </w:rPr>
        <w:t xml:space="preserve">The implications are straightforward. Planning should focus on variables and affordances rather than on tightly scripted activities, so that children can manipulate surface, slope, mass, volume or flow in response to their own questions. Adults </w:t>
      </w:r>
      <w:r w:rsidRPr="00773139">
        <w:rPr>
          <w:rFonts w:ascii="Arial" w:hAnsi="Arial" w:cs="Arial"/>
        </w:rPr>
        <w:lastRenderedPageBreak/>
        <w:t xml:space="preserve">should prepare questions rather than answers, keeping a handful of open prompts ready to sustain shared thinking and to build explanation without telling too much or too soon. Representation should be light but strong, using rope lines, pegs, one photo and one number or sketch per test so that evidence can be revisited without interrupting play. Progress should be sequenced clearly, moving from non-standard to standard units, from </w:t>
      </w:r>
      <w:r w:rsidR="00DF0297" w:rsidRPr="00EA496B">
        <w:rPr>
          <w:rFonts w:ascii="Arial" w:hAnsi="Arial" w:cs="Arial"/>
        </w:rPr>
        <w:t>every day</w:t>
      </w:r>
      <w:r w:rsidRPr="00773139">
        <w:rPr>
          <w:rFonts w:ascii="Arial" w:hAnsi="Arial" w:cs="Arial"/>
        </w:rPr>
        <w:t xml:space="preserve"> to precise vocabulary, and from single comparisons to small sets of data. Inclusion should be designed in, with graduated challenge and rotating roles so that every child measures, reasons and explains at some point. A risk–benefit stance should be normalised so that meaningful challenge is kept, hazards are </w:t>
      </w:r>
      <w:r w:rsidR="00DF0297" w:rsidRPr="00EA496B">
        <w:rPr>
          <w:rFonts w:ascii="Arial" w:hAnsi="Arial" w:cs="Arial"/>
        </w:rPr>
        <w:t>mitigated,</w:t>
      </w:r>
      <w:r w:rsidRPr="00773139">
        <w:rPr>
          <w:rFonts w:ascii="Arial" w:hAnsi="Arial" w:cs="Arial"/>
        </w:rPr>
        <w:t xml:space="preserve"> and rationales are recorded.</w:t>
      </w:r>
    </w:p>
    <w:p w14:paraId="584A78D7" w14:textId="77777777" w:rsidR="00EA496B" w:rsidRDefault="00EA496B" w:rsidP="00773139">
      <w:pPr>
        <w:rPr>
          <w:rFonts w:ascii="Arial" w:hAnsi="Arial" w:cs="Arial"/>
          <w:b/>
          <w:bCs/>
        </w:rPr>
      </w:pPr>
    </w:p>
    <w:p w14:paraId="7E947444" w14:textId="0476AFFF" w:rsidR="00773139" w:rsidRPr="00773139" w:rsidRDefault="00773139" w:rsidP="00773139">
      <w:pPr>
        <w:rPr>
          <w:rFonts w:ascii="Arial" w:hAnsi="Arial" w:cs="Arial"/>
          <w:b/>
          <w:bCs/>
        </w:rPr>
      </w:pPr>
      <w:r w:rsidRPr="00773139">
        <w:rPr>
          <w:rFonts w:ascii="Arial" w:hAnsi="Arial" w:cs="Arial"/>
          <w:b/>
          <w:bCs/>
        </w:rPr>
        <w:t>Conclusion</w:t>
      </w:r>
    </w:p>
    <w:p w14:paraId="203D4BEB" w14:textId="77777777" w:rsidR="00773139" w:rsidRPr="00773139" w:rsidRDefault="00773139" w:rsidP="00EA496B">
      <w:pPr>
        <w:spacing w:line="360" w:lineRule="auto"/>
        <w:rPr>
          <w:rFonts w:ascii="Arial" w:hAnsi="Arial" w:cs="Arial"/>
        </w:rPr>
      </w:pPr>
      <w:r w:rsidRPr="00773139">
        <w:rPr>
          <w:rFonts w:ascii="Arial" w:hAnsi="Arial" w:cs="Arial"/>
        </w:rPr>
        <w:t>Outdoor learning is not a guarantee of powerful learning; it is a multiplier of good pedagogy. When adults adopt a Reggio–Vygotskian stance—curating affordance-rich loose-parts environments, engaging in sustained shared thinking, and helping children represent and revisit ideas—outdoor experiences become fertile ground for early scientific and mathematical thinking. Guidance on outdoor provision illustrates how to design such environments; inquiry texts in science and mathematics show how to shape the dialogue and the measures; and UK research links sustained, thoughtful interaction with stronger outcomes. The Curriculum for Wales aligns with this picture, prioritising inquiry, reasoning and meaningful application.</w:t>
      </w:r>
    </w:p>
    <w:p w14:paraId="6A96298B" w14:textId="6B422F84" w:rsidR="00773139" w:rsidRPr="00773139" w:rsidRDefault="00773139" w:rsidP="00EA496B">
      <w:pPr>
        <w:spacing w:line="360" w:lineRule="auto"/>
        <w:rPr>
          <w:rFonts w:ascii="Arial" w:hAnsi="Arial" w:cs="Arial"/>
        </w:rPr>
      </w:pPr>
      <w:r w:rsidRPr="00773139">
        <w:rPr>
          <w:rFonts w:ascii="Arial" w:hAnsi="Arial" w:cs="Arial"/>
        </w:rPr>
        <w:t xml:space="preserve">There are genuine constraints. Risk aversion can thin out challenge, evidence demands can displace dialogue, gaps in subject knowledge can limit scaffolding, and access to space and materials can be uneven. Even so, the literature suggests that modest, well-judged shifts—planning for affordances, scripting questions, representing lightly and sequencing progress—can yield substantial gains. In short, it is the adult’s thoughtful orchestration, not the presence of trees or tyres, </w:t>
      </w:r>
      <w:r w:rsidR="00DF0297" w:rsidRPr="00EA496B">
        <w:rPr>
          <w:rFonts w:ascii="Arial" w:hAnsi="Arial" w:cs="Arial"/>
        </w:rPr>
        <w:t>which</w:t>
      </w:r>
      <w:r w:rsidRPr="00773139">
        <w:rPr>
          <w:rFonts w:ascii="Arial" w:hAnsi="Arial" w:cs="Arial"/>
        </w:rPr>
        <w:t xml:space="preserve"> determines whether outdoor time becomes a site of deep conceptual learning in science and mathematics.</w:t>
      </w:r>
    </w:p>
    <w:p w14:paraId="3D172D2A" w14:textId="77777777" w:rsidR="00773139" w:rsidRPr="00EA496B" w:rsidRDefault="00773139">
      <w:pPr>
        <w:rPr>
          <w:rFonts w:ascii="Arial" w:hAnsi="Arial" w:cs="Arial"/>
        </w:rPr>
      </w:pPr>
    </w:p>
    <w:p w14:paraId="0DB0EFDD" w14:textId="77777777" w:rsidR="00E516B1" w:rsidRPr="00EA496B" w:rsidRDefault="00E516B1">
      <w:pPr>
        <w:rPr>
          <w:rFonts w:ascii="Arial" w:hAnsi="Arial" w:cs="Arial"/>
        </w:rPr>
      </w:pPr>
    </w:p>
    <w:p w14:paraId="7B922338" w14:textId="77777777" w:rsidR="00E516B1" w:rsidRDefault="00E516B1"/>
    <w:p w14:paraId="272DE632" w14:textId="77777777" w:rsidR="00E516B1" w:rsidRDefault="00E516B1"/>
    <w:p w14:paraId="321CD6CB" w14:textId="77777777" w:rsidR="00E516B1" w:rsidRDefault="00E516B1"/>
    <w:p w14:paraId="2FC7652E" w14:textId="77777777" w:rsidR="00E516B1" w:rsidRDefault="00E516B1"/>
    <w:p w14:paraId="6F431833" w14:textId="77777777" w:rsidR="00E516B1" w:rsidRDefault="00E516B1"/>
    <w:p w14:paraId="4D1BB27A" w14:textId="77777777" w:rsidR="00E516B1" w:rsidRDefault="00E516B1"/>
    <w:p w14:paraId="6190FBCE" w14:textId="77777777" w:rsidR="00E516B1" w:rsidRDefault="00E516B1"/>
    <w:p w14:paraId="60F56416" w14:textId="77777777" w:rsidR="00E516B1" w:rsidRDefault="00E516B1"/>
    <w:p w14:paraId="3FC5127F" w14:textId="77777777" w:rsidR="00E516B1" w:rsidRDefault="00E516B1"/>
    <w:p w14:paraId="2DEA763D" w14:textId="77777777" w:rsidR="00E516B1" w:rsidRDefault="00E516B1"/>
    <w:p w14:paraId="1192B719" w14:textId="77777777" w:rsidR="00EA496B" w:rsidRDefault="00EA496B">
      <w:pPr>
        <w:rPr>
          <w:rFonts w:ascii="Arial" w:hAnsi="Arial" w:cs="Arial"/>
        </w:rPr>
      </w:pPr>
    </w:p>
    <w:p w14:paraId="063D852B" w14:textId="77777777" w:rsidR="00EA496B" w:rsidRDefault="00EA496B">
      <w:pPr>
        <w:rPr>
          <w:rFonts w:ascii="Arial" w:hAnsi="Arial" w:cs="Arial"/>
        </w:rPr>
      </w:pPr>
    </w:p>
    <w:p w14:paraId="575A33B9" w14:textId="77777777" w:rsidR="00EA496B" w:rsidRDefault="00EA496B">
      <w:pPr>
        <w:rPr>
          <w:rFonts w:ascii="Arial" w:hAnsi="Arial" w:cs="Arial"/>
        </w:rPr>
      </w:pPr>
    </w:p>
    <w:p w14:paraId="3C2D97EE" w14:textId="77777777" w:rsidR="00EA496B" w:rsidRDefault="00EA496B">
      <w:pPr>
        <w:rPr>
          <w:rFonts w:ascii="Arial" w:hAnsi="Arial" w:cs="Arial"/>
        </w:rPr>
      </w:pPr>
    </w:p>
    <w:p w14:paraId="41F58EDE" w14:textId="77777777" w:rsidR="00EA496B" w:rsidRDefault="00EA496B">
      <w:pPr>
        <w:rPr>
          <w:rFonts w:ascii="Arial" w:hAnsi="Arial" w:cs="Arial"/>
        </w:rPr>
      </w:pPr>
    </w:p>
    <w:p w14:paraId="29A2FBAA" w14:textId="3C2A6871" w:rsidR="00EA496B" w:rsidRPr="00EA496B" w:rsidRDefault="00EA496B">
      <w:pPr>
        <w:rPr>
          <w:rFonts w:ascii="Arial" w:hAnsi="Arial" w:cs="Arial"/>
        </w:rPr>
      </w:pPr>
      <w:proofErr w:type="spellStart"/>
      <w:r w:rsidRPr="00EA496B">
        <w:rPr>
          <w:rFonts w:ascii="Arial" w:hAnsi="Arial" w:cs="Arial"/>
        </w:rPr>
        <w:t>Bilton</w:t>
      </w:r>
      <w:proofErr w:type="spellEnd"/>
      <w:r w:rsidRPr="00EA496B">
        <w:rPr>
          <w:rFonts w:ascii="Arial" w:hAnsi="Arial" w:cs="Arial"/>
        </w:rPr>
        <w:t xml:space="preserve">, H. (2010) </w:t>
      </w:r>
      <w:r w:rsidRPr="00EA496B">
        <w:rPr>
          <w:rFonts w:ascii="Arial" w:hAnsi="Arial" w:cs="Arial"/>
          <w:i/>
          <w:iCs/>
        </w:rPr>
        <w:t>Outdoor Learning in the Early Years: Management and Innovation</w:t>
      </w:r>
      <w:r w:rsidRPr="00EA496B">
        <w:rPr>
          <w:rFonts w:ascii="Arial" w:hAnsi="Arial" w:cs="Arial"/>
        </w:rPr>
        <w:t xml:space="preserve"> (3rd ed.). Abingdon: Routledge.</w:t>
      </w:r>
    </w:p>
    <w:p w14:paraId="6C9D8465" w14:textId="77777777" w:rsidR="00EA496B" w:rsidRPr="00EA496B" w:rsidRDefault="00EA496B">
      <w:pPr>
        <w:rPr>
          <w:rFonts w:ascii="Arial" w:hAnsi="Arial" w:cs="Arial"/>
        </w:rPr>
      </w:pPr>
      <w:r w:rsidRPr="00EA496B">
        <w:rPr>
          <w:rFonts w:ascii="Arial" w:hAnsi="Arial" w:cs="Arial"/>
        </w:rPr>
        <w:t xml:space="preserve">Bruner, J. (1966) </w:t>
      </w:r>
      <w:r w:rsidRPr="00EA496B">
        <w:rPr>
          <w:rFonts w:ascii="Arial" w:hAnsi="Arial" w:cs="Arial"/>
          <w:i/>
          <w:iCs/>
        </w:rPr>
        <w:t>Toward a Theory of Instruction</w:t>
      </w:r>
      <w:r w:rsidRPr="00EA496B">
        <w:rPr>
          <w:rFonts w:ascii="Arial" w:hAnsi="Arial" w:cs="Arial"/>
        </w:rPr>
        <w:t>. Cambridge, MA: Harvard University Press.</w:t>
      </w:r>
    </w:p>
    <w:p w14:paraId="71ECF626" w14:textId="77777777" w:rsidR="00EA496B" w:rsidRPr="00EA496B" w:rsidRDefault="00EA496B">
      <w:pPr>
        <w:rPr>
          <w:rFonts w:ascii="Arial" w:hAnsi="Arial" w:cs="Arial"/>
        </w:rPr>
      </w:pPr>
      <w:r w:rsidRPr="00EA496B">
        <w:rPr>
          <w:rFonts w:ascii="Arial" w:hAnsi="Arial" w:cs="Arial"/>
        </w:rPr>
        <w:t xml:space="preserve">Brunton, P. and Thornton, L. (2010) </w:t>
      </w:r>
      <w:r w:rsidRPr="00EA496B">
        <w:rPr>
          <w:rFonts w:ascii="Arial" w:hAnsi="Arial" w:cs="Arial"/>
          <w:i/>
          <w:iCs/>
        </w:rPr>
        <w:t>Science in the Early Years: Building Firm Foundations from Birth to Five</w:t>
      </w:r>
      <w:r w:rsidRPr="00EA496B">
        <w:rPr>
          <w:rFonts w:ascii="Arial" w:hAnsi="Arial" w:cs="Arial"/>
        </w:rPr>
        <w:t>. London: SAGE.</w:t>
      </w:r>
    </w:p>
    <w:p w14:paraId="2AABF988" w14:textId="77777777" w:rsidR="00EA496B" w:rsidRPr="00EA496B" w:rsidRDefault="00EA496B">
      <w:pPr>
        <w:rPr>
          <w:rFonts w:ascii="Arial" w:hAnsi="Arial" w:cs="Arial"/>
        </w:rPr>
      </w:pPr>
      <w:r w:rsidRPr="00EA496B">
        <w:rPr>
          <w:rFonts w:ascii="Arial" w:hAnsi="Arial" w:cs="Arial"/>
        </w:rPr>
        <w:t xml:space="preserve">Edwards, C., Gandini, L. and Forman, G. (eds) (2012) </w:t>
      </w:r>
      <w:r w:rsidRPr="00EA496B">
        <w:rPr>
          <w:rFonts w:ascii="Arial" w:hAnsi="Arial" w:cs="Arial"/>
          <w:i/>
          <w:iCs/>
        </w:rPr>
        <w:t>The Hundred Languages of Children: The Reggio Emilia Experience in Transformation</w:t>
      </w:r>
      <w:r w:rsidRPr="00EA496B">
        <w:rPr>
          <w:rFonts w:ascii="Arial" w:hAnsi="Arial" w:cs="Arial"/>
        </w:rPr>
        <w:t xml:space="preserve"> (3rd ed.). Praeger.</w:t>
      </w:r>
    </w:p>
    <w:p w14:paraId="22909546" w14:textId="77777777" w:rsidR="00EA496B" w:rsidRPr="00EA496B" w:rsidRDefault="00EA496B">
      <w:pPr>
        <w:rPr>
          <w:rFonts w:ascii="Arial" w:hAnsi="Arial" w:cs="Arial"/>
        </w:rPr>
      </w:pPr>
      <w:r w:rsidRPr="00EA496B">
        <w:rPr>
          <w:rFonts w:ascii="Arial" w:hAnsi="Arial" w:cs="Arial"/>
        </w:rPr>
        <w:t xml:space="preserve">Gibson, J. J. (1979) </w:t>
      </w:r>
      <w:r w:rsidRPr="00EA496B">
        <w:rPr>
          <w:rFonts w:ascii="Arial" w:hAnsi="Arial" w:cs="Arial"/>
          <w:i/>
          <w:iCs/>
        </w:rPr>
        <w:t>The Ecological Approach to Visual Perception</w:t>
      </w:r>
      <w:r w:rsidRPr="00EA496B">
        <w:rPr>
          <w:rFonts w:ascii="Arial" w:hAnsi="Arial" w:cs="Arial"/>
        </w:rPr>
        <w:t>. Boston: Houghton Mifflin (Classic ed. later: Psychology Press/T&amp;F).</w:t>
      </w:r>
    </w:p>
    <w:p w14:paraId="1FBB611E" w14:textId="77777777" w:rsidR="00EA496B" w:rsidRPr="00EA496B" w:rsidRDefault="00EA496B">
      <w:pPr>
        <w:rPr>
          <w:rFonts w:ascii="Arial" w:hAnsi="Arial" w:cs="Arial"/>
        </w:rPr>
      </w:pPr>
      <w:r w:rsidRPr="00EA496B">
        <w:rPr>
          <w:rFonts w:ascii="Arial" w:hAnsi="Arial" w:cs="Arial"/>
        </w:rPr>
        <w:t xml:space="preserve">Nicholson, S. (1971) ‘How Not to Cheat Children: The Theory of Loose Parts’, </w:t>
      </w:r>
      <w:r w:rsidRPr="00EA496B">
        <w:rPr>
          <w:rFonts w:ascii="Arial" w:hAnsi="Arial" w:cs="Arial"/>
          <w:i/>
          <w:iCs/>
        </w:rPr>
        <w:t>Landscape Architecture</w:t>
      </w:r>
      <w:r w:rsidRPr="00EA496B">
        <w:rPr>
          <w:rFonts w:ascii="Arial" w:hAnsi="Arial" w:cs="Arial"/>
        </w:rPr>
        <w:t>, 62(1), 30–34.</w:t>
      </w:r>
    </w:p>
    <w:p w14:paraId="728988B2" w14:textId="77777777" w:rsidR="00EA496B" w:rsidRPr="00EA496B" w:rsidRDefault="00EA496B">
      <w:pPr>
        <w:rPr>
          <w:rFonts w:ascii="Arial" w:hAnsi="Arial" w:cs="Arial"/>
        </w:rPr>
      </w:pPr>
      <w:r w:rsidRPr="00EA496B">
        <w:rPr>
          <w:rFonts w:ascii="Arial" w:hAnsi="Arial" w:cs="Arial"/>
        </w:rPr>
        <w:t xml:space="preserve">Robertson, J. (2017) </w:t>
      </w:r>
      <w:r w:rsidRPr="00EA496B">
        <w:rPr>
          <w:rFonts w:ascii="Arial" w:hAnsi="Arial" w:cs="Arial"/>
          <w:i/>
          <w:iCs/>
        </w:rPr>
        <w:t>Messy Maths: A Playful, Outdoor Approach for Early Years</w:t>
      </w:r>
      <w:r w:rsidRPr="00EA496B">
        <w:rPr>
          <w:rFonts w:ascii="Arial" w:hAnsi="Arial" w:cs="Arial"/>
        </w:rPr>
        <w:t>. Carmarthen: Independent Thinking Press (Crown House).</w:t>
      </w:r>
    </w:p>
    <w:p w14:paraId="214E1BD6" w14:textId="77777777" w:rsidR="00EA496B" w:rsidRPr="00EA496B" w:rsidRDefault="00EA496B">
      <w:pPr>
        <w:rPr>
          <w:rFonts w:ascii="Arial" w:hAnsi="Arial" w:cs="Arial"/>
        </w:rPr>
      </w:pPr>
      <w:r w:rsidRPr="00EA496B">
        <w:rPr>
          <w:rFonts w:ascii="Arial" w:hAnsi="Arial" w:cs="Arial"/>
        </w:rPr>
        <w:t xml:space="preserve">Siraj-Blatchford, I., Sylva, K., </w:t>
      </w:r>
      <w:proofErr w:type="spellStart"/>
      <w:r w:rsidRPr="00EA496B">
        <w:rPr>
          <w:rFonts w:ascii="Arial" w:hAnsi="Arial" w:cs="Arial"/>
        </w:rPr>
        <w:t>Muttock</w:t>
      </w:r>
      <w:proofErr w:type="spellEnd"/>
      <w:r w:rsidRPr="00EA496B">
        <w:rPr>
          <w:rFonts w:ascii="Arial" w:hAnsi="Arial" w:cs="Arial"/>
        </w:rPr>
        <w:t xml:space="preserve">, S., Gilden, R. and Bell, D. (2002) </w:t>
      </w:r>
      <w:r w:rsidRPr="00EA496B">
        <w:rPr>
          <w:rFonts w:ascii="Arial" w:hAnsi="Arial" w:cs="Arial"/>
          <w:i/>
          <w:iCs/>
        </w:rPr>
        <w:t>Researching Effective Pedagogy in the Early Years (REPEY)</w:t>
      </w:r>
      <w:r w:rsidRPr="00EA496B">
        <w:rPr>
          <w:rFonts w:ascii="Arial" w:hAnsi="Arial" w:cs="Arial"/>
        </w:rPr>
        <w:t>. London: DfES.</w:t>
      </w:r>
    </w:p>
    <w:p w14:paraId="4C8EAE4B" w14:textId="77777777" w:rsidR="00EA496B" w:rsidRPr="00EA496B" w:rsidRDefault="00EA496B">
      <w:pPr>
        <w:rPr>
          <w:rFonts w:ascii="Arial" w:hAnsi="Arial" w:cs="Arial"/>
        </w:rPr>
      </w:pPr>
      <w:r w:rsidRPr="00EA496B">
        <w:rPr>
          <w:rFonts w:ascii="Arial" w:hAnsi="Arial" w:cs="Arial"/>
        </w:rPr>
        <w:lastRenderedPageBreak/>
        <w:t xml:space="preserve">Sylva, K., Melhuish, E., Sammons, P., Siraj-Blatchford, I. and Taggart, B. (2004) </w:t>
      </w:r>
      <w:r w:rsidRPr="00EA496B">
        <w:rPr>
          <w:rFonts w:ascii="Arial" w:hAnsi="Arial" w:cs="Arial"/>
          <w:i/>
          <w:iCs/>
        </w:rPr>
        <w:t>The Effective Provision of Pre-School Education (EPPE) Project: Final Report</w:t>
      </w:r>
      <w:r w:rsidRPr="00EA496B">
        <w:rPr>
          <w:rFonts w:ascii="Arial" w:hAnsi="Arial" w:cs="Arial"/>
        </w:rPr>
        <w:t>. London: Institute of Education/DfES.</w:t>
      </w:r>
    </w:p>
    <w:p w14:paraId="18C14D03" w14:textId="77777777" w:rsidR="00EA496B" w:rsidRPr="00EA496B" w:rsidRDefault="00EA496B">
      <w:pPr>
        <w:rPr>
          <w:rFonts w:ascii="Arial" w:hAnsi="Arial" w:cs="Arial"/>
        </w:rPr>
      </w:pPr>
      <w:r w:rsidRPr="00EA496B">
        <w:rPr>
          <w:rFonts w:ascii="Arial" w:hAnsi="Arial" w:cs="Arial"/>
        </w:rPr>
        <w:t xml:space="preserve">Tovey, H. (2007) </w:t>
      </w:r>
      <w:r w:rsidRPr="00EA496B">
        <w:rPr>
          <w:rFonts w:ascii="Arial" w:hAnsi="Arial" w:cs="Arial"/>
          <w:i/>
          <w:iCs/>
        </w:rPr>
        <w:t>Playing Outdoors: Spaces and Places, Risk and Challenge</w:t>
      </w:r>
      <w:r w:rsidRPr="00EA496B">
        <w:rPr>
          <w:rFonts w:ascii="Arial" w:hAnsi="Arial" w:cs="Arial"/>
        </w:rPr>
        <w:t>. Maidenhead: Open University Press.</w:t>
      </w:r>
    </w:p>
    <w:p w14:paraId="4AB436CB" w14:textId="77777777" w:rsidR="00EA496B" w:rsidRPr="00EA496B" w:rsidRDefault="00EA496B">
      <w:pPr>
        <w:rPr>
          <w:rFonts w:ascii="Arial" w:hAnsi="Arial" w:cs="Arial"/>
        </w:rPr>
      </w:pPr>
      <w:r w:rsidRPr="00EA496B">
        <w:rPr>
          <w:rFonts w:ascii="Arial" w:hAnsi="Arial" w:cs="Arial"/>
        </w:rPr>
        <w:t xml:space="preserve">Vygotsky, L. S. (1978) </w:t>
      </w:r>
      <w:r w:rsidRPr="00EA496B">
        <w:rPr>
          <w:rFonts w:ascii="Arial" w:hAnsi="Arial" w:cs="Arial"/>
          <w:i/>
          <w:iCs/>
        </w:rPr>
        <w:t>Mind in Society: The Development of Higher Psychological Processes</w:t>
      </w:r>
      <w:r w:rsidRPr="00EA496B">
        <w:rPr>
          <w:rFonts w:ascii="Arial" w:hAnsi="Arial" w:cs="Arial"/>
        </w:rPr>
        <w:t>. Cambridge, MA: Harvard University Press.</w:t>
      </w:r>
    </w:p>
    <w:p w14:paraId="7EA6E741" w14:textId="77777777" w:rsidR="00EA496B" w:rsidRPr="00EA496B" w:rsidRDefault="00EA496B">
      <w:pPr>
        <w:rPr>
          <w:rFonts w:ascii="Arial" w:hAnsi="Arial" w:cs="Arial"/>
        </w:rPr>
      </w:pPr>
      <w:r w:rsidRPr="00EA496B">
        <w:rPr>
          <w:rFonts w:ascii="Arial" w:hAnsi="Arial" w:cs="Arial"/>
        </w:rPr>
        <w:t xml:space="preserve">Warden, C. (2012) </w:t>
      </w:r>
      <w:r w:rsidRPr="00EA496B">
        <w:rPr>
          <w:rFonts w:ascii="Arial" w:hAnsi="Arial" w:cs="Arial"/>
          <w:i/>
          <w:iCs/>
        </w:rPr>
        <w:t>Nurture through Nature</w:t>
      </w:r>
      <w:r w:rsidRPr="00EA496B">
        <w:rPr>
          <w:rFonts w:ascii="Arial" w:hAnsi="Arial" w:cs="Arial"/>
        </w:rPr>
        <w:t xml:space="preserve"> (2nd ed.). Auchterarder: </w:t>
      </w:r>
      <w:proofErr w:type="spellStart"/>
      <w:r w:rsidRPr="00EA496B">
        <w:rPr>
          <w:rFonts w:ascii="Arial" w:hAnsi="Arial" w:cs="Arial"/>
        </w:rPr>
        <w:t>Mindstretchers</w:t>
      </w:r>
      <w:proofErr w:type="spellEnd"/>
      <w:r w:rsidRPr="00EA496B">
        <w:rPr>
          <w:rFonts w:ascii="Arial" w:hAnsi="Arial" w:cs="Arial"/>
        </w:rPr>
        <w:t>.</w:t>
      </w:r>
    </w:p>
    <w:p w14:paraId="64029CD3" w14:textId="77777777" w:rsidR="00EA496B" w:rsidRPr="00EA496B" w:rsidRDefault="00EA496B">
      <w:pPr>
        <w:rPr>
          <w:rFonts w:ascii="Arial" w:hAnsi="Arial" w:cs="Arial"/>
        </w:rPr>
      </w:pPr>
      <w:r w:rsidRPr="00EA496B">
        <w:rPr>
          <w:rFonts w:ascii="Arial" w:hAnsi="Arial" w:cs="Arial"/>
        </w:rPr>
        <w:t xml:space="preserve">Welsh Government (2022) </w:t>
      </w:r>
      <w:r w:rsidRPr="00EA496B">
        <w:rPr>
          <w:rFonts w:ascii="Arial" w:hAnsi="Arial" w:cs="Arial"/>
          <w:i/>
          <w:iCs/>
        </w:rPr>
        <w:t>Curriculum for Wales: Guidance</w:t>
      </w:r>
      <w:r w:rsidRPr="00EA496B">
        <w:rPr>
          <w:rFonts w:ascii="Arial" w:hAnsi="Arial" w:cs="Arial"/>
        </w:rPr>
        <w:t>.</w:t>
      </w:r>
    </w:p>
    <w:p w14:paraId="5347405D" w14:textId="77777777" w:rsidR="00EA496B" w:rsidRPr="00EA496B" w:rsidRDefault="00EA496B">
      <w:pPr>
        <w:rPr>
          <w:rFonts w:ascii="Arial" w:hAnsi="Arial" w:cs="Arial"/>
        </w:rPr>
      </w:pPr>
      <w:r w:rsidRPr="00EA496B">
        <w:rPr>
          <w:rFonts w:ascii="Arial" w:hAnsi="Arial" w:cs="Arial"/>
        </w:rPr>
        <w:t xml:space="preserve">White, J. (2011) </w:t>
      </w:r>
      <w:r w:rsidRPr="00EA496B">
        <w:rPr>
          <w:rFonts w:ascii="Arial" w:hAnsi="Arial" w:cs="Arial"/>
          <w:i/>
          <w:iCs/>
        </w:rPr>
        <w:t>Outdoor Provision in the Early Years</w:t>
      </w:r>
      <w:r w:rsidRPr="00EA496B">
        <w:rPr>
          <w:rFonts w:ascii="Arial" w:hAnsi="Arial" w:cs="Arial"/>
        </w:rPr>
        <w:t>. London: SAGE.</w:t>
      </w:r>
    </w:p>
    <w:sectPr w:rsidR="00EA496B" w:rsidRPr="00EA49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139"/>
    <w:rsid w:val="00124D06"/>
    <w:rsid w:val="001C1B16"/>
    <w:rsid w:val="005A4696"/>
    <w:rsid w:val="005A5AD1"/>
    <w:rsid w:val="005E1D3A"/>
    <w:rsid w:val="00644EBA"/>
    <w:rsid w:val="00723CE1"/>
    <w:rsid w:val="00732012"/>
    <w:rsid w:val="00773139"/>
    <w:rsid w:val="007F7BFE"/>
    <w:rsid w:val="0082454B"/>
    <w:rsid w:val="008664E0"/>
    <w:rsid w:val="00A92476"/>
    <w:rsid w:val="00AF2CF2"/>
    <w:rsid w:val="00B125E8"/>
    <w:rsid w:val="00CA0903"/>
    <w:rsid w:val="00DB2158"/>
    <w:rsid w:val="00DF0297"/>
    <w:rsid w:val="00E05490"/>
    <w:rsid w:val="00E17888"/>
    <w:rsid w:val="00E516B1"/>
    <w:rsid w:val="00EA4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968"/>
  <w15:chartTrackingRefBased/>
  <w15:docId w15:val="{70738614-5501-415D-B3DF-6CCD6BC50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1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1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1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1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1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1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1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1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1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1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1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1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1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1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1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1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1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139"/>
    <w:rPr>
      <w:rFonts w:eastAsiaTheme="majorEastAsia" w:cstheme="majorBidi"/>
      <w:color w:val="272727" w:themeColor="text1" w:themeTint="D8"/>
    </w:rPr>
  </w:style>
  <w:style w:type="paragraph" w:styleId="Title">
    <w:name w:val="Title"/>
    <w:basedOn w:val="Normal"/>
    <w:next w:val="Normal"/>
    <w:link w:val="TitleChar"/>
    <w:uiPriority w:val="10"/>
    <w:qFormat/>
    <w:rsid w:val="007731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1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1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1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139"/>
    <w:pPr>
      <w:spacing w:before="160"/>
      <w:jc w:val="center"/>
    </w:pPr>
    <w:rPr>
      <w:i/>
      <w:iCs/>
      <w:color w:val="404040" w:themeColor="text1" w:themeTint="BF"/>
    </w:rPr>
  </w:style>
  <w:style w:type="character" w:customStyle="1" w:styleId="QuoteChar">
    <w:name w:val="Quote Char"/>
    <w:basedOn w:val="DefaultParagraphFont"/>
    <w:link w:val="Quote"/>
    <w:uiPriority w:val="29"/>
    <w:rsid w:val="00773139"/>
    <w:rPr>
      <w:i/>
      <w:iCs/>
      <w:color w:val="404040" w:themeColor="text1" w:themeTint="BF"/>
    </w:rPr>
  </w:style>
  <w:style w:type="paragraph" w:styleId="ListParagraph">
    <w:name w:val="List Paragraph"/>
    <w:basedOn w:val="Normal"/>
    <w:uiPriority w:val="34"/>
    <w:qFormat/>
    <w:rsid w:val="00773139"/>
    <w:pPr>
      <w:ind w:left="720"/>
      <w:contextualSpacing/>
    </w:pPr>
  </w:style>
  <w:style w:type="character" w:styleId="IntenseEmphasis">
    <w:name w:val="Intense Emphasis"/>
    <w:basedOn w:val="DefaultParagraphFont"/>
    <w:uiPriority w:val="21"/>
    <w:qFormat/>
    <w:rsid w:val="00773139"/>
    <w:rPr>
      <w:i/>
      <w:iCs/>
      <w:color w:val="0F4761" w:themeColor="accent1" w:themeShade="BF"/>
    </w:rPr>
  </w:style>
  <w:style w:type="paragraph" w:styleId="IntenseQuote">
    <w:name w:val="Intense Quote"/>
    <w:basedOn w:val="Normal"/>
    <w:next w:val="Normal"/>
    <w:link w:val="IntenseQuoteChar"/>
    <w:uiPriority w:val="30"/>
    <w:qFormat/>
    <w:rsid w:val="007731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139"/>
    <w:rPr>
      <w:i/>
      <w:iCs/>
      <w:color w:val="0F4761" w:themeColor="accent1" w:themeShade="BF"/>
    </w:rPr>
  </w:style>
  <w:style w:type="character" w:styleId="IntenseReference">
    <w:name w:val="Intense Reference"/>
    <w:basedOn w:val="DefaultParagraphFont"/>
    <w:uiPriority w:val="32"/>
    <w:qFormat/>
    <w:rsid w:val="007731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9</Pages>
  <Words>2729</Words>
  <Characters>15558</Characters>
  <Application>Microsoft Office Word</Application>
  <DocSecurity>0</DocSecurity>
  <Lines>129</Lines>
  <Paragraphs>36</Paragraphs>
  <ScaleCrop>false</ScaleCrop>
  <Company/>
  <LinksUpToDate>false</LinksUpToDate>
  <CharactersWithSpaces>18251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griffiths</dc:creator>
  <cp:keywords/>
  <dc:description/>
  <cp:lastModifiedBy>anna griffiths</cp:lastModifiedBy>
  <cp:revision>21</cp:revision>
  <dcterms:created xsi:type="dcterms:W3CDTF">2025-09-27T14:56:00Z</dcterms:created>
  <dcterms:modified xsi:type="dcterms:W3CDTF">2025-09-28T09:49:00Z</dcterms:modified>
</cp:coreProperties>
</file>